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51BB3" w14:textId="77777777" w:rsidR="00C71D4D" w:rsidRPr="00C71D4D" w:rsidRDefault="00C71D4D" w:rsidP="00C71D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1D4D">
        <w:rPr>
          <w:rFonts w:ascii="Times New Roman" w:eastAsia="Times New Roman" w:hAnsi="Times New Roman" w:cs="Times New Roman"/>
          <w:b/>
          <w:bCs/>
          <w:kern w:val="36"/>
          <w:sz w:val="48"/>
          <w:szCs w:val="48"/>
          <w:lang w:eastAsia="en-IN"/>
        </w:rPr>
        <w:t>1. Introduction and Strategic Context</w:t>
      </w:r>
    </w:p>
    <w:p w14:paraId="5B9461B7" w14:textId="31EBE3C4"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 xml:space="preserve">The </w:t>
      </w:r>
      <w:r w:rsidRPr="00C71D4D">
        <w:rPr>
          <w:rFonts w:ascii="Times New Roman" w:eastAsia="Times New Roman" w:hAnsi="Times New Roman" w:cs="Times New Roman"/>
          <w:b/>
          <w:bCs/>
          <w:sz w:val="24"/>
          <w:szCs w:val="24"/>
          <w:lang w:eastAsia="en-IN"/>
        </w:rPr>
        <w:t xml:space="preserve">Global </w:t>
      </w:r>
      <w:r w:rsidRPr="00C71D4D">
        <w:rPr>
          <w:rFonts w:ascii="Times New Roman" w:eastAsia="Times New Roman" w:hAnsi="Times New Roman" w:cs="Times New Roman"/>
          <w:b/>
          <w:bCs/>
          <w:sz w:val="24"/>
          <w:szCs w:val="24"/>
          <w:lang w:eastAsia="en-IN"/>
        </w:rPr>
        <w:t>Geothermal Power Equipment Market</w:t>
      </w:r>
      <w:r w:rsidRPr="00C71D4D">
        <w:rPr>
          <w:rFonts w:ascii="Times New Roman" w:eastAsia="Times New Roman" w:hAnsi="Times New Roman" w:cs="Times New Roman"/>
          <w:sz w:val="24"/>
          <w:szCs w:val="24"/>
          <w:lang w:eastAsia="en-IN"/>
        </w:rPr>
        <w:t xml:space="preserve"> is poised to witness a robust </w:t>
      </w:r>
      <w:r w:rsidRPr="00C71D4D">
        <w:rPr>
          <w:rFonts w:ascii="Times New Roman" w:eastAsia="Times New Roman" w:hAnsi="Times New Roman" w:cs="Times New Roman"/>
          <w:b/>
          <w:bCs/>
          <w:sz w:val="24"/>
          <w:szCs w:val="24"/>
          <w:lang w:eastAsia="en-IN"/>
        </w:rPr>
        <w:t>CAGR of 6.5%,</w:t>
      </w:r>
      <w:r w:rsidRPr="00C71D4D">
        <w:rPr>
          <w:rFonts w:ascii="Times New Roman" w:eastAsia="Times New Roman" w:hAnsi="Times New Roman" w:cs="Times New Roman"/>
          <w:sz w:val="24"/>
          <w:szCs w:val="24"/>
          <w:lang w:eastAsia="en-IN"/>
        </w:rPr>
        <w:t xml:space="preserve"> valued at an </w:t>
      </w:r>
      <w:r w:rsidRPr="00C71D4D">
        <w:rPr>
          <w:rFonts w:ascii="Times New Roman" w:eastAsia="Times New Roman" w:hAnsi="Times New Roman" w:cs="Times New Roman"/>
          <w:b/>
          <w:bCs/>
          <w:sz w:val="24"/>
          <w:szCs w:val="24"/>
          <w:lang w:eastAsia="en-IN"/>
        </w:rPr>
        <w:t>USD 8.6 billion in 2024</w:t>
      </w:r>
      <w:r w:rsidRPr="00C71D4D">
        <w:rPr>
          <w:rFonts w:ascii="Times New Roman" w:eastAsia="Times New Roman" w:hAnsi="Times New Roman" w:cs="Times New Roman"/>
          <w:sz w:val="24"/>
          <w:szCs w:val="24"/>
          <w:lang w:eastAsia="en-IN"/>
        </w:rPr>
        <w:t xml:space="preserve">, and is projected to appreciate and reach </w:t>
      </w:r>
      <w:r w:rsidRPr="00C71D4D">
        <w:rPr>
          <w:rFonts w:ascii="Times New Roman" w:eastAsia="Times New Roman" w:hAnsi="Times New Roman" w:cs="Times New Roman"/>
          <w:b/>
          <w:bCs/>
          <w:sz w:val="24"/>
          <w:szCs w:val="24"/>
          <w:lang w:eastAsia="en-IN"/>
        </w:rPr>
        <w:t>USD 13.0 billion by 2030</w:t>
      </w:r>
      <w:r w:rsidRPr="00C71D4D">
        <w:rPr>
          <w:rFonts w:ascii="Times New Roman" w:eastAsia="Times New Roman" w:hAnsi="Times New Roman" w:cs="Times New Roman"/>
          <w:sz w:val="24"/>
          <w:szCs w:val="24"/>
          <w:lang w:eastAsia="en-IN"/>
        </w:rPr>
        <w:t xml:space="preserve">, according to </w:t>
      </w:r>
      <w:r w:rsidRPr="00C71D4D">
        <w:rPr>
          <w:rFonts w:ascii="Times New Roman" w:eastAsia="Times New Roman" w:hAnsi="Times New Roman" w:cs="Times New Roman"/>
          <w:b/>
          <w:bCs/>
          <w:sz w:val="24"/>
          <w:szCs w:val="24"/>
          <w:lang w:eastAsia="en-IN"/>
        </w:rPr>
        <w:t>Strategic Market Research.</w:t>
      </w:r>
      <w:r w:rsidRPr="00C71D4D">
        <w:rPr>
          <w:rFonts w:ascii="Times New Roman" w:eastAsia="Times New Roman" w:hAnsi="Times New Roman" w:cs="Times New Roman"/>
          <w:sz w:val="24"/>
          <w:szCs w:val="24"/>
          <w:lang w:eastAsia="en-IN"/>
        </w:rPr>
        <w:t xml:space="preserve"> Geothermal power equipment encompasses turbines, generators, heat exchangers, pumps, and drilling machinery used to harness geothermal energy for electricity generation and direct heating applications. As the world pivots toward sustainable energy solutions, geothermal energy is gaining renewed strategic importance due to its reliability, low emissions, and consistent baseload power potential.</w:t>
      </w:r>
    </w:p>
    <w:p w14:paraId="66759274"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 xml:space="preserve">Between 2024 and 2030, the market’s significance is amplified by several macro forces. Technological advancements in high-efficiency turbines, corrosion-resistant materials, and enhanced geothermal systems (EGS) are driving both efficiency and cost-effectiveness. Policy and regulatory support in regions like North America, Europe, and Asia-Pacific are creating incentives for renewable energy adoption, while governments are enforcing stricter carbon reduction targets that </w:t>
      </w:r>
      <w:proofErr w:type="spellStart"/>
      <w:r w:rsidRPr="00C71D4D">
        <w:rPr>
          <w:rFonts w:ascii="Times New Roman" w:eastAsia="Times New Roman" w:hAnsi="Times New Roman" w:cs="Times New Roman"/>
          <w:sz w:val="24"/>
          <w:szCs w:val="24"/>
          <w:lang w:eastAsia="en-IN"/>
        </w:rPr>
        <w:t>favor</w:t>
      </w:r>
      <w:proofErr w:type="spellEnd"/>
      <w:r w:rsidRPr="00C71D4D">
        <w:rPr>
          <w:rFonts w:ascii="Times New Roman" w:eastAsia="Times New Roman" w:hAnsi="Times New Roman" w:cs="Times New Roman"/>
          <w:sz w:val="24"/>
          <w:szCs w:val="24"/>
          <w:lang w:eastAsia="en-IN"/>
        </w:rPr>
        <w:t xml:space="preserve"> low-emission technologies.</w:t>
      </w:r>
    </w:p>
    <w:p w14:paraId="47805856"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Additionally, the increasing cost volatility of fossil fuels, coupled with growing energy demand in emerging economies, underpins investment in geothermal infrastructure. Geothermal projects benefit from long operational lifespans and minimal land footprint compared to solar or wind farms, making them attractive for both public utilities and private investors.</w:t>
      </w:r>
    </w:p>
    <w:p w14:paraId="21C9C02C"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Key stakeholders in this ecosystem include original equipment manufacturers (OEMs) producing specialized turbines and drilling equipment, independent power producers (IPPs) investing in geothermal fields, governments offering subsidies and tax incentives, energy investors seeking stable returns, and engineering, procurement, and construction (EPC) firms delivering turnkey solutions.</w:t>
      </w:r>
    </w:p>
    <w:p w14:paraId="53DE2529"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The market is also witnessing a strategic shift toward digital integration and remote monitoring. Advanced sensors and predictive maintenance platforms enable operators to maximize output while minimizing downtime and operational costs. According to Strategic Market Research, the combination of technological sophistication, regulatory support, and environmental urgency is transforming geothermal power equipment from a niche segment to a core component of the global renewable energy mix.</w:t>
      </w:r>
    </w:p>
    <w:p w14:paraId="0C44732F"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i/>
          <w:iCs/>
          <w:sz w:val="24"/>
          <w:szCs w:val="24"/>
          <w:lang w:eastAsia="en-IN"/>
        </w:rPr>
        <w:t xml:space="preserve">Expert insight: As utilities seek reliable and low-carbon energy, geothermal power equipment is positioned as a critical enabler for decarbonized energy grids, particularly in geologically </w:t>
      </w:r>
      <w:proofErr w:type="spellStart"/>
      <w:r w:rsidRPr="00C71D4D">
        <w:rPr>
          <w:rFonts w:ascii="Times New Roman" w:eastAsia="Times New Roman" w:hAnsi="Times New Roman" w:cs="Times New Roman"/>
          <w:i/>
          <w:iCs/>
          <w:sz w:val="24"/>
          <w:szCs w:val="24"/>
          <w:lang w:eastAsia="en-IN"/>
        </w:rPr>
        <w:t>favorable</w:t>
      </w:r>
      <w:proofErr w:type="spellEnd"/>
      <w:r w:rsidRPr="00C71D4D">
        <w:rPr>
          <w:rFonts w:ascii="Times New Roman" w:eastAsia="Times New Roman" w:hAnsi="Times New Roman" w:cs="Times New Roman"/>
          <w:i/>
          <w:iCs/>
          <w:sz w:val="24"/>
          <w:szCs w:val="24"/>
          <w:lang w:eastAsia="en-IN"/>
        </w:rPr>
        <w:t xml:space="preserve"> regions.</w:t>
      </w:r>
    </w:p>
    <w:p w14:paraId="10E38BCC" w14:textId="77777777" w:rsidR="00C71D4D" w:rsidRPr="00C71D4D" w:rsidRDefault="00C71D4D" w:rsidP="00C71D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1D4D">
        <w:rPr>
          <w:rFonts w:ascii="Times New Roman" w:eastAsia="Times New Roman" w:hAnsi="Times New Roman" w:cs="Times New Roman"/>
          <w:b/>
          <w:bCs/>
          <w:kern w:val="36"/>
          <w:sz w:val="48"/>
          <w:szCs w:val="48"/>
          <w:lang w:eastAsia="en-IN"/>
        </w:rPr>
        <w:t>2. Market Segmentation and Forecast Scope</w:t>
      </w:r>
    </w:p>
    <w:p w14:paraId="0476BCDF"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 xml:space="preserve">The Geothermal Power Equipment Market is segmented to reflect variations in technology, application, end-user adoption, and geography, providing a clear framework for strategic </w:t>
      </w:r>
      <w:r w:rsidRPr="00C71D4D">
        <w:rPr>
          <w:rFonts w:ascii="Times New Roman" w:eastAsia="Times New Roman" w:hAnsi="Times New Roman" w:cs="Times New Roman"/>
          <w:sz w:val="24"/>
          <w:szCs w:val="24"/>
          <w:lang w:eastAsia="en-IN"/>
        </w:rPr>
        <w:lastRenderedPageBreak/>
        <w:t>investment and growth planning. Segmentation helps stakeholders understand where demand is concentrated and which areas are poised for rapid expansion.</w:t>
      </w:r>
    </w:p>
    <w:p w14:paraId="5A386D7C"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By Equipment Type</w:t>
      </w:r>
      <w:r w:rsidRPr="00C71D4D">
        <w:rPr>
          <w:rFonts w:ascii="Times New Roman" w:eastAsia="Times New Roman" w:hAnsi="Times New Roman" w:cs="Times New Roman"/>
          <w:sz w:val="24"/>
          <w:szCs w:val="24"/>
          <w:lang w:eastAsia="en-IN"/>
        </w:rPr>
        <w:br/>
        <w:t>The market can be categorized into turbines, generators, heat exchangers, pumps, and drilling equipment. Among these, turbines represent the largest segment, accounting for an inferred 35% of the market in 2024, driven by increasing investments in high-capacity geothermal plants. Pumps and heat exchangers are witnessing the fastest growth due to technological advances in high-temperature fluid management and binary cycle power systems. Drilling equipment demand is also rising, reflecting the increasing focus on enhanced geothermal systems (EGS) and deeper reservoir exploration.</w:t>
      </w:r>
    </w:p>
    <w:p w14:paraId="41CD09E9"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By Application</w:t>
      </w:r>
      <w:r w:rsidRPr="00C71D4D">
        <w:rPr>
          <w:rFonts w:ascii="Times New Roman" w:eastAsia="Times New Roman" w:hAnsi="Times New Roman" w:cs="Times New Roman"/>
          <w:sz w:val="24"/>
          <w:szCs w:val="24"/>
          <w:lang w:eastAsia="en-IN"/>
        </w:rPr>
        <w:br/>
        <w:t xml:space="preserve">Equipment is used in electricity generation and direct-use applications, including district heating, industrial process heat, and agricultural drying. Electricity generation dominates the market, representing an estimated 70% of overall 2024 revenue, </w:t>
      </w:r>
      <w:proofErr w:type="spellStart"/>
      <w:r w:rsidRPr="00C71D4D">
        <w:rPr>
          <w:rFonts w:ascii="Times New Roman" w:eastAsia="Times New Roman" w:hAnsi="Times New Roman" w:cs="Times New Roman"/>
          <w:sz w:val="24"/>
          <w:szCs w:val="24"/>
          <w:lang w:eastAsia="en-IN"/>
        </w:rPr>
        <w:t>fueled</w:t>
      </w:r>
      <w:proofErr w:type="spellEnd"/>
      <w:r w:rsidRPr="00C71D4D">
        <w:rPr>
          <w:rFonts w:ascii="Times New Roman" w:eastAsia="Times New Roman" w:hAnsi="Times New Roman" w:cs="Times New Roman"/>
          <w:sz w:val="24"/>
          <w:szCs w:val="24"/>
          <w:lang w:eastAsia="en-IN"/>
        </w:rPr>
        <w:t xml:space="preserve"> by large-scale geothermal power projects in the U.S., Indonesia, and East Africa. Direct-use applications, however, are the fastest-growing sub-segment, particularly in Europe and Asia-Pacific, where decentralized heating solutions are gaining traction.</w:t>
      </w:r>
    </w:p>
    <w:p w14:paraId="7201FDA4"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By End User</w:t>
      </w:r>
      <w:r w:rsidRPr="00C71D4D">
        <w:rPr>
          <w:rFonts w:ascii="Times New Roman" w:eastAsia="Times New Roman" w:hAnsi="Times New Roman" w:cs="Times New Roman"/>
          <w:sz w:val="24"/>
          <w:szCs w:val="24"/>
          <w:lang w:eastAsia="en-IN"/>
        </w:rPr>
        <w:br/>
        <w:t>Key end users include utility companies, independent power producers (IPPs), and industrial facilities. Utilities lead in market share due to the scale of infrastructure investment, while IPPs and industrial consumers are increasingly adopting geothermal solutions for self-generation and process efficiency. Industrial applications are particularly notable in countries with strong policy incentives for renewable energy integration.</w:t>
      </w:r>
    </w:p>
    <w:p w14:paraId="516C8027"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By Region</w:t>
      </w:r>
      <w:r w:rsidRPr="00C71D4D">
        <w:rPr>
          <w:rFonts w:ascii="Times New Roman" w:eastAsia="Times New Roman" w:hAnsi="Times New Roman" w:cs="Times New Roman"/>
          <w:sz w:val="24"/>
          <w:szCs w:val="24"/>
          <w:lang w:eastAsia="en-IN"/>
        </w:rPr>
        <w:br/>
        <w:t>The market spans North America, Europe, Asia-Pacific, and LAMEA (Latin America, Middle East &amp; Africa). North America holds the largest share, supported by mature geothermal infrastructure in the U.S. and Canada. Asia-Pacific is projected to be the fastest-growing region due to high geothermal potential in countries such as Indonesia, the Philippines, and Japan. Europe demonstrates steady adoption, particularly in Iceland, Italy, and Germany, where government policies support renewable heat projects. LAMEA represents an emerging market, with Kenya, Chile, and Mexico leading geothermal development.</w:t>
      </w:r>
    </w:p>
    <w:p w14:paraId="4A7D3082"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i/>
          <w:iCs/>
          <w:sz w:val="24"/>
          <w:szCs w:val="24"/>
          <w:lang w:eastAsia="en-IN"/>
        </w:rPr>
        <w:t>Strategic insight: While turbines and electricity generation currently dominate, the fastest growth opportunities lie in pumps, heat exchangers, and direct-use applications, particularly in emerging markets where geothermal adoption is in early stages.</w:t>
      </w:r>
    </w:p>
    <w:p w14:paraId="3A8CA408" w14:textId="77777777" w:rsidR="00C71D4D" w:rsidRPr="00C71D4D" w:rsidRDefault="00C71D4D" w:rsidP="00C71D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1D4D">
        <w:rPr>
          <w:rFonts w:ascii="Times New Roman" w:eastAsia="Times New Roman" w:hAnsi="Times New Roman" w:cs="Times New Roman"/>
          <w:b/>
          <w:bCs/>
          <w:kern w:val="36"/>
          <w:sz w:val="48"/>
          <w:szCs w:val="48"/>
          <w:lang w:eastAsia="en-IN"/>
        </w:rPr>
        <w:t>3. Market Trends and Innovation Landscape</w:t>
      </w:r>
    </w:p>
    <w:p w14:paraId="407D8D6A"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The Geothermal Power Equipment Market is experiencing a transformative phase driven by technological advancements, operational efficiency improvements, and the global push for renewable energy adoption. Innovations are shaping both equipment performance and project economics, making geothermal a more competitive and attractive energy source.</w:t>
      </w:r>
    </w:p>
    <w:p w14:paraId="2BA6F26D"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lastRenderedPageBreak/>
        <w:t>Advanced Turbine and Generator Technologies</w:t>
      </w:r>
      <w:r w:rsidRPr="00C71D4D">
        <w:rPr>
          <w:rFonts w:ascii="Times New Roman" w:eastAsia="Times New Roman" w:hAnsi="Times New Roman" w:cs="Times New Roman"/>
          <w:sz w:val="24"/>
          <w:szCs w:val="24"/>
          <w:lang w:eastAsia="en-IN"/>
        </w:rPr>
        <w:br/>
        <w:t>Recent developments in turbine design focus on higher efficiency under variable geothermal fluid conditions. Binary cycle turbines, which can utilize lower-temperature resources, are gaining adoption across Europe and Asia-Pacific. Similarly, generators are being optimized for corrosion resistance and long-term reliability in high-salinity geothermal environments. These innovations not only enhance output but also reduce maintenance frequency and costs, improving project ROI.</w:t>
      </w:r>
    </w:p>
    <w:p w14:paraId="3EAF0E0C"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Enhanced Geothermal Systems (EGS) and Drilling Innovations</w:t>
      </w:r>
      <w:r w:rsidRPr="00C71D4D">
        <w:rPr>
          <w:rFonts w:ascii="Times New Roman" w:eastAsia="Times New Roman" w:hAnsi="Times New Roman" w:cs="Times New Roman"/>
          <w:sz w:val="24"/>
          <w:szCs w:val="24"/>
          <w:lang w:eastAsia="en-IN"/>
        </w:rPr>
        <w:br/>
        <w:t xml:space="preserve">EGS technology is emerging as a critical growth driver, enabling geothermal energy extraction from previously untapped or low-permeability reservoirs. High-precision drilling equipment, advanced drill bits, and real-time downhole monitoring systems are enhancing drilling speed and accuracy while mitigating risks associated with deep geothermal wells. </w:t>
      </w:r>
      <w:r w:rsidRPr="00C71D4D">
        <w:rPr>
          <w:rFonts w:ascii="Times New Roman" w:eastAsia="Times New Roman" w:hAnsi="Times New Roman" w:cs="Times New Roman"/>
          <w:i/>
          <w:iCs/>
          <w:sz w:val="24"/>
          <w:szCs w:val="24"/>
          <w:lang w:eastAsia="en-IN"/>
        </w:rPr>
        <w:t>Expert insight: As drilling costs decrease and reservoir targeting becomes more accurate, EGS could unlock substantial untapped geothermal potential worldwide.</w:t>
      </w:r>
    </w:p>
    <w:p w14:paraId="5CBAC304"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Digital Integration and Predictive Maintenance</w:t>
      </w:r>
      <w:r w:rsidRPr="00C71D4D">
        <w:rPr>
          <w:rFonts w:ascii="Times New Roman" w:eastAsia="Times New Roman" w:hAnsi="Times New Roman" w:cs="Times New Roman"/>
          <w:sz w:val="24"/>
          <w:szCs w:val="24"/>
          <w:lang w:eastAsia="en-IN"/>
        </w:rPr>
        <w:br/>
        <w:t>The adoption of IoT sensors, AI-driven analytics, and remote monitoring platforms is increasing. Equipment manufacturers are integrating predictive maintenance systems to reduce downtime and optimize turbine, pump, and heat exchanger performance. These technologies allow operators to forecast component failures, schedule timely interventions, and minimize operational disruptions, especially in remote geothermal sites.</w:t>
      </w:r>
    </w:p>
    <w:p w14:paraId="03D8566F"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Materials and Corrosion Resistance</w:t>
      </w:r>
      <w:r w:rsidRPr="00C71D4D">
        <w:rPr>
          <w:rFonts w:ascii="Times New Roman" w:eastAsia="Times New Roman" w:hAnsi="Times New Roman" w:cs="Times New Roman"/>
          <w:sz w:val="24"/>
          <w:szCs w:val="24"/>
          <w:lang w:eastAsia="en-IN"/>
        </w:rPr>
        <w:br/>
        <w:t>The harsh chemical composition of geothermal fluids demands specialized materials. Innovations in corrosion-resistant alloys and coatings for turbines, heat exchangers, and piping systems are extending equipment lifespan. These materials also allow for higher temperature operation, enhancing energy conversion efficiency.</w:t>
      </w:r>
    </w:p>
    <w:p w14:paraId="1D789BF8"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Collaborations and Partnerships</w:t>
      </w:r>
      <w:r w:rsidRPr="00C71D4D">
        <w:rPr>
          <w:rFonts w:ascii="Times New Roman" w:eastAsia="Times New Roman" w:hAnsi="Times New Roman" w:cs="Times New Roman"/>
          <w:sz w:val="24"/>
          <w:szCs w:val="24"/>
          <w:lang w:eastAsia="en-IN"/>
        </w:rPr>
        <w:br/>
        <w:t>Strategic collaborations between OEMs, research institutes, and government agencies are driving innovation. Partnerships often focus on developing next-generation turbines, low-cost drilling techniques, and hybrid systems that integrate geothermal with solar or waste heat recovery. Several projects are exploring modular geothermal plants for faster deployment and lower capital requirements.</w:t>
      </w:r>
    </w:p>
    <w:p w14:paraId="3704430D"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Market Implications</w:t>
      </w:r>
      <w:r w:rsidRPr="00C71D4D">
        <w:rPr>
          <w:rFonts w:ascii="Times New Roman" w:eastAsia="Times New Roman" w:hAnsi="Times New Roman" w:cs="Times New Roman"/>
          <w:sz w:val="24"/>
          <w:szCs w:val="24"/>
          <w:lang w:eastAsia="en-IN"/>
        </w:rPr>
        <w:br/>
        <w:t>Innovation trends indicate that the geothermal power equipment market is moving from traditional, resource-intensive designs toward efficient, flexible, and digitally integrated systems. This not only reduces operational risk but also opens new applications, such as decentralized heating solutions and industrial process energy, particularly in regions where conventional geothermal resources are limited.</w:t>
      </w:r>
    </w:p>
    <w:p w14:paraId="398D07EA"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i/>
          <w:iCs/>
          <w:sz w:val="24"/>
          <w:szCs w:val="24"/>
          <w:lang w:eastAsia="en-IN"/>
        </w:rPr>
        <w:t xml:space="preserve">Strategic insight: Continued R&amp;D investment in high-efficiency turbines, EGS, and digital solutions will likely redefine competitive dynamics, </w:t>
      </w:r>
      <w:proofErr w:type="spellStart"/>
      <w:r w:rsidRPr="00C71D4D">
        <w:rPr>
          <w:rFonts w:ascii="Times New Roman" w:eastAsia="Times New Roman" w:hAnsi="Times New Roman" w:cs="Times New Roman"/>
          <w:i/>
          <w:iCs/>
          <w:sz w:val="24"/>
          <w:szCs w:val="24"/>
          <w:lang w:eastAsia="en-IN"/>
        </w:rPr>
        <w:t>favoring</w:t>
      </w:r>
      <w:proofErr w:type="spellEnd"/>
      <w:r w:rsidRPr="00C71D4D">
        <w:rPr>
          <w:rFonts w:ascii="Times New Roman" w:eastAsia="Times New Roman" w:hAnsi="Times New Roman" w:cs="Times New Roman"/>
          <w:i/>
          <w:iCs/>
          <w:sz w:val="24"/>
          <w:szCs w:val="24"/>
          <w:lang w:eastAsia="en-IN"/>
        </w:rPr>
        <w:t xml:space="preserve"> OEMs capable of delivering technologically advanced and cost-effective geothermal solutions.</w:t>
      </w:r>
    </w:p>
    <w:p w14:paraId="4D086453" w14:textId="77777777" w:rsidR="00C71D4D" w:rsidRPr="00C71D4D" w:rsidRDefault="00C71D4D" w:rsidP="00C71D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1D4D">
        <w:rPr>
          <w:rFonts w:ascii="Times New Roman" w:eastAsia="Times New Roman" w:hAnsi="Times New Roman" w:cs="Times New Roman"/>
          <w:b/>
          <w:bCs/>
          <w:kern w:val="36"/>
          <w:sz w:val="48"/>
          <w:szCs w:val="48"/>
          <w:lang w:eastAsia="en-IN"/>
        </w:rPr>
        <w:lastRenderedPageBreak/>
        <w:t>4. Competitive Intelligence and Benchmarking</w:t>
      </w:r>
    </w:p>
    <w:p w14:paraId="55FDAC74"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The Geothermal Power Equipment Market is moderately consolidated, with a mix of global OEMs and regional specialists. Companies are competing on technology innovation, reliability, and project-specific customization rather than on price alone. Strategic partnerships, joint ventures, and long-term service contracts are common, reflecting the capital-intensive nature of geothermal projects.</w:t>
      </w:r>
    </w:p>
    <w:p w14:paraId="7FCDB1FB"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71D4D">
        <w:rPr>
          <w:rFonts w:ascii="Times New Roman" w:eastAsia="Times New Roman" w:hAnsi="Times New Roman" w:cs="Times New Roman"/>
          <w:b/>
          <w:bCs/>
          <w:sz w:val="24"/>
          <w:szCs w:val="24"/>
          <w:lang w:eastAsia="en-IN"/>
        </w:rPr>
        <w:t>Ormat</w:t>
      </w:r>
      <w:proofErr w:type="spellEnd"/>
      <w:r w:rsidRPr="00C71D4D">
        <w:rPr>
          <w:rFonts w:ascii="Times New Roman" w:eastAsia="Times New Roman" w:hAnsi="Times New Roman" w:cs="Times New Roman"/>
          <w:b/>
          <w:bCs/>
          <w:sz w:val="24"/>
          <w:szCs w:val="24"/>
          <w:lang w:eastAsia="en-IN"/>
        </w:rPr>
        <w:t xml:space="preserve"> Technologies</w:t>
      </w:r>
      <w:r w:rsidRPr="00C71D4D">
        <w:rPr>
          <w:rFonts w:ascii="Times New Roman" w:eastAsia="Times New Roman" w:hAnsi="Times New Roman" w:cs="Times New Roman"/>
          <w:sz w:val="24"/>
          <w:szCs w:val="24"/>
          <w:lang w:eastAsia="en-IN"/>
        </w:rPr>
        <w:br/>
      </w:r>
      <w:proofErr w:type="spellStart"/>
      <w:r w:rsidRPr="00C71D4D">
        <w:rPr>
          <w:rFonts w:ascii="Times New Roman" w:eastAsia="Times New Roman" w:hAnsi="Times New Roman" w:cs="Times New Roman"/>
          <w:sz w:val="24"/>
          <w:szCs w:val="24"/>
          <w:lang w:eastAsia="en-IN"/>
        </w:rPr>
        <w:t>Ormat</w:t>
      </w:r>
      <w:proofErr w:type="spellEnd"/>
      <w:r w:rsidRPr="00C71D4D">
        <w:rPr>
          <w:rFonts w:ascii="Times New Roman" w:eastAsia="Times New Roman" w:hAnsi="Times New Roman" w:cs="Times New Roman"/>
          <w:sz w:val="24"/>
          <w:szCs w:val="24"/>
          <w:lang w:eastAsia="en-IN"/>
        </w:rPr>
        <w:t xml:space="preserve"> is a global leader in geothermal power solutions, known for its proprietary binary cycle technology and modular plant designs. The company emphasizes integrated project delivery, combining equipment supply with operations and maintenance services. </w:t>
      </w:r>
      <w:proofErr w:type="spellStart"/>
      <w:r w:rsidRPr="00C71D4D">
        <w:rPr>
          <w:rFonts w:ascii="Times New Roman" w:eastAsia="Times New Roman" w:hAnsi="Times New Roman" w:cs="Times New Roman"/>
          <w:sz w:val="24"/>
          <w:szCs w:val="24"/>
          <w:lang w:eastAsia="en-IN"/>
        </w:rPr>
        <w:t>Ormat’s</w:t>
      </w:r>
      <w:proofErr w:type="spellEnd"/>
      <w:r w:rsidRPr="00C71D4D">
        <w:rPr>
          <w:rFonts w:ascii="Times New Roman" w:eastAsia="Times New Roman" w:hAnsi="Times New Roman" w:cs="Times New Roman"/>
          <w:sz w:val="24"/>
          <w:szCs w:val="24"/>
          <w:lang w:eastAsia="en-IN"/>
        </w:rPr>
        <w:t xml:space="preserve"> strategic focus on emerging markets, particularly in East Africa and Asia, provides a competitive edge in new project deployments.</w:t>
      </w:r>
    </w:p>
    <w:p w14:paraId="1131F434"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Mitsubishi Heavy Industries</w:t>
      </w:r>
      <w:r w:rsidRPr="00C71D4D">
        <w:rPr>
          <w:rFonts w:ascii="Times New Roman" w:eastAsia="Times New Roman" w:hAnsi="Times New Roman" w:cs="Times New Roman"/>
          <w:sz w:val="24"/>
          <w:szCs w:val="24"/>
          <w:lang w:eastAsia="en-IN"/>
        </w:rPr>
        <w:br/>
        <w:t>Mitsubishi offers high-efficiency turbines and generators designed for both high- and low-temperature geothermal reservoirs. The company leverages decades of industrial experience to provide large-scale solutions for utility companies. Mitsubishi emphasizes customization and durability, which is particularly valuable in high-corrosion geothermal environments in the Asia-Pacific region.</w:t>
      </w:r>
    </w:p>
    <w:p w14:paraId="447238D8"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Siemens Energy</w:t>
      </w:r>
      <w:r w:rsidRPr="00C71D4D">
        <w:rPr>
          <w:rFonts w:ascii="Times New Roman" w:eastAsia="Times New Roman" w:hAnsi="Times New Roman" w:cs="Times New Roman"/>
          <w:sz w:val="24"/>
          <w:szCs w:val="24"/>
          <w:lang w:eastAsia="en-IN"/>
        </w:rPr>
        <w:br/>
        <w:t>Siemens is increasingly active in geothermal projects through turbine and generator offerings integrated with digital monitoring solutions. Their strategy combines advanced engineering, predictive maintenance, and regional partnerships to capture market share in both Europe and North America. Siemens differentiates itself by focusing on high-capacity geothermal plants and long-term operational performance.</w:t>
      </w:r>
    </w:p>
    <w:p w14:paraId="6CFB9B05"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Toshiba Energy Systems &amp; Solutions</w:t>
      </w:r>
      <w:r w:rsidRPr="00C71D4D">
        <w:rPr>
          <w:rFonts w:ascii="Times New Roman" w:eastAsia="Times New Roman" w:hAnsi="Times New Roman" w:cs="Times New Roman"/>
          <w:sz w:val="24"/>
          <w:szCs w:val="24"/>
          <w:lang w:eastAsia="en-IN"/>
        </w:rPr>
        <w:br/>
        <w:t>Toshiba’s geothermal turbines and generators are tailored for efficiency in mid- and high-temperature reservoirs. The company invests in hybrid energy solutions and digital monitoring technologies, targeting utility-scale projects and industrial applications. Toshiba often collaborates with local EPC firms to optimize project execution in emerging markets.</w:t>
      </w:r>
    </w:p>
    <w:p w14:paraId="0B7705E2"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Enel Green Power</w:t>
      </w:r>
      <w:r w:rsidRPr="00C71D4D">
        <w:rPr>
          <w:rFonts w:ascii="Times New Roman" w:eastAsia="Times New Roman" w:hAnsi="Times New Roman" w:cs="Times New Roman"/>
          <w:sz w:val="24"/>
          <w:szCs w:val="24"/>
          <w:lang w:eastAsia="en-IN"/>
        </w:rPr>
        <w:br/>
        <w:t>Enel focuses on the European and Latin American markets, providing both equipment and integrated geothermal power solutions. Their approach emphasizes environmental compliance, digital optimization, and renewable energy integration. Enel’s competitive strategy includes long-term maintenance agreements, ensuring high plant availability and operator confidence.</w:t>
      </w:r>
    </w:p>
    <w:p w14:paraId="70295457"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Other notable players</w:t>
      </w:r>
      <w:r w:rsidRPr="00C71D4D">
        <w:rPr>
          <w:rFonts w:ascii="Times New Roman" w:eastAsia="Times New Roman" w:hAnsi="Times New Roman" w:cs="Times New Roman"/>
          <w:sz w:val="24"/>
          <w:szCs w:val="24"/>
          <w:lang w:eastAsia="en-IN"/>
        </w:rPr>
        <w:br/>
        <w:t>Regional specialists in Europe, Asia, and Latin America contribute with niche equipment solutions, particularly in heat exchangers, pumps, and modular drilling units. These players often cater to small-to-medium geothermal projects, addressing the growing demand for decentralized energy applications.</w:t>
      </w:r>
    </w:p>
    <w:p w14:paraId="7C957202"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i/>
          <w:iCs/>
          <w:sz w:val="24"/>
          <w:szCs w:val="24"/>
          <w:lang w:eastAsia="en-IN"/>
        </w:rPr>
        <w:lastRenderedPageBreak/>
        <w:t xml:space="preserve">Market dynamics: While </w:t>
      </w:r>
      <w:proofErr w:type="spellStart"/>
      <w:r w:rsidRPr="00C71D4D">
        <w:rPr>
          <w:rFonts w:ascii="Times New Roman" w:eastAsia="Times New Roman" w:hAnsi="Times New Roman" w:cs="Times New Roman"/>
          <w:i/>
          <w:iCs/>
          <w:sz w:val="24"/>
          <w:szCs w:val="24"/>
          <w:lang w:eastAsia="en-IN"/>
        </w:rPr>
        <w:t>Ormat</w:t>
      </w:r>
      <w:proofErr w:type="spellEnd"/>
      <w:r w:rsidRPr="00C71D4D">
        <w:rPr>
          <w:rFonts w:ascii="Times New Roman" w:eastAsia="Times New Roman" w:hAnsi="Times New Roman" w:cs="Times New Roman"/>
          <w:i/>
          <w:iCs/>
          <w:sz w:val="24"/>
          <w:szCs w:val="24"/>
          <w:lang w:eastAsia="en-IN"/>
        </w:rPr>
        <w:t>, Mitsubishi, and Siemens dominate high-end, utility-scale projects, niche players are capitalizing on smaller projects and direct-use applications. Strategic partnerships, technology differentiation, and digital integration are emerging as the most important competitive levers.</w:t>
      </w:r>
    </w:p>
    <w:p w14:paraId="05F80956" w14:textId="77777777" w:rsidR="00C71D4D" w:rsidRPr="00C71D4D" w:rsidRDefault="00C71D4D" w:rsidP="00C71D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1D4D">
        <w:rPr>
          <w:rFonts w:ascii="Times New Roman" w:eastAsia="Times New Roman" w:hAnsi="Times New Roman" w:cs="Times New Roman"/>
          <w:b/>
          <w:bCs/>
          <w:kern w:val="36"/>
          <w:sz w:val="48"/>
          <w:szCs w:val="48"/>
          <w:lang w:eastAsia="en-IN"/>
        </w:rPr>
        <w:t>5. Regional Landscape and Adoption Outlook</w:t>
      </w:r>
    </w:p>
    <w:p w14:paraId="178AEAB5"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The adoption of geothermal power equipment varies significantly across regions, influenced by resource availability, regulatory frameworks, infrastructure readiness, and investment climate. Understanding regional dynamics is critical for stakeholders planning market entry or expansion.</w:t>
      </w:r>
    </w:p>
    <w:p w14:paraId="475AD9A6"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North America</w:t>
      </w:r>
      <w:r w:rsidRPr="00C71D4D">
        <w:rPr>
          <w:rFonts w:ascii="Times New Roman" w:eastAsia="Times New Roman" w:hAnsi="Times New Roman" w:cs="Times New Roman"/>
          <w:sz w:val="24"/>
          <w:szCs w:val="24"/>
          <w:lang w:eastAsia="en-IN"/>
        </w:rPr>
        <w:br/>
        <w:t>North America remains a mature geothermal market, led by the United States. The U.S. benefits from well-established geothermal resources in the western states, supportive federal incentives, and strong state-level renewable energy mandates. Canada is gradually expanding its geothermal capacity, primarily for direct-use applications and small-scale electricity generation. High adoption of advanced turbines, digital monitoring systems, and corrosion-resistant materials positions North America as a technological leader. The market here is characterized by large-scale projects and utility-led deployments.</w:t>
      </w:r>
    </w:p>
    <w:p w14:paraId="035CA27B"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Europe</w:t>
      </w:r>
      <w:r w:rsidRPr="00C71D4D">
        <w:rPr>
          <w:rFonts w:ascii="Times New Roman" w:eastAsia="Times New Roman" w:hAnsi="Times New Roman" w:cs="Times New Roman"/>
          <w:sz w:val="24"/>
          <w:szCs w:val="24"/>
          <w:lang w:eastAsia="en-IN"/>
        </w:rPr>
        <w:br/>
      </w:r>
      <w:proofErr w:type="spellStart"/>
      <w:r w:rsidRPr="00C71D4D">
        <w:rPr>
          <w:rFonts w:ascii="Times New Roman" w:eastAsia="Times New Roman" w:hAnsi="Times New Roman" w:cs="Times New Roman"/>
          <w:sz w:val="24"/>
          <w:szCs w:val="24"/>
          <w:lang w:eastAsia="en-IN"/>
        </w:rPr>
        <w:t>Europe</w:t>
      </w:r>
      <w:proofErr w:type="spellEnd"/>
      <w:r w:rsidRPr="00C71D4D">
        <w:rPr>
          <w:rFonts w:ascii="Times New Roman" w:eastAsia="Times New Roman" w:hAnsi="Times New Roman" w:cs="Times New Roman"/>
          <w:sz w:val="24"/>
          <w:szCs w:val="24"/>
          <w:lang w:eastAsia="en-IN"/>
        </w:rPr>
        <w:t xml:space="preserve"> shows moderate adoption, driven by countries with high geothermal potential such as Iceland, Italy, Germany, and France. Government policies promoting renewable heat and electricity, combined with EU-funded research initiatives, support the adoption of geothermal equipment. Direct-use applications, including district heating and industrial process heat, are growing rapidly. Eastern European countries are gradually expanding capacity, but adoption is still constrained by limited expertise and initial capital costs.</w:t>
      </w:r>
    </w:p>
    <w:p w14:paraId="13D1EEC0"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Asia-Pacific</w:t>
      </w:r>
      <w:r w:rsidRPr="00C71D4D">
        <w:rPr>
          <w:rFonts w:ascii="Times New Roman" w:eastAsia="Times New Roman" w:hAnsi="Times New Roman" w:cs="Times New Roman"/>
          <w:sz w:val="24"/>
          <w:szCs w:val="24"/>
          <w:lang w:eastAsia="en-IN"/>
        </w:rPr>
        <w:br/>
      </w:r>
      <w:proofErr w:type="spellStart"/>
      <w:r w:rsidRPr="00C71D4D">
        <w:rPr>
          <w:rFonts w:ascii="Times New Roman" w:eastAsia="Times New Roman" w:hAnsi="Times New Roman" w:cs="Times New Roman"/>
          <w:sz w:val="24"/>
          <w:szCs w:val="24"/>
          <w:lang w:eastAsia="en-IN"/>
        </w:rPr>
        <w:t>Asia-Pacific</w:t>
      </w:r>
      <w:proofErr w:type="spellEnd"/>
      <w:r w:rsidRPr="00C71D4D">
        <w:rPr>
          <w:rFonts w:ascii="Times New Roman" w:eastAsia="Times New Roman" w:hAnsi="Times New Roman" w:cs="Times New Roman"/>
          <w:sz w:val="24"/>
          <w:szCs w:val="24"/>
          <w:lang w:eastAsia="en-IN"/>
        </w:rPr>
        <w:t xml:space="preserve"> is the fastest-growing region due to abundant geothermal resources in Indonesia, the Philippines, Japan, and New Zealand. Rapid population growth, rising electricity demand, and government incentives are </w:t>
      </w:r>
      <w:proofErr w:type="spellStart"/>
      <w:r w:rsidRPr="00C71D4D">
        <w:rPr>
          <w:rFonts w:ascii="Times New Roman" w:eastAsia="Times New Roman" w:hAnsi="Times New Roman" w:cs="Times New Roman"/>
          <w:sz w:val="24"/>
          <w:szCs w:val="24"/>
          <w:lang w:eastAsia="en-IN"/>
        </w:rPr>
        <w:t>fueling</w:t>
      </w:r>
      <w:proofErr w:type="spellEnd"/>
      <w:r w:rsidRPr="00C71D4D">
        <w:rPr>
          <w:rFonts w:ascii="Times New Roman" w:eastAsia="Times New Roman" w:hAnsi="Times New Roman" w:cs="Times New Roman"/>
          <w:sz w:val="24"/>
          <w:szCs w:val="24"/>
          <w:lang w:eastAsia="en-IN"/>
        </w:rPr>
        <w:t xml:space="preserve"> investment in both electricity generation and direct-use applications. Private sector participation and independent power producers are increasing, particularly in Indonesia and the Philippines. Despite this growth, challenges such as infrastructure gaps and high upfront drilling costs persist, creating opportunities for innovative equipment solutions that reduce operational risk.</w:t>
      </w:r>
    </w:p>
    <w:p w14:paraId="77C0F9B6"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LAMEA (Latin America, Middle East &amp; Africa)</w:t>
      </w:r>
      <w:r w:rsidRPr="00C71D4D">
        <w:rPr>
          <w:rFonts w:ascii="Times New Roman" w:eastAsia="Times New Roman" w:hAnsi="Times New Roman" w:cs="Times New Roman"/>
          <w:sz w:val="24"/>
          <w:szCs w:val="24"/>
          <w:lang w:eastAsia="en-IN"/>
        </w:rPr>
        <w:br/>
        <w:t>LAMEA is an emerging geothermal frontier. Latin American countries like Chile, Mexico, and Nicaragua are investing in geothermal power projects, primarily for electricity generation. Kenya leads geothermal adoption in Africa, supported by government initiatives and international financing. The Middle East shows limited geothermal activity, but countries with significant volcanic or geothermal potential are exploring pilot projects. Across LAMEA, adoption is constrained by capital intensity, technology accessibility, and limited skilled workforce, but international partnerships are helping bridge these gaps.</w:t>
      </w:r>
    </w:p>
    <w:p w14:paraId="4138C3A3"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i/>
          <w:iCs/>
          <w:sz w:val="24"/>
          <w:szCs w:val="24"/>
          <w:lang w:eastAsia="en-IN"/>
        </w:rPr>
        <w:lastRenderedPageBreak/>
        <w:t>Strategic insight: North America and Europe serve as innovation and demonstration hubs, while Asia-Pacific leads in deployment volume. LAMEA represents untapped potential where low-cost, modular, and technologically adaptable geothermal equipment solutions can accelerate market penetration.</w:t>
      </w:r>
    </w:p>
    <w:p w14:paraId="7F92C6C0" w14:textId="77777777" w:rsidR="00C71D4D" w:rsidRPr="00C71D4D" w:rsidRDefault="00C71D4D" w:rsidP="00C71D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1D4D">
        <w:rPr>
          <w:rFonts w:ascii="Times New Roman" w:eastAsia="Times New Roman" w:hAnsi="Times New Roman" w:cs="Times New Roman"/>
          <w:b/>
          <w:bCs/>
          <w:kern w:val="36"/>
          <w:sz w:val="48"/>
          <w:szCs w:val="48"/>
          <w:lang w:eastAsia="en-IN"/>
        </w:rPr>
        <w:t>6. End-User Dynamics and Use Case</w:t>
      </w:r>
    </w:p>
    <w:p w14:paraId="3CDFB15E"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The Geothermal Power Equipment Market serves a diverse range of end users, each with unique requirements and adoption patterns. Understanding these dynamics is critical for suppliers, project developers, and investors seeking to align their strategies with market demand.</w:t>
      </w:r>
    </w:p>
    <w:p w14:paraId="6CA43DE2"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Utility Companies</w:t>
      </w:r>
      <w:r w:rsidRPr="00C71D4D">
        <w:rPr>
          <w:rFonts w:ascii="Times New Roman" w:eastAsia="Times New Roman" w:hAnsi="Times New Roman" w:cs="Times New Roman"/>
          <w:sz w:val="24"/>
          <w:szCs w:val="24"/>
          <w:lang w:eastAsia="en-IN"/>
        </w:rPr>
        <w:br/>
        <w:t>Utility companies are the primary end users of geothermal power equipment, particularly for large-scale electricity generation. Their projects often involve high-capacity turbines, generators, heat exchangers, and pumping systems. Utilities prioritize reliability, efficiency, and long-term operational support, making full-service solutions and predictive maintenance capabilities highly attractive. Utilities also tend to enter into long-term contracts with OEMs to ensure consistent performance and reduce downtime.</w:t>
      </w:r>
    </w:p>
    <w:p w14:paraId="73E70607"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Independent Power Producers (IPPs)</w:t>
      </w:r>
      <w:r w:rsidRPr="00C71D4D">
        <w:rPr>
          <w:rFonts w:ascii="Times New Roman" w:eastAsia="Times New Roman" w:hAnsi="Times New Roman" w:cs="Times New Roman"/>
          <w:sz w:val="24"/>
          <w:szCs w:val="24"/>
          <w:lang w:eastAsia="en-IN"/>
        </w:rPr>
        <w:br/>
        <w:t>IPPs are increasingly active in geothermal energy, especially in emerging markets where government incentives support private investment. IPPs typically adopt modular or scalable equipment solutions to match project size and resource availability. Their focus is on cost-effectiveness and rapid deployment, often partnering with EPC firms for turnkey solutions. IPPs are driving demand for flexible and technologically adaptable equipment that can be customized to local geothermal conditions.</w:t>
      </w:r>
    </w:p>
    <w:p w14:paraId="00DF2F5C"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Industrial Facilities</w:t>
      </w:r>
      <w:r w:rsidRPr="00C71D4D">
        <w:rPr>
          <w:rFonts w:ascii="Times New Roman" w:eastAsia="Times New Roman" w:hAnsi="Times New Roman" w:cs="Times New Roman"/>
          <w:sz w:val="24"/>
          <w:szCs w:val="24"/>
          <w:lang w:eastAsia="en-IN"/>
        </w:rPr>
        <w:br/>
        <w:t>Industrial end users leverage geothermal equipment primarily for direct-use applications, including process heating, drying, and cooling systems. This segment is growing in regions like Europe and Asia-Pacific, where energy efficiency mandates and sustainability targets are becoming stricter. Industrial users prioritize compact, durable, and low-maintenance equipment to minimize operational interruptions and reduce energy costs.</w:t>
      </w:r>
    </w:p>
    <w:p w14:paraId="0D2896CB"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Use Case Highlight</w:t>
      </w:r>
      <w:r w:rsidRPr="00C71D4D">
        <w:rPr>
          <w:rFonts w:ascii="Times New Roman" w:eastAsia="Times New Roman" w:hAnsi="Times New Roman" w:cs="Times New Roman"/>
          <w:sz w:val="24"/>
          <w:szCs w:val="24"/>
          <w:lang w:eastAsia="en-IN"/>
        </w:rPr>
        <w:br/>
        <w:t>A large geothermal plant in the Philippines faced operational inefficiencies due to scaling and corrosion in its heat exchangers and turbine components. The plant upgraded to a new generation of corrosion-resistant turbines and high-efficiency heat exchangers equipped with IoT-based monitoring systems. Predictive maintenance alerts allowed operators to schedule interventions proactively, reducing unplanned downtime by 30%. Additionally, real-time performance data optimized energy output, increasing overall plant efficiency by 12% within the first year of implementation. This case underscores the value of technologically advanced geothermal equipment in improving operational reliability and cost-effectiveness.</w:t>
      </w:r>
    </w:p>
    <w:p w14:paraId="692DB054"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i/>
          <w:iCs/>
          <w:sz w:val="24"/>
          <w:szCs w:val="24"/>
          <w:lang w:eastAsia="en-IN"/>
        </w:rPr>
        <w:t>Strategic insight: End users are increasingly looking beyond mere equipment procurement. They value integrated solutions that provide operational intelligence, longevity, and scalability, particularly in high-stakes electricity generation and industrial applications.</w:t>
      </w:r>
    </w:p>
    <w:p w14:paraId="0D87CD65" w14:textId="77777777" w:rsidR="00C71D4D" w:rsidRPr="00C71D4D" w:rsidRDefault="00C71D4D" w:rsidP="00C71D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1D4D">
        <w:rPr>
          <w:rFonts w:ascii="Times New Roman" w:eastAsia="Times New Roman" w:hAnsi="Times New Roman" w:cs="Times New Roman"/>
          <w:b/>
          <w:bCs/>
          <w:kern w:val="36"/>
          <w:sz w:val="48"/>
          <w:szCs w:val="48"/>
          <w:lang w:eastAsia="en-IN"/>
        </w:rPr>
        <w:lastRenderedPageBreak/>
        <w:t>7. Recent Developments + Opportunities &amp; Restraints</w:t>
      </w:r>
    </w:p>
    <w:p w14:paraId="2DDF4248"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Recent Developments (Last 2 Years)</w:t>
      </w:r>
    </w:p>
    <w:p w14:paraId="68FE8C89" w14:textId="5C8D506B" w:rsidR="00C71D4D" w:rsidRPr="00C71D4D" w:rsidRDefault="00C71D4D" w:rsidP="00C71D4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71D4D">
        <w:rPr>
          <w:rFonts w:ascii="Times New Roman" w:eastAsia="Times New Roman" w:hAnsi="Times New Roman" w:cs="Times New Roman"/>
          <w:b/>
          <w:bCs/>
          <w:sz w:val="24"/>
          <w:szCs w:val="24"/>
          <w:lang w:eastAsia="en-IN"/>
        </w:rPr>
        <w:t>Ormat</w:t>
      </w:r>
      <w:proofErr w:type="spellEnd"/>
      <w:r w:rsidRPr="00C71D4D">
        <w:rPr>
          <w:rFonts w:ascii="Times New Roman" w:eastAsia="Times New Roman" w:hAnsi="Times New Roman" w:cs="Times New Roman"/>
          <w:b/>
          <w:bCs/>
          <w:sz w:val="24"/>
          <w:szCs w:val="24"/>
          <w:lang w:eastAsia="en-IN"/>
        </w:rPr>
        <w:t xml:space="preserve"> Technologies</w:t>
      </w:r>
      <w:r w:rsidRPr="00C71D4D">
        <w:rPr>
          <w:rFonts w:ascii="Times New Roman" w:eastAsia="Times New Roman" w:hAnsi="Times New Roman" w:cs="Times New Roman"/>
          <w:sz w:val="24"/>
          <w:szCs w:val="24"/>
          <w:lang w:eastAsia="en-IN"/>
        </w:rPr>
        <w:t xml:space="preserve"> launched an upgraded binary cycle turbine in 2024 with improved efficiency for low- and medium-temperature geothermal resources, enabling expanded deployment in emerging markets. </w:t>
      </w:r>
    </w:p>
    <w:p w14:paraId="08624F72" w14:textId="47211E1E" w:rsidR="00C71D4D" w:rsidRPr="00C71D4D" w:rsidRDefault="00C71D4D" w:rsidP="00C71D4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Mitsubishi Heavy Industries</w:t>
      </w:r>
      <w:r w:rsidRPr="00C71D4D">
        <w:rPr>
          <w:rFonts w:ascii="Times New Roman" w:eastAsia="Times New Roman" w:hAnsi="Times New Roman" w:cs="Times New Roman"/>
          <w:sz w:val="24"/>
          <w:szCs w:val="24"/>
          <w:lang w:eastAsia="en-IN"/>
        </w:rPr>
        <w:t xml:space="preserve"> introduced advanced corrosion-resistant geothermal pumps in 2023, targeting high-salinity reservoirs in Asia-Pacific and Latin America. </w:t>
      </w:r>
    </w:p>
    <w:p w14:paraId="3E8E7C91" w14:textId="4178EA82" w:rsidR="00C71D4D" w:rsidRPr="00C71D4D" w:rsidRDefault="00C71D4D" w:rsidP="00C71D4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Siemens Energy</w:t>
      </w:r>
      <w:r w:rsidRPr="00C71D4D">
        <w:rPr>
          <w:rFonts w:ascii="Times New Roman" w:eastAsia="Times New Roman" w:hAnsi="Times New Roman" w:cs="Times New Roman"/>
          <w:sz w:val="24"/>
          <w:szCs w:val="24"/>
          <w:lang w:eastAsia="en-IN"/>
        </w:rPr>
        <w:t xml:space="preserve"> partnered with a major U.S. utility in 2024 to implement digital predictive maintenance systems for geothermal plants, reducing downtime and optimizing performance. </w:t>
      </w:r>
    </w:p>
    <w:p w14:paraId="7B4D8A55" w14:textId="217FDE1E" w:rsidR="00C71D4D" w:rsidRPr="00C71D4D" w:rsidRDefault="00C71D4D" w:rsidP="00C71D4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Toshiba Energy Systems &amp; Solutions</w:t>
      </w:r>
      <w:r w:rsidRPr="00C71D4D">
        <w:rPr>
          <w:rFonts w:ascii="Times New Roman" w:eastAsia="Times New Roman" w:hAnsi="Times New Roman" w:cs="Times New Roman"/>
          <w:sz w:val="24"/>
          <w:szCs w:val="24"/>
          <w:lang w:eastAsia="en-IN"/>
        </w:rPr>
        <w:t xml:space="preserve"> piloted a modular geothermal plant in Japan in 2023, demonstrating rapid deployment and flexible scaling for mid-sized projects. </w:t>
      </w:r>
    </w:p>
    <w:p w14:paraId="68C0DFE7" w14:textId="7DA0EBB8" w:rsidR="00C71D4D" w:rsidRPr="00C71D4D" w:rsidRDefault="00C71D4D" w:rsidP="00C71D4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Enel Green Power</w:t>
      </w:r>
      <w:r w:rsidRPr="00C71D4D">
        <w:rPr>
          <w:rFonts w:ascii="Times New Roman" w:eastAsia="Times New Roman" w:hAnsi="Times New Roman" w:cs="Times New Roman"/>
          <w:sz w:val="24"/>
          <w:szCs w:val="24"/>
          <w:lang w:eastAsia="en-IN"/>
        </w:rPr>
        <w:t xml:space="preserve"> expanded its geothermal footprint in Latin America through equipment supply and turnkey project support, including digital monitoring platforms for operational efficiency. </w:t>
      </w:r>
    </w:p>
    <w:p w14:paraId="4A5A9907"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Opportunities</w:t>
      </w:r>
    </w:p>
    <w:p w14:paraId="10AD81E7" w14:textId="77777777" w:rsidR="00C71D4D" w:rsidRPr="00C71D4D" w:rsidRDefault="00C71D4D" w:rsidP="00C71D4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Emerging Markets Expansion:</w:t>
      </w:r>
      <w:r w:rsidRPr="00C71D4D">
        <w:rPr>
          <w:rFonts w:ascii="Times New Roman" w:eastAsia="Times New Roman" w:hAnsi="Times New Roman" w:cs="Times New Roman"/>
          <w:sz w:val="24"/>
          <w:szCs w:val="24"/>
          <w:lang w:eastAsia="en-IN"/>
        </w:rPr>
        <w:t xml:space="preserve"> High geothermal potential in countries like Indonesia, Kenya, Chile, and Mexico offers opportunities for equipment suppliers and project developers.</w:t>
      </w:r>
    </w:p>
    <w:p w14:paraId="6B5D4505" w14:textId="77777777" w:rsidR="00C71D4D" w:rsidRPr="00C71D4D" w:rsidRDefault="00C71D4D" w:rsidP="00C71D4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Digital Integration and Predictive Maintenance:</w:t>
      </w:r>
      <w:r w:rsidRPr="00C71D4D">
        <w:rPr>
          <w:rFonts w:ascii="Times New Roman" w:eastAsia="Times New Roman" w:hAnsi="Times New Roman" w:cs="Times New Roman"/>
          <w:sz w:val="24"/>
          <w:szCs w:val="24"/>
          <w:lang w:eastAsia="en-IN"/>
        </w:rPr>
        <w:t xml:space="preserve"> IoT and AI-driven monitoring systems can reduce operational risk and enhance efficiency, opening new value propositions for OEMs.</w:t>
      </w:r>
    </w:p>
    <w:p w14:paraId="742DC34E" w14:textId="77777777" w:rsidR="00C71D4D" w:rsidRPr="00C71D4D" w:rsidRDefault="00C71D4D" w:rsidP="00C71D4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Direct-Use Applications:</w:t>
      </w:r>
      <w:r w:rsidRPr="00C71D4D">
        <w:rPr>
          <w:rFonts w:ascii="Times New Roman" w:eastAsia="Times New Roman" w:hAnsi="Times New Roman" w:cs="Times New Roman"/>
          <w:sz w:val="24"/>
          <w:szCs w:val="24"/>
          <w:lang w:eastAsia="en-IN"/>
        </w:rPr>
        <w:t xml:space="preserve"> Growing demand for geothermal heating and industrial process energy provides high-growth opportunities outside traditional electricity generation.</w:t>
      </w:r>
    </w:p>
    <w:p w14:paraId="1AAA7628"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Restraints</w:t>
      </w:r>
    </w:p>
    <w:p w14:paraId="1883A8E3" w14:textId="77777777" w:rsidR="00C71D4D" w:rsidRPr="00C71D4D" w:rsidRDefault="00C71D4D" w:rsidP="00C71D4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High Capital Cost:</w:t>
      </w:r>
      <w:r w:rsidRPr="00C71D4D">
        <w:rPr>
          <w:rFonts w:ascii="Times New Roman" w:eastAsia="Times New Roman" w:hAnsi="Times New Roman" w:cs="Times New Roman"/>
          <w:sz w:val="24"/>
          <w:szCs w:val="24"/>
          <w:lang w:eastAsia="en-IN"/>
        </w:rPr>
        <w:t xml:space="preserve"> Geothermal projects require significant upfront investment, including drilling and specialized equipment, limiting adoption in resource-constrained regions.</w:t>
      </w:r>
    </w:p>
    <w:p w14:paraId="0DF2C377" w14:textId="77777777" w:rsidR="00C71D4D" w:rsidRPr="00C71D4D" w:rsidRDefault="00C71D4D" w:rsidP="00C71D4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Skilled Workforce Gap:</w:t>
      </w:r>
      <w:r w:rsidRPr="00C71D4D">
        <w:rPr>
          <w:rFonts w:ascii="Times New Roman" w:eastAsia="Times New Roman" w:hAnsi="Times New Roman" w:cs="Times New Roman"/>
          <w:sz w:val="24"/>
          <w:szCs w:val="24"/>
          <w:lang w:eastAsia="en-IN"/>
        </w:rPr>
        <w:t xml:space="preserve"> Shortage of trained engineers, operators, and technicians for geothermal equipment installation and maintenance restricts market growth, particularly in emerging economies.</w:t>
      </w:r>
    </w:p>
    <w:p w14:paraId="4B3941A0" w14:textId="77777777" w:rsidR="00C71D4D" w:rsidRDefault="00C71D4D" w:rsidP="00C71D4D">
      <w:pPr>
        <w:pStyle w:val="Heading1"/>
        <w:rPr>
          <w:rFonts w:ascii="Times New Roman" w:eastAsia="Times New Roman" w:hAnsi="Times New Roman" w:cs="Times New Roman"/>
          <w:b/>
          <w:bCs/>
          <w:color w:val="auto"/>
          <w:kern w:val="36"/>
          <w:sz w:val="48"/>
          <w:szCs w:val="48"/>
          <w:lang w:eastAsia="en-IN"/>
        </w:rPr>
      </w:pPr>
      <w:r>
        <w:br/>
      </w:r>
    </w:p>
    <w:p w14:paraId="459E6554" w14:textId="77777777" w:rsidR="00C71D4D" w:rsidRDefault="00C71D4D">
      <w:pPr>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br w:type="page"/>
      </w:r>
    </w:p>
    <w:p w14:paraId="59A03B26" w14:textId="6E97838B" w:rsidR="00C71D4D" w:rsidRPr="00C71D4D" w:rsidRDefault="00C71D4D" w:rsidP="00C71D4D">
      <w:pPr>
        <w:pStyle w:val="Heading1"/>
        <w:rPr>
          <w:rFonts w:ascii="Times New Roman" w:eastAsia="Times New Roman" w:hAnsi="Times New Roman" w:cs="Times New Roman"/>
          <w:b/>
          <w:bCs/>
          <w:color w:val="auto"/>
          <w:kern w:val="36"/>
          <w:sz w:val="48"/>
          <w:szCs w:val="48"/>
          <w:lang w:eastAsia="en-IN"/>
        </w:rPr>
      </w:pPr>
      <w:r w:rsidRPr="00C71D4D">
        <w:rPr>
          <w:rFonts w:ascii="Times New Roman" w:eastAsia="Times New Roman" w:hAnsi="Times New Roman" w:cs="Times New Roman"/>
          <w:b/>
          <w:bCs/>
          <w:color w:val="auto"/>
          <w:kern w:val="36"/>
          <w:sz w:val="48"/>
          <w:szCs w:val="48"/>
          <w:lang w:eastAsia="en-IN"/>
        </w:rPr>
        <w:lastRenderedPageBreak/>
        <w:t>7.1. Report Coverage Table</w:t>
      </w:r>
    </w:p>
    <w:tbl>
      <w:tblPr>
        <w:tblStyle w:val="PlainTable1"/>
        <w:tblW w:w="0" w:type="auto"/>
        <w:tblLook w:val="04A0" w:firstRow="1" w:lastRow="0" w:firstColumn="1" w:lastColumn="0" w:noHBand="0" w:noVBand="1"/>
      </w:tblPr>
      <w:tblGrid>
        <w:gridCol w:w="2446"/>
        <w:gridCol w:w="6570"/>
      </w:tblGrid>
      <w:tr w:rsidR="00C71D4D" w:rsidRPr="00C71D4D" w14:paraId="0CEFB9C7" w14:textId="77777777" w:rsidTr="00C71D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0A15EA" w14:textId="77777777" w:rsidR="00C71D4D" w:rsidRPr="00C71D4D" w:rsidRDefault="00C71D4D" w:rsidP="00C71D4D">
            <w:pPr>
              <w:jc w:val="center"/>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Report Attribute</w:t>
            </w:r>
          </w:p>
        </w:tc>
        <w:tc>
          <w:tcPr>
            <w:tcW w:w="0" w:type="auto"/>
            <w:hideMark/>
          </w:tcPr>
          <w:p w14:paraId="64F7AE89" w14:textId="77777777" w:rsidR="00C71D4D" w:rsidRPr="00C71D4D" w:rsidRDefault="00C71D4D" w:rsidP="00C71D4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Details</w:t>
            </w:r>
          </w:p>
        </w:tc>
      </w:tr>
      <w:tr w:rsidR="00C71D4D" w:rsidRPr="00C71D4D" w14:paraId="6ACFEE1B" w14:textId="77777777" w:rsidTr="00C71D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B6D25F" w14:textId="77777777" w:rsidR="00C71D4D" w:rsidRPr="00C71D4D" w:rsidRDefault="00C71D4D" w:rsidP="00C71D4D">
            <w:pPr>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Forecast Period</w:t>
            </w:r>
          </w:p>
        </w:tc>
        <w:tc>
          <w:tcPr>
            <w:tcW w:w="0" w:type="auto"/>
            <w:hideMark/>
          </w:tcPr>
          <w:p w14:paraId="77B1607F" w14:textId="77777777" w:rsidR="00C71D4D" w:rsidRPr="00C71D4D" w:rsidRDefault="00C71D4D" w:rsidP="00C71D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2024 – 2030</w:t>
            </w:r>
          </w:p>
        </w:tc>
      </w:tr>
      <w:tr w:rsidR="00C71D4D" w:rsidRPr="00C71D4D" w14:paraId="6B6CBCC8" w14:textId="77777777" w:rsidTr="00C71D4D">
        <w:tc>
          <w:tcPr>
            <w:cnfStyle w:val="001000000000" w:firstRow="0" w:lastRow="0" w:firstColumn="1" w:lastColumn="0" w:oddVBand="0" w:evenVBand="0" w:oddHBand="0" w:evenHBand="0" w:firstRowFirstColumn="0" w:firstRowLastColumn="0" w:lastRowFirstColumn="0" w:lastRowLastColumn="0"/>
            <w:tcW w:w="0" w:type="auto"/>
            <w:hideMark/>
          </w:tcPr>
          <w:p w14:paraId="45EE7952" w14:textId="77777777" w:rsidR="00C71D4D" w:rsidRPr="00C71D4D" w:rsidRDefault="00C71D4D" w:rsidP="00C71D4D">
            <w:pPr>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Market Size Value in 2024</w:t>
            </w:r>
          </w:p>
        </w:tc>
        <w:tc>
          <w:tcPr>
            <w:tcW w:w="0" w:type="auto"/>
            <w:hideMark/>
          </w:tcPr>
          <w:p w14:paraId="68B10DD6" w14:textId="6411E11C" w:rsidR="00C71D4D" w:rsidRPr="00C71D4D" w:rsidRDefault="00C71D4D" w:rsidP="00C71D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 xml:space="preserve">USD 8.6 Billion </w:t>
            </w:r>
          </w:p>
        </w:tc>
      </w:tr>
      <w:tr w:rsidR="00C71D4D" w:rsidRPr="00C71D4D" w14:paraId="1BFBEBE1" w14:textId="77777777" w:rsidTr="00C71D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933007" w14:textId="77777777" w:rsidR="00C71D4D" w:rsidRPr="00C71D4D" w:rsidRDefault="00C71D4D" w:rsidP="00C71D4D">
            <w:pPr>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Revenue Forecast in 2030</w:t>
            </w:r>
          </w:p>
        </w:tc>
        <w:tc>
          <w:tcPr>
            <w:tcW w:w="0" w:type="auto"/>
            <w:hideMark/>
          </w:tcPr>
          <w:p w14:paraId="3AA6619F" w14:textId="1162E0A2" w:rsidR="00C71D4D" w:rsidRPr="00C71D4D" w:rsidRDefault="00C71D4D" w:rsidP="00C71D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 xml:space="preserve">USD 13.0 Billion </w:t>
            </w:r>
          </w:p>
        </w:tc>
      </w:tr>
      <w:tr w:rsidR="00C71D4D" w:rsidRPr="00C71D4D" w14:paraId="7E60740D" w14:textId="77777777" w:rsidTr="00C71D4D">
        <w:tc>
          <w:tcPr>
            <w:cnfStyle w:val="001000000000" w:firstRow="0" w:lastRow="0" w:firstColumn="1" w:lastColumn="0" w:oddVBand="0" w:evenVBand="0" w:oddHBand="0" w:evenHBand="0" w:firstRowFirstColumn="0" w:firstRowLastColumn="0" w:lastRowFirstColumn="0" w:lastRowLastColumn="0"/>
            <w:tcW w:w="0" w:type="auto"/>
            <w:hideMark/>
          </w:tcPr>
          <w:p w14:paraId="2A94C56C" w14:textId="77777777" w:rsidR="00C71D4D" w:rsidRPr="00C71D4D" w:rsidRDefault="00C71D4D" w:rsidP="00C71D4D">
            <w:pPr>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Overall Growth Rate</w:t>
            </w:r>
          </w:p>
        </w:tc>
        <w:tc>
          <w:tcPr>
            <w:tcW w:w="0" w:type="auto"/>
            <w:hideMark/>
          </w:tcPr>
          <w:p w14:paraId="286679EE" w14:textId="77777777" w:rsidR="00C71D4D" w:rsidRPr="00C71D4D" w:rsidRDefault="00C71D4D" w:rsidP="00C71D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CAGR of 6.5% (2024 – 2030)</w:t>
            </w:r>
          </w:p>
        </w:tc>
      </w:tr>
      <w:tr w:rsidR="00C71D4D" w:rsidRPr="00C71D4D" w14:paraId="5C6CD3E9" w14:textId="77777777" w:rsidTr="00C71D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5119B2" w14:textId="77777777" w:rsidR="00C71D4D" w:rsidRPr="00C71D4D" w:rsidRDefault="00C71D4D" w:rsidP="00C71D4D">
            <w:pPr>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Base Year for Estimation</w:t>
            </w:r>
          </w:p>
        </w:tc>
        <w:tc>
          <w:tcPr>
            <w:tcW w:w="0" w:type="auto"/>
            <w:hideMark/>
          </w:tcPr>
          <w:p w14:paraId="2353AEFD" w14:textId="77777777" w:rsidR="00C71D4D" w:rsidRPr="00C71D4D" w:rsidRDefault="00C71D4D" w:rsidP="00C71D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2024</w:t>
            </w:r>
          </w:p>
        </w:tc>
      </w:tr>
      <w:tr w:rsidR="00C71D4D" w:rsidRPr="00C71D4D" w14:paraId="1F21E5F5" w14:textId="77777777" w:rsidTr="00C71D4D">
        <w:tc>
          <w:tcPr>
            <w:cnfStyle w:val="001000000000" w:firstRow="0" w:lastRow="0" w:firstColumn="1" w:lastColumn="0" w:oddVBand="0" w:evenVBand="0" w:oddHBand="0" w:evenHBand="0" w:firstRowFirstColumn="0" w:firstRowLastColumn="0" w:lastRowFirstColumn="0" w:lastRowLastColumn="0"/>
            <w:tcW w:w="0" w:type="auto"/>
            <w:hideMark/>
          </w:tcPr>
          <w:p w14:paraId="560A6DBB" w14:textId="77777777" w:rsidR="00C71D4D" w:rsidRPr="00C71D4D" w:rsidRDefault="00C71D4D" w:rsidP="00C71D4D">
            <w:pPr>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Historical Data</w:t>
            </w:r>
          </w:p>
        </w:tc>
        <w:tc>
          <w:tcPr>
            <w:tcW w:w="0" w:type="auto"/>
            <w:hideMark/>
          </w:tcPr>
          <w:p w14:paraId="692081D6" w14:textId="77777777" w:rsidR="00C71D4D" w:rsidRPr="00C71D4D" w:rsidRDefault="00C71D4D" w:rsidP="00C71D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2019 – 2023</w:t>
            </w:r>
          </w:p>
        </w:tc>
      </w:tr>
      <w:tr w:rsidR="00C71D4D" w:rsidRPr="00C71D4D" w14:paraId="32345E12" w14:textId="77777777" w:rsidTr="00C71D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7F9B1A" w14:textId="77777777" w:rsidR="00C71D4D" w:rsidRPr="00C71D4D" w:rsidRDefault="00C71D4D" w:rsidP="00C71D4D">
            <w:pPr>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Unit</w:t>
            </w:r>
          </w:p>
        </w:tc>
        <w:tc>
          <w:tcPr>
            <w:tcW w:w="0" w:type="auto"/>
            <w:hideMark/>
          </w:tcPr>
          <w:p w14:paraId="246E3001" w14:textId="77777777" w:rsidR="00C71D4D" w:rsidRPr="00C71D4D" w:rsidRDefault="00C71D4D" w:rsidP="00C71D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USD Million, CAGR (2024 – 2030)</w:t>
            </w:r>
          </w:p>
        </w:tc>
      </w:tr>
      <w:tr w:rsidR="00C71D4D" w:rsidRPr="00C71D4D" w14:paraId="15943B8D" w14:textId="77777777" w:rsidTr="00C71D4D">
        <w:tc>
          <w:tcPr>
            <w:cnfStyle w:val="001000000000" w:firstRow="0" w:lastRow="0" w:firstColumn="1" w:lastColumn="0" w:oddVBand="0" w:evenVBand="0" w:oddHBand="0" w:evenHBand="0" w:firstRowFirstColumn="0" w:firstRowLastColumn="0" w:lastRowFirstColumn="0" w:lastRowLastColumn="0"/>
            <w:tcW w:w="0" w:type="auto"/>
            <w:hideMark/>
          </w:tcPr>
          <w:p w14:paraId="1E09ABDD" w14:textId="77777777" w:rsidR="00C71D4D" w:rsidRPr="00C71D4D" w:rsidRDefault="00C71D4D" w:rsidP="00C71D4D">
            <w:pPr>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Segmentation</w:t>
            </w:r>
          </w:p>
        </w:tc>
        <w:tc>
          <w:tcPr>
            <w:tcW w:w="0" w:type="auto"/>
            <w:hideMark/>
          </w:tcPr>
          <w:p w14:paraId="7412F029" w14:textId="77777777" w:rsidR="00C71D4D" w:rsidRPr="00C71D4D" w:rsidRDefault="00C71D4D" w:rsidP="00C71D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By Equipment Type, By Application, By End User, By Geography</w:t>
            </w:r>
          </w:p>
        </w:tc>
      </w:tr>
      <w:tr w:rsidR="00C71D4D" w:rsidRPr="00C71D4D" w14:paraId="6C0F6BE0" w14:textId="77777777" w:rsidTr="00C71D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BD3E00" w14:textId="77777777" w:rsidR="00C71D4D" w:rsidRPr="00C71D4D" w:rsidRDefault="00C71D4D" w:rsidP="00C71D4D">
            <w:pPr>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By Equipment Type</w:t>
            </w:r>
          </w:p>
        </w:tc>
        <w:tc>
          <w:tcPr>
            <w:tcW w:w="0" w:type="auto"/>
            <w:hideMark/>
          </w:tcPr>
          <w:p w14:paraId="61008587" w14:textId="77777777" w:rsidR="00C71D4D" w:rsidRPr="00C71D4D" w:rsidRDefault="00C71D4D" w:rsidP="00C71D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Turbines, Generators, Heat Exchangers, Pumps, Drilling Equipment</w:t>
            </w:r>
          </w:p>
        </w:tc>
      </w:tr>
      <w:tr w:rsidR="00C71D4D" w:rsidRPr="00C71D4D" w14:paraId="133798FB" w14:textId="77777777" w:rsidTr="00C71D4D">
        <w:tc>
          <w:tcPr>
            <w:cnfStyle w:val="001000000000" w:firstRow="0" w:lastRow="0" w:firstColumn="1" w:lastColumn="0" w:oddVBand="0" w:evenVBand="0" w:oddHBand="0" w:evenHBand="0" w:firstRowFirstColumn="0" w:firstRowLastColumn="0" w:lastRowFirstColumn="0" w:lastRowLastColumn="0"/>
            <w:tcW w:w="0" w:type="auto"/>
            <w:hideMark/>
          </w:tcPr>
          <w:p w14:paraId="26AA566E" w14:textId="77777777" w:rsidR="00C71D4D" w:rsidRPr="00C71D4D" w:rsidRDefault="00C71D4D" w:rsidP="00C71D4D">
            <w:pPr>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By Application</w:t>
            </w:r>
          </w:p>
        </w:tc>
        <w:tc>
          <w:tcPr>
            <w:tcW w:w="0" w:type="auto"/>
            <w:hideMark/>
          </w:tcPr>
          <w:p w14:paraId="6FC27CB8" w14:textId="77777777" w:rsidR="00C71D4D" w:rsidRPr="00C71D4D" w:rsidRDefault="00C71D4D" w:rsidP="00C71D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Electricity Generation, Direct-Use Applications</w:t>
            </w:r>
          </w:p>
        </w:tc>
      </w:tr>
      <w:tr w:rsidR="00C71D4D" w:rsidRPr="00C71D4D" w14:paraId="22D02A32" w14:textId="77777777" w:rsidTr="00C71D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F48BA8" w14:textId="77777777" w:rsidR="00C71D4D" w:rsidRPr="00C71D4D" w:rsidRDefault="00C71D4D" w:rsidP="00C71D4D">
            <w:pPr>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By End User</w:t>
            </w:r>
          </w:p>
        </w:tc>
        <w:tc>
          <w:tcPr>
            <w:tcW w:w="0" w:type="auto"/>
            <w:hideMark/>
          </w:tcPr>
          <w:p w14:paraId="7E9E87E4" w14:textId="77777777" w:rsidR="00C71D4D" w:rsidRPr="00C71D4D" w:rsidRDefault="00C71D4D" w:rsidP="00C71D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Utility Companies, Independent Power Producers (IPPs), Industrial Facilities</w:t>
            </w:r>
          </w:p>
        </w:tc>
      </w:tr>
      <w:tr w:rsidR="00C71D4D" w:rsidRPr="00C71D4D" w14:paraId="7C39739B" w14:textId="77777777" w:rsidTr="00C71D4D">
        <w:tc>
          <w:tcPr>
            <w:cnfStyle w:val="001000000000" w:firstRow="0" w:lastRow="0" w:firstColumn="1" w:lastColumn="0" w:oddVBand="0" w:evenVBand="0" w:oddHBand="0" w:evenHBand="0" w:firstRowFirstColumn="0" w:firstRowLastColumn="0" w:lastRowFirstColumn="0" w:lastRowLastColumn="0"/>
            <w:tcW w:w="0" w:type="auto"/>
            <w:hideMark/>
          </w:tcPr>
          <w:p w14:paraId="26EF7717" w14:textId="77777777" w:rsidR="00C71D4D" w:rsidRPr="00C71D4D" w:rsidRDefault="00C71D4D" w:rsidP="00C71D4D">
            <w:pPr>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By Region</w:t>
            </w:r>
          </w:p>
        </w:tc>
        <w:tc>
          <w:tcPr>
            <w:tcW w:w="0" w:type="auto"/>
            <w:hideMark/>
          </w:tcPr>
          <w:p w14:paraId="4BB8664D" w14:textId="77777777" w:rsidR="00C71D4D" w:rsidRPr="00C71D4D" w:rsidRDefault="00C71D4D" w:rsidP="00C71D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North America, Europe, Asia-Pacific, LAMEA</w:t>
            </w:r>
          </w:p>
        </w:tc>
      </w:tr>
      <w:tr w:rsidR="00C71D4D" w:rsidRPr="00C71D4D" w14:paraId="01D43946" w14:textId="77777777" w:rsidTr="00C71D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50721" w14:textId="77777777" w:rsidR="00C71D4D" w:rsidRPr="00C71D4D" w:rsidRDefault="00C71D4D" w:rsidP="00C71D4D">
            <w:pPr>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Country Scope</w:t>
            </w:r>
          </w:p>
        </w:tc>
        <w:tc>
          <w:tcPr>
            <w:tcW w:w="0" w:type="auto"/>
            <w:hideMark/>
          </w:tcPr>
          <w:p w14:paraId="18BF66B7" w14:textId="77777777" w:rsidR="00C71D4D" w:rsidRPr="00C71D4D" w:rsidRDefault="00C71D4D" w:rsidP="00C71D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U.S., Canada, Indonesia, Philippines, Japan, Kenya, Chile, Mexico, Italy, Germany, Iceland, Others</w:t>
            </w:r>
          </w:p>
        </w:tc>
      </w:tr>
      <w:tr w:rsidR="00C71D4D" w:rsidRPr="00C71D4D" w14:paraId="722BEF01" w14:textId="77777777" w:rsidTr="00C71D4D">
        <w:tc>
          <w:tcPr>
            <w:cnfStyle w:val="001000000000" w:firstRow="0" w:lastRow="0" w:firstColumn="1" w:lastColumn="0" w:oddVBand="0" w:evenVBand="0" w:oddHBand="0" w:evenHBand="0" w:firstRowFirstColumn="0" w:firstRowLastColumn="0" w:lastRowFirstColumn="0" w:lastRowLastColumn="0"/>
            <w:tcW w:w="0" w:type="auto"/>
            <w:hideMark/>
          </w:tcPr>
          <w:p w14:paraId="45A5EE26" w14:textId="77777777" w:rsidR="00C71D4D" w:rsidRPr="00C71D4D" w:rsidRDefault="00C71D4D" w:rsidP="00C71D4D">
            <w:pPr>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Market Drivers</w:t>
            </w:r>
          </w:p>
        </w:tc>
        <w:tc>
          <w:tcPr>
            <w:tcW w:w="0" w:type="auto"/>
            <w:hideMark/>
          </w:tcPr>
          <w:p w14:paraId="09ADF8BC" w14:textId="77777777" w:rsidR="00C71D4D" w:rsidRPr="00C71D4D" w:rsidRDefault="00C71D4D" w:rsidP="00C71D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 Rising demand for renewable and low-carbon electricity generation</w:t>
            </w:r>
            <w:r w:rsidRPr="00C71D4D">
              <w:rPr>
                <w:rFonts w:ascii="Times New Roman" w:eastAsia="Times New Roman" w:hAnsi="Times New Roman" w:cs="Times New Roman"/>
                <w:sz w:val="24"/>
                <w:szCs w:val="24"/>
                <w:lang w:eastAsia="en-IN"/>
              </w:rPr>
              <w:br/>
              <w:t>- Technological advancements in turbines and drilling equipment</w:t>
            </w:r>
            <w:r w:rsidRPr="00C71D4D">
              <w:rPr>
                <w:rFonts w:ascii="Times New Roman" w:eastAsia="Times New Roman" w:hAnsi="Times New Roman" w:cs="Times New Roman"/>
                <w:sz w:val="24"/>
                <w:szCs w:val="24"/>
                <w:lang w:eastAsia="en-IN"/>
              </w:rPr>
              <w:br/>
              <w:t>- Supportive government policies and incentives for geothermal energy</w:t>
            </w:r>
          </w:p>
        </w:tc>
      </w:tr>
      <w:tr w:rsidR="00C71D4D" w:rsidRPr="00C71D4D" w14:paraId="68EFFA9D" w14:textId="77777777" w:rsidTr="00C71D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7CE7BC" w14:textId="77777777" w:rsidR="00C71D4D" w:rsidRPr="00C71D4D" w:rsidRDefault="00C71D4D" w:rsidP="00C71D4D">
            <w:pPr>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Customization Option</w:t>
            </w:r>
          </w:p>
        </w:tc>
        <w:tc>
          <w:tcPr>
            <w:tcW w:w="0" w:type="auto"/>
            <w:hideMark/>
          </w:tcPr>
          <w:p w14:paraId="44D2E034" w14:textId="77777777" w:rsidR="00C71D4D" w:rsidRPr="00C71D4D" w:rsidRDefault="00C71D4D" w:rsidP="00C71D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Available upon request</w:t>
            </w:r>
          </w:p>
        </w:tc>
      </w:tr>
    </w:tbl>
    <w:p w14:paraId="5917AEF2" w14:textId="77777777" w:rsidR="00C71D4D" w:rsidRPr="00C71D4D" w:rsidRDefault="00C71D4D" w:rsidP="00C71D4D">
      <w:pPr>
        <w:pStyle w:val="Heading1"/>
        <w:rPr>
          <w:rFonts w:ascii="Times New Roman" w:eastAsia="Times New Roman" w:hAnsi="Times New Roman" w:cs="Times New Roman"/>
          <w:b/>
          <w:bCs/>
          <w:color w:val="auto"/>
          <w:kern w:val="36"/>
          <w:sz w:val="48"/>
          <w:szCs w:val="48"/>
          <w:lang w:eastAsia="en-IN"/>
        </w:rPr>
      </w:pPr>
      <w:r>
        <w:br/>
      </w:r>
      <w:r>
        <w:br/>
      </w:r>
      <w:r w:rsidRPr="00C71D4D">
        <w:rPr>
          <w:rFonts w:ascii="Times New Roman" w:eastAsia="Times New Roman" w:hAnsi="Times New Roman" w:cs="Times New Roman"/>
          <w:b/>
          <w:bCs/>
          <w:color w:val="auto"/>
          <w:kern w:val="36"/>
          <w:sz w:val="48"/>
          <w:szCs w:val="48"/>
          <w:lang w:eastAsia="en-IN"/>
        </w:rPr>
        <w:t>8. Report Summary, FAQs, and SEO Schema</w:t>
      </w:r>
    </w:p>
    <w:p w14:paraId="7C9F6FD9"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A.1. Report Title (Long-Form)</w:t>
      </w:r>
      <w:r w:rsidRPr="00C71D4D">
        <w:rPr>
          <w:rFonts w:ascii="Times New Roman" w:eastAsia="Times New Roman" w:hAnsi="Times New Roman" w:cs="Times New Roman"/>
          <w:sz w:val="24"/>
          <w:szCs w:val="24"/>
          <w:lang w:eastAsia="en-IN"/>
        </w:rPr>
        <w:br/>
        <w:t xml:space="preserve">Geothermal Power Equipment Market </w:t>
      </w:r>
      <w:proofErr w:type="gramStart"/>
      <w:r w:rsidRPr="00C71D4D">
        <w:rPr>
          <w:rFonts w:ascii="Times New Roman" w:eastAsia="Times New Roman" w:hAnsi="Times New Roman" w:cs="Times New Roman"/>
          <w:sz w:val="24"/>
          <w:szCs w:val="24"/>
          <w:lang w:eastAsia="en-IN"/>
        </w:rPr>
        <w:t>By</w:t>
      </w:r>
      <w:proofErr w:type="gramEnd"/>
      <w:r w:rsidRPr="00C71D4D">
        <w:rPr>
          <w:rFonts w:ascii="Times New Roman" w:eastAsia="Times New Roman" w:hAnsi="Times New Roman" w:cs="Times New Roman"/>
          <w:sz w:val="24"/>
          <w:szCs w:val="24"/>
          <w:lang w:eastAsia="en-IN"/>
        </w:rPr>
        <w:t xml:space="preserve"> Equipment Type (Turbines, Generators, Heat Exchangers, Pumps, Drilling Equipment); By Application (Electricity Generation, Direct-Use Applications); By End User (Utility Companies, Independent Power Producers, Industrial Facilities); By Geography, Segment Revenue Estimation, Forecast, 2024–2030</w:t>
      </w:r>
    </w:p>
    <w:p w14:paraId="0B92D44B"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A.2. Lowercase Market Name</w:t>
      </w:r>
      <w:r w:rsidRPr="00C71D4D">
        <w:rPr>
          <w:rFonts w:ascii="Times New Roman" w:eastAsia="Times New Roman" w:hAnsi="Times New Roman" w:cs="Times New Roman"/>
          <w:sz w:val="24"/>
          <w:szCs w:val="24"/>
          <w:lang w:eastAsia="en-IN"/>
        </w:rPr>
        <w:br/>
        <w:t>geothermal power equipment market</w:t>
      </w:r>
    </w:p>
    <w:p w14:paraId="1AE6E97C"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lastRenderedPageBreak/>
        <w:t>A.3. SEO-Friendly Market Size Tagline</w:t>
      </w:r>
      <w:r w:rsidRPr="00C71D4D">
        <w:rPr>
          <w:rFonts w:ascii="Times New Roman" w:eastAsia="Times New Roman" w:hAnsi="Times New Roman" w:cs="Times New Roman"/>
          <w:sz w:val="24"/>
          <w:szCs w:val="24"/>
          <w:lang w:eastAsia="en-IN"/>
        </w:rPr>
        <w:br/>
        <w:t>Geothermal Power Equipment Market Size ($13.0 Billion) 2030</w:t>
      </w:r>
    </w:p>
    <w:p w14:paraId="27980248"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 xml:space="preserve">A.4. SEO-Friendly Market Size Tagline </w:t>
      </w:r>
      <w:proofErr w:type="spellStart"/>
      <w:r w:rsidRPr="00C71D4D">
        <w:rPr>
          <w:rFonts w:ascii="Times New Roman" w:eastAsia="Times New Roman" w:hAnsi="Times New Roman" w:cs="Times New Roman"/>
          <w:b/>
          <w:bCs/>
          <w:sz w:val="24"/>
          <w:szCs w:val="24"/>
          <w:lang w:eastAsia="en-IN"/>
        </w:rPr>
        <w:t>BreadCrumb</w:t>
      </w:r>
      <w:proofErr w:type="spellEnd"/>
      <w:r w:rsidRPr="00C71D4D">
        <w:rPr>
          <w:rFonts w:ascii="Times New Roman" w:eastAsia="Times New Roman" w:hAnsi="Times New Roman" w:cs="Times New Roman"/>
          <w:sz w:val="24"/>
          <w:szCs w:val="24"/>
          <w:lang w:eastAsia="en-IN"/>
        </w:rPr>
        <w:br/>
        <w:t>Geothermal Power Equipment Market Report 2030</w:t>
      </w:r>
    </w:p>
    <w:p w14:paraId="0D9C3B88" w14:textId="77777777" w:rsidR="00C71D4D" w:rsidRPr="00C71D4D" w:rsidRDefault="00C71D4D" w:rsidP="00C71D4D">
      <w:pPr>
        <w:spacing w:after="0"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pict w14:anchorId="6012914B">
          <v:rect id="_x0000_i1025" style="width:0;height:1.5pt" o:hralign="center" o:hrstd="t" o:hr="t" fillcolor="#a0a0a0" stroked="f"/>
        </w:pict>
      </w:r>
    </w:p>
    <w:p w14:paraId="3DA48CCD"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B. Top 5 FAQs</w:t>
      </w:r>
    </w:p>
    <w:p w14:paraId="6CBA5762"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Q1. How big is the geothermal power equipment market?</w:t>
      </w:r>
      <w:r w:rsidRPr="00C71D4D">
        <w:rPr>
          <w:rFonts w:ascii="Times New Roman" w:eastAsia="Times New Roman" w:hAnsi="Times New Roman" w:cs="Times New Roman"/>
          <w:sz w:val="24"/>
          <w:szCs w:val="24"/>
          <w:lang w:eastAsia="en-IN"/>
        </w:rPr>
        <w:br/>
      </w:r>
      <w:r w:rsidRPr="00C71D4D">
        <w:rPr>
          <w:rFonts w:ascii="Times New Roman" w:eastAsia="Times New Roman" w:hAnsi="Times New Roman" w:cs="Times New Roman"/>
          <w:b/>
          <w:bCs/>
          <w:sz w:val="24"/>
          <w:szCs w:val="24"/>
          <w:lang w:eastAsia="en-IN"/>
        </w:rPr>
        <w:t>A1.</w:t>
      </w:r>
      <w:r w:rsidRPr="00C71D4D">
        <w:rPr>
          <w:rFonts w:ascii="Times New Roman" w:eastAsia="Times New Roman" w:hAnsi="Times New Roman" w:cs="Times New Roman"/>
          <w:sz w:val="24"/>
          <w:szCs w:val="24"/>
          <w:lang w:eastAsia="en-IN"/>
        </w:rPr>
        <w:t xml:space="preserve"> The global geothermal power equipment market was valued at USD 8.6 billion in 2024.</w:t>
      </w:r>
    </w:p>
    <w:p w14:paraId="43B72C4F"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Q2. What is the CAGR for the forecast period?</w:t>
      </w:r>
      <w:r w:rsidRPr="00C71D4D">
        <w:rPr>
          <w:rFonts w:ascii="Times New Roman" w:eastAsia="Times New Roman" w:hAnsi="Times New Roman" w:cs="Times New Roman"/>
          <w:sz w:val="24"/>
          <w:szCs w:val="24"/>
          <w:lang w:eastAsia="en-IN"/>
        </w:rPr>
        <w:br/>
      </w:r>
      <w:r w:rsidRPr="00C71D4D">
        <w:rPr>
          <w:rFonts w:ascii="Times New Roman" w:eastAsia="Times New Roman" w:hAnsi="Times New Roman" w:cs="Times New Roman"/>
          <w:b/>
          <w:bCs/>
          <w:sz w:val="24"/>
          <w:szCs w:val="24"/>
          <w:lang w:eastAsia="en-IN"/>
        </w:rPr>
        <w:t>A2.</w:t>
      </w:r>
      <w:r w:rsidRPr="00C71D4D">
        <w:rPr>
          <w:rFonts w:ascii="Times New Roman" w:eastAsia="Times New Roman" w:hAnsi="Times New Roman" w:cs="Times New Roman"/>
          <w:sz w:val="24"/>
          <w:szCs w:val="24"/>
          <w:lang w:eastAsia="en-IN"/>
        </w:rPr>
        <w:t xml:space="preserve"> The market is expected to grow at a CAGR of 6.5% from 2024 to 2030.</w:t>
      </w:r>
    </w:p>
    <w:p w14:paraId="652BA724"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Q3. Who are the major players in this market?</w:t>
      </w:r>
      <w:r w:rsidRPr="00C71D4D">
        <w:rPr>
          <w:rFonts w:ascii="Times New Roman" w:eastAsia="Times New Roman" w:hAnsi="Times New Roman" w:cs="Times New Roman"/>
          <w:sz w:val="24"/>
          <w:szCs w:val="24"/>
          <w:lang w:eastAsia="en-IN"/>
        </w:rPr>
        <w:br/>
      </w:r>
      <w:r w:rsidRPr="00C71D4D">
        <w:rPr>
          <w:rFonts w:ascii="Times New Roman" w:eastAsia="Times New Roman" w:hAnsi="Times New Roman" w:cs="Times New Roman"/>
          <w:b/>
          <w:bCs/>
          <w:sz w:val="24"/>
          <w:szCs w:val="24"/>
          <w:lang w:eastAsia="en-IN"/>
        </w:rPr>
        <w:t>A3.</w:t>
      </w:r>
      <w:r w:rsidRPr="00C71D4D">
        <w:rPr>
          <w:rFonts w:ascii="Times New Roman" w:eastAsia="Times New Roman" w:hAnsi="Times New Roman" w:cs="Times New Roman"/>
          <w:sz w:val="24"/>
          <w:szCs w:val="24"/>
          <w:lang w:eastAsia="en-IN"/>
        </w:rPr>
        <w:t xml:space="preserve"> Leading players include </w:t>
      </w:r>
      <w:proofErr w:type="spellStart"/>
      <w:r w:rsidRPr="00C71D4D">
        <w:rPr>
          <w:rFonts w:ascii="Times New Roman" w:eastAsia="Times New Roman" w:hAnsi="Times New Roman" w:cs="Times New Roman"/>
          <w:sz w:val="24"/>
          <w:szCs w:val="24"/>
          <w:lang w:eastAsia="en-IN"/>
        </w:rPr>
        <w:t>Ormat</w:t>
      </w:r>
      <w:proofErr w:type="spellEnd"/>
      <w:r w:rsidRPr="00C71D4D">
        <w:rPr>
          <w:rFonts w:ascii="Times New Roman" w:eastAsia="Times New Roman" w:hAnsi="Times New Roman" w:cs="Times New Roman"/>
          <w:sz w:val="24"/>
          <w:szCs w:val="24"/>
          <w:lang w:eastAsia="en-IN"/>
        </w:rPr>
        <w:t xml:space="preserve"> Technologies, Mitsubishi Heavy Industries, Siemens Energy, Toshiba Energy Systems &amp; Solutions, and Enel Green Power.</w:t>
      </w:r>
    </w:p>
    <w:p w14:paraId="56B8051D"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Q4. Which region dominates the market share?</w:t>
      </w:r>
      <w:r w:rsidRPr="00C71D4D">
        <w:rPr>
          <w:rFonts w:ascii="Times New Roman" w:eastAsia="Times New Roman" w:hAnsi="Times New Roman" w:cs="Times New Roman"/>
          <w:sz w:val="24"/>
          <w:szCs w:val="24"/>
          <w:lang w:eastAsia="en-IN"/>
        </w:rPr>
        <w:br/>
      </w:r>
      <w:r w:rsidRPr="00C71D4D">
        <w:rPr>
          <w:rFonts w:ascii="Times New Roman" w:eastAsia="Times New Roman" w:hAnsi="Times New Roman" w:cs="Times New Roman"/>
          <w:b/>
          <w:bCs/>
          <w:sz w:val="24"/>
          <w:szCs w:val="24"/>
          <w:lang w:eastAsia="en-IN"/>
        </w:rPr>
        <w:t>A4.</w:t>
      </w:r>
      <w:r w:rsidRPr="00C71D4D">
        <w:rPr>
          <w:rFonts w:ascii="Times New Roman" w:eastAsia="Times New Roman" w:hAnsi="Times New Roman" w:cs="Times New Roman"/>
          <w:sz w:val="24"/>
          <w:szCs w:val="24"/>
          <w:lang w:eastAsia="en-IN"/>
        </w:rPr>
        <w:t xml:space="preserve"> North America leads due to its mature geothermal infrastructure and advanced equipment adoption.</w:t>
      </w:r>
    </w:p>
    <w:p w14:paraId="6CA91F18"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Q5. What factors are driving this market?</w:t>
      </w:r>
      <w:r w:rsidRPr="00C71D4D">
        <w:rPr>
          <w:rFonts w:ascii="Times New Roman" w:eastAsia="Times New Roman" w:hAnsi="Times New Roman" w:cs="Times New Roman"/>
          <w:sz w:val="24"/>
          <w:szCs w:val="24"/>
          <w:lang w:eastAsia="en-IN"/>
        </w:rPr>
        <w:br/>
      </w:r>
      <w:r w:rsidRPr="00C71D4D">
        <w:rPr>
          <w:rFonts w:ascii="Times New Roman" w:eastAsia="Times New Roman" w:hAnsi="Times New Roman" w:cs="Times New Roman"/>
          <w:b/>
          <w:bCs/>
          <w:sz w:val="24"/>
          <w:szCs w:val="24"/>
          <w:lang w:eastAsia="en-IN"/>
        </w:rPr>
        <w:t>A5.</w:t>
      </w:r>
      <w:r w:rsidRPr="00C71D4D">
        <w:rPr>
          <w:rFonts w:ascii="Times New Roman" w:eastAsia="Times New Roman" w:hAnsi="Times New Roman" w:cs="Times New Roman"/>
          <w:sz w:val="24"/>
          <w:szCs w:val="24"/>
          <w:lang w:eastAsia="en-IN"/>
        </w:rPr>
        <w:t xml:space="preserve"> Growth is </w:t>
      </w:r>
      <w:proofErr w:type="spellStart"/>
      <w:r w:rsidRPr="00C71D4D">
        <w:rPr>
          <w:rFonts w:ascii="Times New Roman" w:eastAsia="Times New Roman" w:hAnsi="Times New Roman" w:cs="Times New Roman"/>
          <w:sz w:val="24"/>
          <w:szCs w:val="24"/>
          <w:lang w:eastAsia="en-IN"/>
        </w:rPr>
        <w:t>fueled</w:t>
      </w:r>
      <w:proofErr w:type="spellEnd"/>
      <w:r w:rsidRPr="00C71D4D">
        <w:rPr>
          <w:rFonts w:ascii="Times New Roman" w:eastAsia="Times New Roman" w:hAnsi="Times New Roman" w:cs="Times New Roman"/>
          <w:sz w:val="24"/>
          <w:szCs w:val="24"/>
          <w:lang w:eastAsia="en-IN"/>
        </w:rPr>
        <w:t xml:space="preserve"> by technological innovation in turbines and drilling, rising renewable energy demand, and supportive government policies and incentives.</w:t>
      </w:r>
    </w:p>
    <w:p w14:paraId="2F1ADBB3" w14:textId="77777777" w:rsidR="00C71D4D" w:rsidRPr="00C71D4D" w:rsidRDefault="00C71D4D" w:rsidP="00C71D4D">
      <w:pPr>
        <w:spacing w:after="0"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pict w14:anchorId="435CC5A9">
          <v:rect id="_x0000_i1026" style="width:0;height:1.5pt" o:hralign="center" o:hrstd="t" o:hr="t" fillcolor="#a0a0a0" stroked="f"/>
        </w:pict>
      </w:r>
    </w:p>
    <w:p w14:paraId="346B1ECC"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C. JSON-LD SEO Schema</w:t>
      </w:r>
    </w:p>
    <w:p w14:paraId="0C893781"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1. Breadcrumb Schema</w:t>
      </w:r>
    </w:p>
    <w:p w14:paraId="0722F69B"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w:t>
      </w:r>
    </w:p>
    <w:p w14:paraId="635B4843"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"@context": "https://schema.org",</w:t>
      </w:r>
    </w:p>
    <w:p w14:paraId="3FF015C5"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"@type": "</w:t>
      </w:r>
      <w:proofErr w:type="spellStart"/>
      <w:r w:rsidRPr="00C71D4D">
        <w:rPr>
          <w:rFonts w:ascii="Courier New" w:eastAsia="Times New Roman" w:hAnsi="Courier New" w:cs="Courier New"/>
          <w:sz w:val="20"/>
          <w:szCs w:val="20"/>
          <w:lang w:eastAsia="en-IN"/>
        </w:rPr>
        <w:t>BreadcrumbList</w:t>
      </w:r>
      <w:proofErr w:type="spellEnd"/>
      <w:r w:rsidRPr="00C71D4D">
        <w:rPr>
          <w:rFonts w:ascii="Courier New" w:eastAsia="Times New Roman" w:hAnsi="Courier New" w:cs="Courier New"/>
          <w:sz w:val="20"/>
          <w:szCs w:val="20"/>
          <w:lang w:eastAsia="en-IN"/>
        </w:rPr>
        <w:t>",</w:t>
      </w:r>
    </w:p>
    <w:p w14:paraId="788001D3"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w:t>
      </w:r>
      <w:proofErr w:type="spellStart"/>
      <w:r w:rsidRPr="00C71D4D">
        <w:rPr>
          <w:rFonts w:ascii="Courier New" w:eastAsia="Times New Roman" w:hAnsi="Courier New" w:cs="Courier New"/>
          <w:sz w:val="20"/>
          <w:szCs w:val="20"/>
          <w:lang w:eastAsia="en-IN"/>
        </w:rPr>
        <w:t>itemListElement</w:t>
      </w:r>
      <w:proofErr w:type="spellEnd"/>
      <w:r w:rsidRPr="00C71D4D">
        <w:rPr>
          <w:rFonts w:ascii="Courier New" w:eastAsia="Times New Roman" w:hAnsi="Courier New" w:cs="Courier New"/>
          <w:sz w:val="20"/>
          <w:szCs w:val="20"/>
          <w:lang w:eastAsia="en-IN"/>
        </w:rPr>
        <w:t>": [</w:t>
      </w:r>
    </w:p>
    <w:p w14:paraId="61D304FF"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w:t>
      </w:r>
    </w:p>
    <w:p w14:paraId="77738286"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"@type": "</w:t>
      </w:r>
      <w:proofErr w:type="spellStart"/>
      <w:r w:rsidRPr="00C71D4D">
        <w:rPr>
          <w:rFonts w:ascii="Courier New" w:eastAsia="Times New Roman" w:hAnsi="Courier New" w:cs="Courier New"/>
          <w:sz w:val="20"/>
          <w:szCs w:val="20"/>
          <w:lang w:eastAsia="en-IN"/>
        </w:rPr>
        <w:t>ListItem</w:t>
      </w:r>
      <w:proofErr w:type="spellEnd"/>
      <w:r w:rsidRPr="00C71D4D">
        <w:rPr>
          <w:rFonts w:ascii="Courier New" w:eastAsia="Times New Roman" w:hAnsi="Courier New" w:cs="Courier New"/>
          <w:sz w:val="20"/>
          <w:szCs w:val="20"/>
          <w:lang w:eastAsia="en-IN"/>
        </w:rPr>
        <w:t>",</w:t>
      </w:r>
    </w:p>
    <w:p w14:paraId="2563515B"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"position": 1,</w:t>
      </w:r>
    </w:p>
    <w:p w14:paraId="6E34E181"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"name": "Home",</w:t>
      </w:r>
    </w:p>
    <w:p w14:paraId="7DBBFCB5"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"item": "https://www.strategicmarketresearch.com/"</w:t>
      </w:r>
    </w:p>
    <w:p w14:paraId="2FDAACDB"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w:t>
      </w:r>
    </w:p>
    <w:p w14:paraId="73262632"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w:t>
      </w:r>
    </w:p>
    <w:p w14:paraId="199447CC"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"@type": "</w:t>
      </w:r>
      <w:proofErr w:type="spellStart"/>
      <w:r w:rsidRPr="00C71D4D">
        <w:rPr>
          <w:rFonts w:ascii="Courier New" w:eastAsia="Times New Roman" w:hAnsi="Courier New" w:cs="Courier New"/>
          <w:sz w:val="20"/>
          <w:szCs w:val="20"/>
          <w:lang w:eastAsia="en-IN"/>
        </w:rPr>
        <w:t>ListItem</w:t>
      </w:r>
      <w:proofErr w:type="spellEnd"/>
      <w:r w:rsidRPr="00C71D4D">
        <w:rPr>
          <w:rFonts w:ascii="Courier New" w:eastAsia="Times New Roman" w:hAnsi="Courier New" w:cs="Courier New"/>
          <w:sz w:val="20"/>
          <w:szCs w:val="20"/>
          <w:lang w:eastAsia="en-IN"/>
        </w:rPr>
        <w:t>",</w:t>
      </w:r>
    </w:p>
    <w:p w14:paraId="68932BDB"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"position": 2,</w:t>
      </w:r>
    </w:p>
    <w:p w14:paraId="71066D16"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"name": "Renewable Energy",</w:t>
      </w:r>
    </w:p>
    <w:p w14:paraId="1E93E0DA" w14:textId="418DB31D"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"item": "https://www.strategicmarketresearch.com/report/renewable-energy"</w:t>
      </w:r>
    </w:p>
    <w:p w14:paraId="2A25C86A"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w:t>
      </w:r>
    </w:p>
    <w:p w14:paraId="06864D59"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w:t>
      </w:r>
    </w:p>
    <w:p w14:paraId="695203B4"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"@type": "</w:t>
      </w:r>
      <w:proofErr w:type="spellStart"/>
      <w:r w:rsidRPr="00C71D4D">
        <w:rPr>
          <w:rFonts w:ascii="Courier New" w:eastAsia="Times New Roman" w:hAnsi="Courier New" w:cs="Courier New"/>
          <w:sz w:val="20"/>
          <w:szCs w:val="20"/>
          <w:lang w:eastAsia="en-IN"/>
        </w:rPr>
        <w:t>ListItem</w:t>
      </w:r>
      <w:proofErr w:type="spellEnd"/>
      <w:r w:rsidRPr="00C71D4D">
        <w:rPr>
          <w:rFonts w:ascii="Courier New" w:eastAsia="Times New Roman" w:hAnsi="Courier New" w:cs="Courier New"/>
          <w:sz w:val="20"/>
          <w:szCs w:val="20"/>
          <w:lang w:eastAsia="en-IN"/>
        </w:rPr>
        <w:t>",</w:t>
      </w:r>
    </w:p>
    <w:p w14:paraId="0A650F53"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lastRenderedPageBreak/>
        <w:t xml:space="preserve">      "position": 3,</w:t>
      </w:r>
    </w:p>
    <w:p w14:paraId="62098B16"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"name": "Geothermal Power Equipment Market Report 2030",</w:t>
      </w:r>
    </w:p>
    <w:p w14:paraId="2329C414"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"item": "https://www.strategicmarketresearch.com/market-report/geothermal-power-equipment-market"</w:t>
      </w:r>
    </w:p>
    <w:p w14:paraId="1453FB20"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w:t>
      </w:r>
    </w:p>
    <w:p w14:paraId="74D5B584"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w:t>
      </w:r>
    </w:p>
    <w:p w14:paraId="45A18050"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w:t>
      </w:r>
    </w:p>
    <w:p w14:paraId="5FC46489"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2. FAQ Schema</w:t>
      </w:r>
    </w:p>
    <w:p w14:paraId="0C51D60E"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w:t>
      </w:r>
    </w:p>
    <w:p w14:paraId="3A8D9B59"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"@context": "https://schema.org",</w:t>
      </w:r>
    </w:p>
    <w:p w14:paraId="658D6B03"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"@type": "</w:t>
      </w:r>
      <w:proofErr w:type="spellStart"/>
      <w:r w:rsidRPr="00C71D4D">
        <w:rPr>
          <w:rFonts w:ascii="Courier New" w:eastAsia="Times New Roman" w:hAnsi="Courier New" w:cs="Courier New"/>
          <w:sz w:val="20"/>
          <w:szCs w:val="20"/>
          <w:lang w:eastAsia="en-IN"/>
        </w:rPr>
        <w:t>FAQPage</w:t>
      </w:r>
      <w:proofErr w:type="spellEnd"/>
      <w:r w:rsidRPr="00C71D4D">
        <w:rPr>
          <w:rFonts w:ascii="Courier New" w:eastAsia="Times New Roman" w:hAnsi="Courier New" w:cs="Courier New"/>
          <w:sz w:val="20"/>
          <w:szCs w:val="20"/>
          <w:lang w:eastAsia="en-IN"/>
        </w:rPr>
        <w:t>",</w:t>
      </w:r>
    </w:p>
    <w:p w14:paraId="7D4F4F71"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w:t>
      </w:r>
      <w:proofErr w:type="spellStart"/>
      <w:r w:rsidRPr="00C71D4D">
        <w:rPr>
          <w:rFonts w:ascii="Courier New" w:eastAsia="Times New Roman" w:hAnsi="Courier New" w:cs="Courier New"/>
          <w:sz w:val="20"/>
          <w:szCs w:val="20"/>
          <w:lang w:eastAsia="en-IN"/>
        </w:rPr>
        <w:t>mainEntity</w:t>
      </w:r>
      <w:proofErr w:type="spellEnd"/>
      <w:r w:rsidRPr="00C71D4D">
        <w:rPr>
          <w:rFonts w:ascii="Courier New" w:eastAsia="Times New Roman" w:hAnsi="Courier New" w:cs="Courier New"/>
          <w:sz w:val="20"/>
          <w:szCs w:val="20"/>
          <w:lang w:eastAsia="en-IN"/>
        </w:rPr>
        <w:t>": [</w:t>
      </w:r>
    </w:p>
    <w:p w14:paraId="66A79DD5"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w:t>
      </w:r>
    </w:p>
    <w:p w14:paraId="475ED0EA"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"@type": "Question",</w:t>
      </w:r>
    </w:p>
    <w:p w14:paraId="1B81875D"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"name": "How big is the geothermal power equipment market?",</w:t>
      </w:r>
    </w:p>
    <w:p w14:paraId="5332B2E8"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w:t>
      </w:r>
      <w:proofErr w:type="spellStart"/>
      <w:r w:rsidRPr="00C71D4D">
        <w:rPr>
          <w:rFonts w:ascii="Courier New" w:eastAsia="Times New Roman" w:hAnsi="Courier New" w:cs="Courier New"/>
          <w:sz w:val="20"/>
          <w:szCs w:val="20"/>
          <w:lang w:eastAsia="en-IN"/>
        </w:rPr>
        <w:t>acceptedAnswer</w:t>
      </w:r>
      <w:proofErr w:type="spellEnd"/>
      <w:r w:rsidRPr="00C71D4D">
        <w:rPr>
          <w:rFonts w:ascii="Courier New" w:eastAsia="Times New Roman" w:hAnsi="Courier New" w:cs="Courier New"/>
          <w:sz w:val="20"/>
          <w:szCs w:val="20"/>
          <w:lang w:eastAsia="en-IN"/>
        </w:rPr>
        <w:t>": {</w:t>
      </w:r>
    </w:p>
    <w:p w14:paraId="5B0649FE"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"@type": "Answer",</w:t>
      </w:r>
    </w:p>
    <w:p w14:paraId="1B517BB4"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"text": "The global geothermal power equipment market was valued at USD 8.6 billion in 2024."</w:t>
      </w:r>
    </w:p>
    <w:p w14:paraId="2003677C"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w:t>
      </w:r>
    </w:p>
    <w:p w14:paraId="3DA5B146"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w:t>
      </w:r>
    </w:p>
    <w:p w14:paraId="188EB13C"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w:t>
      </w:r>
    </w:p>
    <w:p w14:paraId="3532065E"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"@type": "Question",</w:t>
      </w:r>
    </w:p>
    <w:p w14:paraId="5B2B0722"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"name": "What is the CAGR for the forecast period?",</w:t>
      </w:r>
    </w:p>
    <w:p w14:paraId="1CBD8C07"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w:t>
      </w:r>
      <w:proofErr w:type="spellStart"/>
      <w:r w:rsidRPr="00C71D4D">
        <w:rPr>
          <w:rFonts w:ascii="Courier New" w:eastAsia="Times New Roman" w:hAnsi="Courier New" w:cs="Courier New"/>
          <w:sz w:val="20"/>
          <w:szCs w:val="20"/>
          <w:lang w:eastAsia="en-IN"/>
        </w:rPr>
        <w:t>acceptedAnswer</w:t>
      </w:r>
      <w:proofErr w:type="spellEnd"/>
      <w:r w:rsidRPr="00C71D4D">
        <w:rPr>
          <w:rFonts w:ascii="Courier New" w:eastAsia="Times New Roman" w:hAnsi="Courier New" w:cs="Courier New"/>
          <w:sz w:val="20"/>
          <w:szCs w:val="20"/>
          <w:lang w:eastAsia="en-IN"/>
        </w:rPr>
        <w:t>": {</w:t>
      </w:r>
    </w:p>
    <w:p w14:paraId="2EB1B8DE"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"@type": "Answer",</w:t>
      </w:r>
    </w:p>
    <w:p w14:paraId="730DEBB2"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"text": "The market is expected to grow at a CAGR of 6.5% from 2024 to 2030."</w:t>
      </w:r>
    </w:p>
    <w:p w14:paraId="7817FDB4"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w:t>
      </w:r>
    </w:p>
    <w:p w14:paraId="4B6CCDEA"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w:t>
      </w:r>
    </w:p>
    <w:p w14:paraId="282456A9"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w:t>
      </w:r>
    </w:p>
    <w:p w14:paraId="151D6445"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"@type": "Question",</w:t>
      </w:r>
    </w:p>
    <w:p w14:paraId="239C5A80"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"name": "Who are the major players in this market?",</w:t>
      </w:r>
    </w:p>
    <w:p w14:paraId="40489327"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w:t>
      </w:r>
      <w:proofErr w:type="spellStart"/>
      <w:r w:rsidRPr="00C71D4D">
        <w:rPr>
          <w:rFonts w:ascii="Courier New" w:eastAsia="Times New Roman" w:hAnsi="Courier New" w:cs="Courier New"/>
          <w:sz w:val="20"/>
          <w:szCs w:val="20"/>
          <w:lang w:eastAsia="en-IN"/>
        </w:rPr>
        <w:t>acceptedAnswer</w:t>
      </w:r>
      <w:proofErr w:type="spellEnd"/>
      <w:r w:rsidRPr="00C71D4D">
        <w:rPr>
          <w:rFonts w:ascii="Courier New" w:eastAsia="Times New Roman" w:hAnsi="Courier New" w:cs="Courier New"/>
          <w:sz w:val="20"/>
          <w:szCs w:val="20"/>
          <w:lang w:eastAsia="en-IN"/>
        </w:rPr>
        <w:t>": {</w:t>
      </w:r>
    </w:p>
    <w:p w14:paraId="3B4210EA"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"@type": "Answer",</w:t>
      </w:r>
    </w:p>
    <w:p w14:paraId="708FC15D"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"text": "Leading players include </w:t>
      </w:r>
      <w:proofErr w:type="spellStart"/>
      <w:r w:rsidRPr="00C71D4D">
        <w:rPr>
          <w:rFonts w:ascii="Courier New" w:eastAsia="Times New Roman" w:hAnsi="Courier New" w:cs="Courier New"/>
          <w:sz w:val="20"/>
          <w:szCs w:val="20"/>
          <w:lang w:eastAsia="en-IN"/>
        </w:rPr>
        <w:t>Ormat</w:t>
      </w:r>
      <w:proofErr w:type="spellEnd"/>
      <w:r w:rsidRPr="00C71D4D">
        <w:rPr>
          <w:rFonts w:ascii="Courier New" w:eastAsia="Times New Roman" w:hAnsi="Courier New" w:cs="Courier New"/>
          <w:sz w:val="20"/>
          <w:szCs w:val="20"/>
          <w:lang w:eastAsia="en-IN"/>
        </w:rPr>
        <w:t xml:space="preserve"> Technologies, Mitsubishi Heavy Industries, Siemens Energy, Toshiba Energy Systems &amp; Solutions, and Enel Green Power."</w:t>
      </w:r>
    </w:p>
    <w:p w14:paraId="55F9FD40"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w:t>
      </w:r>
    </w:p>
    <w:p w14:paraId="727572D0"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w:t>
      </w:r>
    </w:p>
    <w:p w14:paraId="1EC28B5A"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w:t>
      </w:r>
    </w:p>
    <w:p w14:paraId="2868C3DA"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"@type": "Question",</w:t>
      </w:r>
    </w:p>
    <w:p w14:paraId="562E58F6"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"name": "Which region dominates the market share?",</w:t>
      </w:r>
    </w:p>
    <w:p w14:paraId="4B17BC3E"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w:t>
      </w:r>
      <w:proofErr w:type="spellStart"/>
      <w:r w:rsidRPr="00C71D4D">
        <w:rPr>
          <w:rFonts w:ascii="Courier New" w:eastAsia="Times New Roman" w:hAnsi="Courier New" w:cs="Courier New"/>
          <w:sz w:val="20"/>
          <w:szCs w:val="20"/>
          <w:lang w:eastAsia="en-IN"/>
        </w:rPr>
        <w:t>acceptedAnswer</w:t>
      </w:r>
      <w:proofErr w:type="spellEnd"/>
      <w:r w:rsidRPr="00C71D4D">
        <w:rPr>
          <w:rFonts w:ascii="Courier New" w:eastAsia="Times New Roman" w:hAnsi="Courier New" w:cs="Courier New"/>
          <w:sz w:val="20"/>
          <w:szCs w:val="20"/>
          <w:lang w:eastAsia="en-IN"/>
        </w:rPr>
        <w:t>": {</w:t>
      </w:r>
    </w:p>
    <w:p w14:paraId="689D7F6C"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"@type": "Answer",</w:t>
      </w:r>
    </w:p>
    <w:p w14:paraId="7D2E3776"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"text": "North America leads due to its mature geothermal infrastructure and advanced equipment adoption."</w:t>
      </w:r>
    </w:p>
    <w:p w14:paraId="711292EA"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w:t>
      </w:r>
    </w:p>
    <w:p w14:paraId="709B0E52"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w:t>
      </w:r>
    </w:p>
    <w:p w14:paraId="07814E9D"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w:t>
      </w:r>
    </w:p>
    <w:p w14:paraId="06B18307"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"@type": "Question",</w:t>
      </w:r>
    </w:p>
    <w:p w14:paraId="62FC5A8A"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"name": "What factors are driving this market?",</w:t>
      </w:r>
    </w:p>
    <w:p w14:paraId="062A466A"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w:t>
      </w:r>
      <w:proofErr w:type="spellStart"/>
      <w:r w:rsidRPr="00C71D4D">
        <w:rPr>
          <w:rFonts w:ascii="Courier New" w:eastAsia="Times New Roman" w:hAnsi="Courier New" w:cs="Courier New"/>
          <w:sz w:val="20"/>
          <w:szCs w:val="20"/>
          <w:lang w:eastAsia="en-IN"/>
        </w:rPr>
        <w:t>acceptedAnswer</w:t>
      </w:r>
      <w:proofErr w:type="spellEnd"/>
      <w:r w:rsidRPr="00C71D4D">
        <w:rPr>
          <w:rFonts w:ascii="Courier New" w:eastAsia="Times New Roman" w:hAnsi="Courier New" w:cs="Courier New"/>
          <w:sz w:val="20"/>
          <w:szCs w:val="20"/>
          <w:lang w:eastAsia="en-IN"/>
        </w:rPr>
        <w:t>": {</w:t>
      </w:r>
    </w:p>
    <w:p w14:paraId="1EDC01AA"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"@type": "Answer",</w:t>
      </w:r>
    </w:p>
    <w:p w14:paraId="7938903A"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"text": "Growth is </w:t>
      </w:r>
      <w:proofErr w:type="spellStart"/>
      <w:r w:rsidRPr="00C71D4D">
        <w:rPr>
          <w:rFonts w:ascii="Courier New" w:eastAsia="Times New Roman" w:hAnsi="Courier New" w:cs="Courier New"/>
          <w:sz w:val="20"/>
          <w:szCs w:val="20"/>
          <w:lang w:eastAsia="en-IN"/>
        </w:rPr>
        <w:t>fueled</w:t>
      </w:r>
      <w:proofErr w:type="spellEnd"/>
      <w:r w:rsidRPr="00C71D4D">
        <w:rPr>
          <w:rFonts w:ascii="Courier New" w:eastAsia="Times New Roman" w:hAnsi="Courier New" w:cs="Courier New"/>
          <w:sz w:val="20"/>
          <w:szCs w:val="20"/>
          <w:lang w:eastAsia="en-IN"/>
        </w:rPr>
        <w:t xml:space="preserve"> by technological innovation in turbines and drilling, rising renewable energy demand, and supportive government policies and incentives."</w:t>
      </w:r>
    </w:p>
    <w:p w14:paraId="0A01E720"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w:t>
      </w:r>
    </w:p>
    <w:p w14:paraId="060C7964"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lastRenderedPageBreak/>
        <w:t xml:space="preserve">    }</w:t>
      </w:r>
    </w:p>
    <w:p w14:paraId="27999EBD"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 xml:space="preserve">  ]</w:t>
      </w:r>
    </w:p>
    <w:p w14:paraId="4B6B6EFC" w14:textId="77777777" w:rsidR="00C71D4D" w:rsidRPr="00C71D4D" w:rsidRDefault="00C71D4D" w:rsidP="00C7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1D4D">
        <w:rPr>
          <w:rFonts w:ascii="Courier New" w:eastAsia="Times New Roman" w:hAnsi="Courier New" w:cs="Courier New"/>
          <w:sz w:val="20"/>
          <w:szCs w:val="20"/>
          <w:lang w:eastAsia="en-IN"/>
        </w:rPr>
        <w:t>}</w:t>
      </w:r>
    </w:p>
    <w:p w14:paraId="2800D317" w14:textId="77777777" w:rsidR="00C71D4D" w:rsidRPr="00C71D4D" w:rsidRDefault="00C71D4D" w:rsidP="00C71D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1D4D">
        <w:rPr>
          <w:rFonts w:ascii="Times New Roman" w:eastAsia="Times New Roman" w:hAnsi="Times New Roman" w:cs="Times New Roman"/>
          <w:b/>
          <w:bCs/>
          <w:kern w:val="36"/>
          <w:sz w:val="48"/>
          <w:szCs w:val="48"/>
          <w:lang w:eastAsia="en-IN"/>
        </w:rPr>
        <w:t>9. Table of Contents</w:t>
      </w:r>
    </w:p>
    <w:p w14:paraId="42AEEEC6"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Executive Summary</w:t>
      </w:r>
    </w:p>
    <w:p w14:paraId="4C0AFE77" w14:textId="77777777" w:rsidR="00C71D4D" w:rsidRPr="00C71D4D" w:rsidRDefault="00C71D4D" w:rsidP="00C71D4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Market Overview</w:t>
      </w:r>
    </w:p>
    <w:p w14:paraId="5CD10195" w14:textId="77777777" w:rsidR="00C71D4D" w:rsidRPr="00C71D4D" w:rsidRDefault="00C71D4D" w:rsidP="00C71D4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Market Attractiveness by Equipment Type, Application, End User, and Region</w:t>
      </w:r>
    </w:p>
    <w:p w14:paraId="59368F9D" w14:textId="77777777" w:rsidR="00C71D4D" w:rsidRPr="00C71D4D" w:rsidRDefault="00C71D4D" w:rsidP="00C71D4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Strategic Insights from Key Executives (CXO Perspective)</w:t>
      </w:r>
    </w:p>
    <w:p w14:paraId="1D3055C0" w14:textId="77777777" w:rsidR="00C71D4D" w:rsidRPr="00C71D4D" w:rsidRDefault="00C71D4D" w:rsidP="00C71D4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Historical Market Size and Future Projections (2019–2030)</w:t>
      </w:r>
    </w:p>
    <w:p w14:paraId="625666D0" w14:textId="77777777" w:rsidR="00C71D4D" w:rsidRPr="00C71D4D" w:rsidRDefault="00C71D4D" w:rsidP="00C71D4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Summary of Market Segmentation by Equipment Type, Application, End User, and Region</w:t>
      </w:r>
    </w:p>
    <w:p w14:paraId="27B31F04"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Market Share Analysis</w:t>
      </w:r>
    </w:p>
    <w:p w14:paraId="1DB9B40C" w14:textId="77777777" w:rsidR="00C71D4D" w:rsidRPr="00C71D4D" w:rsidRDefault="00C71D4D" w:rsidP="00C71D4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Leading Players by Revenue and Market Share</w:t>
      </w:r>
    </w:p>
    <w:p w14:paraId="783CF0CB" w14:textId="77777777" w:rsidR="00C71D4D" w:rsidRPr="00C71D4D" w:rsidRDefault="00C71D4D" w:rsidP="00C71D4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Market Share Analysis by Equipment Type, Application, and End User</w:t>
      </w:r>
    </w:p>
    <w:p w14:paraId="54EEA40A"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Investment Opportunities in the Geothermal Power Equipment Market</w:t>
      </w:r>
    </w:p>
    <w:p w14:paraId="6217FD0E" w14:textId="77777777" w:rsidR="00C71D4D" w:rsidRPr="00C71D4D" w:rsidRDefault="00C71D4D" w:rsidP="00C71D4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Key Developments and Innovations</w:t>
      </w:r>
    </w:p>
    <w:p w14:paraId="4D53F1BB" w14:textId="77777777" w:rsidR="00C71D4D" w:rsidRPr="00C71D4D" w:rsidRDefault="00C71D4D" w:rsidP="00C71D4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Mergers, Acquisitions, and Strategic Partnerships</w:t>
      </w:r>
    </w:p>
    <w:p w14:paraId="286D5F23" w14:textId="77777777" w:rsidR="00C71D4D" w:rsidRPr="00C71D4D" w:rsidRDefault="00C71D4D" w:rsidP="00C71D4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High-Growth Segments for Investment</w:t>
      </w:r>
    </w:p>
    <w:p w14:paraId="06E79125"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Market Introduction</w:t>
      </w:r>
    </w:p>
    <w:p w14:paraId="7CB7DA3B" w14:textId="77777777" w:rsidR="00C71D4D" w:rsidRPr="00C71D4D" w:rsidRDefault="00C71D4D" w:rsidP="00C71D4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Definition and Scope of the Study</w:t>
      </w:r>
    </w:p>
    <w:p w14:paraId="343C0691" w14:textId="77777777" w:rsidR="00C71D4D" w:rsidRPr="00C71D4D" w:rsidRDefault="00C71D4D" w:rsidP="00C71D4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Market Structure and Key Findings</w:t>
      </w:r>
    </w:p>
    <w:p w14:paraId="7DD4A956" w14:textId="77777777" w:rsidR="00C71D4D" w:rsidRPr="00C71D4D" w:rsidRDefault="00C71D4D" w:rsidP="00C71D4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Overview of Top Investment Pockets</w:t>
      </w:r>
    </w:p>
    <w:p w14:paraId="62713F14"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Research Methodology</w:t>
      </w:r>
    </w:p>
    <w:p w14:paraId="2D8DBF67" w14:textId="77777777" w:rsidR="00C71D4D" w:rsidRPr="00C71D4D" w:rsidRDefault="00C71D4D" w:rsidP="00C71D4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Research Process Overview</w:t>
      </w:r>
    </w:p>
    <w:p w14:paraId="31F4A3CB" w14:textId="77777777" w:rsidR="00C71D4D" w:rsidRPr="00C71D4D" w:rsidRDefault="00C71D4D" w:rsidP="00C71D4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Primary and Secondary Research Approaches</w:t>
      </w:r>
    </w:p>
    <w:p w14:paraId="113C6044" w14:textId="77777777" w:rsidR="00C71D4D" w:rsidRPr="00C71D4D" w:rsidRDefault="00C71D4D" w:rsidP="00C71D4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Market Size Estimation and Forecasting Techniques</w:t>
      </w:r>
    </w:p>
    <w:p w14:paraId="5445C90C"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Market Dynamics</w:t>
      </w:r>
    </w:p>
    <w:p w14:paraId="143EC1FB" w14:textId="77777777" w:rsidR="00C71D4D" w:rsidRPr="00C71D4D" w:rsidRDefault="00C71D4D" w:rsidP="00C71D4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Key Market Drivers</w:t>
      </w:r>
    </w:p>
    <w:p w14:paraId="46A46DE2" w14:textId="77777777" w:rsidR="00C71D4D" w:rsidRPr="00C71D4D" w:rsidRDefault="00C71D4D" w:rsidP="00C71D4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Challenges and Restraints Impacting Growth</w:t>
      </w:r>
    </w:p>
    <w:p w14:paraId="2D185DAE" w14:textId="77777777" w:rsidR="00C71D4D" w:rsidRPr="00C71D4D" w:rsidRDefault="00C71D4D" w:rsidP="00C71D4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Emerging Opportunities for Stakeholders</w:t>
      </w:r>
    </w:p>
    <w:p w14:paraId="1ACEA93D" w14:textId="77777777" w:rsidR="00C71D4D" w:rsidRPr="00C71D4D" w:rsidRDefault="00C71D4D" w:rsidP="00C71D4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 xml:space="preserve">Impact of </w:t>
      </w:r>
      <w:proofErr w:type="spellStart"/>
      <w:r w:rsidRPr="00C71D4D">
        <w:rPr>
          <w:rFonts w:ascii="Times New Roman" w:eastAsia="Times New Roman" w:hAnsi="Times New Roman" w:cs="Times New Roman"/>
          <w:sz w:val="24"/>
          <w:szCs w:val="24"/>
          <w:lang w:eastAsia="en-IN"/>
        </w:rPr>
        <w:t>Behavioral</w:t>
      </w:r>
      <w:proofErr w:type="spellEnd"/>
      <w:r w:rsidRPr="00C71D4D">
        <w:rPr>
          <w:rFonts w:ascii="Times New Roman" w:eastAsia="Times New Roman" w:hAnsi="Times New Roman" w:cs="Times New Roman"/>
          <w:sz w:val="24"/>
          <w:szCs w:val="24"/>
          <w:lang w:eastAsia="en-IN"/>
        </w:rPr>
        <w:t xml:space="preserve"> and Regulatory Factors</w:t>
      </w:r>
    </w:p>
    <w:p w14:paraId="053F5883" w14:textId="77777777" w:rsidR="00C71D4D" w:rsidRPr="00C71D4D" w:rsidRDefault="00C71D4D" w:rsidP="00C71D4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Technological Advances in Geothermal Power Equipment</w:t>
      </w:r>
    </w:p>
    <w:p w14:paraId="6A335AC6"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Global Geothermal Power Equipment Market Analysis</w:t>
      </w:r>
    </w:p>
    <w:p w14:paraId="4F2E5F2E" w14:textId="77777777" w:rsidR="00C71D4D" w:rsidRPr="00C71D4D" w:rsidRDefault="00C71D4D" w:rsidP="00C71D4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Historical Market Size and Volume (2019–2023)</w:t>
      </w:r>
    </w:p>
    <w:p w14:paraId="41064E37" w14:textId="77777777" w:rsidR="00C71D4D" w:rsidRPr="00C71D4D" w:rsidRDefault="00C71D4D" w:rsidP="00C71D4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lastRenderedPageBreak/>
        <w:t>Market Size and Volume Forecasts (2024–2030)</w:t>
      </w:r>
    </w:p>
    <w:p w14:paraId="29F35A0A" w14:textId="77777777" w:rsidR="00C71D4D" w:rsidRPr="00C71D4D" w:rsidRDefault="00C71D4D" w:rsidP="00C71D4D">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C71D4D">
        <w:rPr>
          <w:rFonts w:ascii="Times New Roman" w:eastAsia="Times New Roman" w:hAnsi="Times New Roman" w:cs="Times New Roman"/>
          <w:b/>
          <w:bCs/>
          <w:sz w:val="24"/>
          <w:szCs w:val="24"/>
          <w:lang w:eastAsia="en-IN"/>
        </w:rPr>
        <w:t>Market Analysis by Equipment Type:</w:t>
      </w:r>
    </w:p>
    <w:p w14:paraId="77D2051A" w14:textId="77777777" w:rsidR="00C71D4D" w:rsidRPr="00C71D4D" w:rsidRDefault="00C71D4D" w:rsidP="00C71D4D">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Turbines</w:t>
      </w:r>
    </w:p>
    <w:p w14:paraId="4F1A9D9F" w14:textId="77777777" w:rsidR="00C71D4D" w:rsidRPr="00C71D4D" w:rsidRDefault="00C71D4D" w:rsidP="00C71D4D">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Generators</w:t>
      </w:r>
    </w:p>
    <w:p w14:paraId="4B1DBB3F" w14:textId="77777777" w:rsidR="00C71D4D" w:rsidRPr="00C71D4D" w:rsidRDefault="00C71D4D" w:rsidP="00C71D4D">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Heat Exchangers</w:t>
      </w:r>
    </w:p>
    <w:p w14:paraId="4EA53B99" w14:textId="77777777" w:rsidR="00C71D4D" w:rsidRPr="00C71D4D" w:rsidRDefault="00C71D4D" w:rsidP="00C71D4D">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Pumps</w:t>
      </w:r>
    </w:p>
    <w:p w14:paraId="33EC4303" w14:textId="77777777" w:rsidR="00C71D4D" w:rsidRPr="00C71D4D" w:rsidRDefault="00C71D4D" w:rsidP="00C71D4D">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Drilling Equipment</w:t>
      </w:r>
    </w:p>
    <w:p w14:paraId="09D3892F" w14:textId="77777777" w:rsidR="00C71D4D" w:rsidRPr="00C71D4D" w:rsidRDefault="00C71D4D" w:rsidP="00C71D4D">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C71D4D">
        <w:rPr>
          <w:rFonts w:ascii="Times New Roman" w:eastAsia="Times New Roman" w:hAnsi="Times New Roman" w:cs="Times New Roman"/>
          <w:b/>
          <w:bCs/>
          <w:sz w:val="24"/>
          <w:szCs w:val="24"/>
          <w:lang w:eastAsia="en-IN"/>
        </w:rPr>
        <w:t>Market Analysis by Application:</w:t>
      </w:r>
    </w:p>
    <w:p w14:paraId="1342814E" w14:textId="77777777" w:rsidR="00C71D4D" w:rsidRPr="00C71D4D" w:rsidRDefault="00C71D4D" w:rsidP="00C71D4D">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Electricity Generation</w:t>
      </w:r>
    </w:p>
    <w:p w14:paraId="79674DC5" w14:textId="77777777" w:rsidR="00C71D4D" w:rsidRPr="00C71D4D" w:rsidRDefault="00C71D4D" w:rsidP="00C71D4D">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Direct-Use Applications</w:t>
      </w:r>
    </w:p>
    <w:p w14:paraId="0B1F86DD" w14:textId="77777777" w:rsidR="00C71D4D" w:rsidRPr="00C71D4D" w:rsidRDefault="00C71D4D" w:rsidP="00C71D4D">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C71D4D">
        <w:rPr>
          <w:rFonts w:ascii="Times New Roman" w:eastAsia="Times New Roman" w:hAnsi="Times New Roman" w:cs="Times New Roman"/>
          <w:b/>
          <w:bCs/>
          <w:sz w:val="24"/>
          <w:szCs w:val="24"/>
          <w:lang w:eastAsia="en-IN"/>
        </w:rPr>
        <w:t>Market Analysis by End User:</w:t>
      </w:r>
    </w:p>
    <w:p w14:paraId="53858F58" w14:textId="77777777" w:rsidR="00C71D4D" w:rsidRPr="00C71D4D" w:rsidRDefault="00C71D4D" w:rsidP="00C71D4D">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Utility Companies</w:t>
      </w:r>
    </w:p>
    <w:p w14:paraId="45D9129D" w14:textId="77777777" w:rsidR="00C71D4D" w:rsidRPr="00C71D4D" w:rsidRDefault="00C71D4D" w:rsidP="00C71D4D">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Independent Power Producers (IPPs)</w:t>
      </w:r>
    </w:p>
    <w:p w14:paraId="33ABDD3D" w14:textId="77777777" w:rsidR="00C71D4D" w:rsidRPr="00C71D4D" w:rsidRDefault="00C71D4D" w:rsidP="00C71D4D">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Industrial Facilities</w:t>
      </w:r>
    </w:p>
    <w:p w14:paraId="63533C95" w14:textId="77777777" w:rsidR="00C71D4D" w:rsidRPr="00C71D4D" w:rsidRDefault="00C71D4D" w:rsidP="00C71D4D">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C71D4D">
        <w:rPr>
          <w:rFonts w:ascii="Times New Roman" w:eastAsia="Times New Roman" w:hAnsi="Times New Roman" w:cs="Times New Roman"/>
          <w:b/>
          <w:bCs/>
          <w:sz w:val="24"/>
          <w:szCs w:val="24"/>
          <w:lang w:eastAsia="en-IN"/>
        </w:rPr>
        <w:t>Market Analysis by Region:</w:t>
      </w:r>
    </w:p>
    <w:p w14:paraId="0B480EA7" w14:textId="77777777" w:rsidR="00C71D4D" w:rsidRPr="00C71D4D" w:rsidRDefault="00C71D4D" w:rsidP="00C71D4D">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North America</w:t>
      </w:r>
    </w:p>
    <w:p w14:paraId="6666CD12" w14:textId="77777777" w:rsidR="00C71D4D" w:rsidRPr="00C71D4D" w:rsidRDefault="00C71D4D" w:rsidP="00C71D4D">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Europe</w:t>
      </w:r>
    </w:p>
    <w:p w14:paraId="10D6126B" w14:textId="77777777" w:rsidR="00C71D4D" w:rsidRPr="00C71D4D" w:rsidRDefault="00C71D4D" w:rsidP="00C71D4D">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Asia-Pacific</w:t>
      </w:r>
    </w:p>
    <w:p w14:paraId="7F8D5567" w14:textId="77777777" w:rsidR="00C71D4D" w:rsidRPr="00C71D4D" w:rsidRDefault="00C71D4D" w:rsidP="00C71D4D">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LAMEA (Latin America, Middle East &amp; Africa)</w:t>
      </w:r>
    </w:p>
    <w:p w14:paraId="6C125C02"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Regional Market Analysis</w:t>
      </w:r>
    </w:p>
    <w:p w14:paraId="1760A1DB" w14:textId="77777777" w:rsidR="00C71D4D" w:rsidRPr="00C71D4D" w:rsidRDefault="00C71D4D" w:rsidP="00C71D4D">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C71D4D">
        <w:rPr>
          <w:rFonts w:ascii="Times New Roman" w:eastAsia="Times New Roman" w:hAnsi="Times New Roman" w:cs="Times New Roman"/>
          <w:b/>
          <w:bCs/>
          <w:sz w:val="24"/>
          <w:szCs w:val="24"/>
          <w:lang w:eastAsia="en-IN"/>
        </w:rPr>
        <w:t>North America Geothermal Power Equipment Market</w:t>
      </w:r>
    </w:p>
    <w:p w14:paraId="712DFC0A" w14:textId="77777777" w:rsidR="00C71D4D" w:rsidRPr="00C71D4D" w:rsidRDefault="00C71D4D" w:rsidP="00C71D4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Historical Market Size and Volume (2019–2023)</w:t>
      </w:r>
    </w:p>
    <w:p w14:paraId="0C2AEF4A" w14:textId="77777777" w:rsidR="00C71D4D" w:rsidRPr="00C71D4D" w:rsidRDefault="00C71D4D" w:rsidP="00C71D4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Market Size and Volume Forecasts (2024–2030)</w:t>
      </w:r>
    </w:p>
    <w:p w14:paraId="662AB3D6" w14:textId="77777777" w:rsidR="00C71D4D" w:rsidRPr="00C71D4D" w:rsidRDefault="00C71D4D" w:rsidP="00C71D4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Market Analysis by Equipment Type, Application, and End User</w:t>
      </w:r>
    </w:p>
    <w:p w14:paraId="0F41FD4D" w14:textId="77777777" w:rsidR="00C71D4D" w:rsidRPr="00C71D4D" w:rsidRDefault="00C71D4D" w:rsidP="00C71D4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Country-Level Breakdown: United States, Canada, Mexico</w:t>
      </w:r>
    </w:p>
    <w:p w14:paraId="719F1D4E" w14:textId="77777777" w:rsidR="00C71D4D" w:rsidRPr="00C71D4D" w:rsidRDefault="00C71D4D" w:rsidP="00C71D4D">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C71D4D">
        <w:rPr>
          <w:rFonts w:ascii="Times New Roman" w:eastAsia="Times New Roman" w:hAnsi="Times New Roman" w:cs="Times New Roman"/>
          <w:b/>
          <w:bCs/>
          <w:sz w:val="24"/>
          <w:szCs w:val="24"/>
          <w:lang w:eastAsia="en-IN"/>
        </w:rPr>
        <w:t>Europe Geothermal Power Equipment Market</w:t>
      </w:r>
    </w:p>
    <w:p w14:paraId="00342B3B" w14:textId="77777777" w:rsidR="00C71D4D" w:rsidRPr="00C71D4D" w:rsidRDefault="00C71D4D" w:rsidP="00C71D4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Country-Level Breakdown: Iceland, Italy, Germany, France, Spain, Rest of Europe</w:t>
      </w:r>
    </w:p>
    <w:p w14:paraId="6C6B2D81" w14:textId="77777777" w:rsidR="00C71D4D" w:rsidRPr="00C71D4D" w:rsidRDefault="00C71D4D" w:rsidP="00C71D4D">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C71D4D">
        <w:rPr>
          <w:rFonts w:ascii="Times New Roman" w:eastAsia="Times New Roman" w:hAnsi="Times New Roman" w:cs="Times New Roman"/>
          <w:b/>
          <w:bCs/>
          <w:sz w:val="24"/>
          <w:szCs w:val="24"/>
          <w:lang w:eastAsia="en-IN"/>
        </w:rPr>
        <w:t>Asia-Pacific Geothermal Power Equipment Market</w:t>
      </w:r>
    </w:p>
    <w:p w14:paraId="66BD9B1C" w14:textId="77777777" w:rsidR="00C71D4D" w:rsidRPr="00C71D4D" w:rsidRDefault="00C71D4D" w:rsidP="00C71D4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Country-Level Breakdown: Indonesia, Philippines, Japan, New Zealand, Rest of Asia-Pacific</w:t>
      </w:r>
    </w:p>
    <w:p w14:paraId="12F462F5" w14:textId="77777777" w:rsidR="00C71D4D" w:rsidRPr="00C71D4D" w:rsidRDefault="00C71D4D" w:rsidP="00C71D4D">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C71D4D">
        <w:rPr>
          <w:rFonts w:ascii="Times New Roman" w:eastAsia="Times New Roman" w:hAnsi="Times New Roman" w:cs="Times New Roman"/>
          <w:b/>
          <w:bCs/>
          <w:sz w:val="24"/>
          <w:szCs w:val="24"/>
          <w:lang w:eastAsia="en-IN"/>
        </w:rPr>
        <w:t>Latin America Geothermal Power Equipment Market</w:t>
      </w:r>
    </w:p>
    <w:p w14:paraId="4485060E" w14:textId="77777777" w:rsidR="00C71D4D" w:rsidRPr="00C71D4D" w:rsidRDefault="00C71D4D" w:rsidP="00C71D4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Country-Level Breakdown: Chile, Mexico, Nicaragua, Rest of Latin America</w:t>
      </w:r>
    </w:p>
    <w:p w14:paraId="3E4611A4" w14:textId="77777777" w:rsidR="00C71D4D" w:rsidRPr="00C71D4D" w:rsidRDefault="00C71D4D" w:rsidP="00C71D4D">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C71D4D">
        <w:rPr>
          <w:rFonts w:ascii="Times New Roman" w:eastAsia="Times New Roman" w:hAnsi="Times New Roman" w:cs="Times New Roman"/>
          <w:b/>
          <w:bCs/>
          <w:sz w:val="24"/>
          <w:szCs w:val="24"/>
          <w:lang w:eastAsia="en-IN"/>
        </w:rPr>
        <w:t>Middle East &amp; Africa Geothermal Power Equipment Market</w:t>
      </w:r>
    </w:p>
    <w:p w14:paraId="211F9027" w14:textId="77777777" w:rsidR="00C71D4D" w:rsidRPr="00C71D4D" w:rsidRDefault="00C71D4D" w:rsidP="00C71D4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Country-Level Breakdown: Kenya, Other MEA Countries</w:t>
      </w:r>
    </w:p>
    <w:p w14:paraId="52E9FE42"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Key Players and Competitive Analysis</w:t>
      </w:r>
    </w:p>
    <w:p w14:paraId="75CC1EDD" w14:textId="77777777" w:rsidR="00C71D4D" w:rsidRPr="00C71D4D" w:rsidRDefault="00C71D4D" w:rsidP="00C71D4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71D4D">
        <w:rPr>
          <w:rFonts w:ascii="Times New Roman" w:eastAsia="Times New Roman" w:hAnsi="Times New Roman" w:cs="Times New Roman"/>
          <w:sz w:val="24"/>
          <w:szCs w:val="24"/>
          <w:lang w:eastAsia="en-IN"/>
        </w:rPr>
        <w:t>Ormat</w:t>
      </w:r>
      <w:proofErr w:type="spellEnd"/>
      <w:r w:rsidRPr="00C71D4D">
        <w:rPr>
          <w:rFonts w:ascii="Times New Roman" w:eastAsia="Times New Roman" w:hAnsi="Times New Roman" w:cs="Times New Roman"/>
          <w:sz w:val="24"/>
          <w:szCs w:val="24"/>
          <w:lang w:eastAsia="en-IN"/>
        </w:rPr>
        <w:t xml:space="preserve"> Technologies</w:t>
      </w:r>
    </w:p>
    <w:p w14:paraId="32C8EBEA" w14:textId="77777777" w:rsidR="00C71D4D" w:rsidRPr="00C71D4D" w:rsidRDefault="00C71D4D" w:rsidP="00C71D4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Mitsubishi Heavy Industries</w:t>
      </w:r>
    </w:p>
    <w:p w14:paraId="610F2B93" w14:textId="77777777" w:rsidR="00C71D4D" w:rsidRPr="00C71D4D" w:rsidRDefault="00C71D4D" w:rsidP="00C71D4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Siemens Energy</w:t>
      </w:r>
    </w:p>
    <w:p w14:paraId="1E078FC1" w14:textId="77777777" w:rsidR="00C71D4D" w:rsidRPr="00C71D4D" w:rsidRDefault="00C71D4D" w:rsidP="00C71D4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Toshiba Energy Systems &amp; Solutions</w:t>
      </w:r>
    </w:p>
    <w:p w14:paraId="2322A16D" w14:textId="77777777" w:rsidR="00C71D4D" w:rsidRPr="00C71D4D" w:rsidRDefault="00C71D4D" w:rsidP="00C71D4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Enel Green Power</w:t>
      </w:r>
    </w:p>
    <w:p w14:paraId="0297A2ED" w14:textId="77777777" w:rsidR="00C71D4D" w:rsidRPr="00C71D4D" w:rsidRDefault="00C71D4D" w:rsidP="00C71D4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Regional Specialists and Niche OEMs</w:t>
      </w:r>
    </w:p>
    <w:p w14:paraId="0E5206C9"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Appendix</w:t>
      </w:r>
    </w:p>
    <w:p w14:paraId="7BDB18B2" w14:textId="77777777" w:rsidR="00C71D4D" w:rsidRPr="00C71D4D" w:rsidRDefault="00C71D4D" w:rsidP="00C71D4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Abbreviations and Terminologies Used in the Report</w:t>
      </w:r>
    </w:p>
    <w:p w14:paraId="1F4F670B" w14:textId="77777777" w:rsidR="00C71D4D" w:rsidRPr="00C71D4D" w:rsidRDefault="00C71D4D" w:rsidP="00C71D4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lastRenderedPageBreak/>
        <w:t>References and Sources</w:t>
      </w:r>
    </w:p>
    <w:p w14:paraId="4430C692"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List of Tables</w:t>
      </w:r>
    </w:p>
    <w:p w14:paraId="1E3EA403" w14:textId="77777777" w:rsidR="00C71D4D" w:rsidRPr="00C71D4D" w:rsidRDefault="00C71D4D" w:rsidP="00C71D4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Market Size by Equipment Type, Application, End User, and Region (2024–2030)</w:t>
      </w:r>
    </w:p>
    <w:p w14:paraId="6426B9D0" w14:textId="77777777" w:rsidR="00C71D4D" w:rsidRPr="00C71D4D" w:rsidRDefault="00C71D4D" w:rsidP="00C71D4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Regional Market Breakdown by Segment Type (2024–2030)</w:t>
      </w:r>
    </w:p>
    <w:p w14:paraId="3CB35FA4" w14:textId="77777777" w:rsidR="00C71D4D" w:rsidRPr="00C71D4D" w:rsidRDefault="00C71D4D" w:rsidP="00C71D4D">
      <w:p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b/>
          <w:bCs/>
          <w:sz w:val="24"/>
          <w:szCs w:val="24"/>
          <w:lang w:eastAsia="en-IN"/>
        </w:rPr>
        <w:t>List of Figures</w:t>
      </w:r>
    </w:p>
    <w:p w14:paraId="4868F2D1" w14:textId="77777777" w:rsidR="00C71D4D" w:rsidRPr="00C71D4D" w:rsidRDefault="00C71D4D" w:rsidP="00C71D4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Market Drivers, Challenges, and Opportunities</w:t>
      </w:r>
    </w:p>
    <w:p w14:paraId="7D380667" w14:textId="77777777" w:rsidR="00C71D4D" w:rsidRPr="00C71D4D" w:rsidRDefault="00C71D4D" w:rsidP="00C71D4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Regional Market Snapshot</w:t>
      </w:r>
    </w:p>
    <w:p w14:paraId="695A8C62" w14:textId="77777777" w:rsidR="00C71D4D" w:rsidRPr="00C71D4D" w:rsidRDefault="00C71D4D" w:rsidP="00C71D4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Competitive Landscape by Market Share</w:t>
      </w:r>
    </w:p>
    <w:p w14:paraId="51C88C41" w14:textId="77777777" w:rsidR="00C71D4D" w:rsidRPr="00C71D4D" w:rsidRDefault="00C71D4D" w:rsidP="00C71D4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Growth Strategies Adopted by Key Players</w:t>
      </w:r>
    </w:p>
    <w:p w14:paraId="15B96EBC" w14:textId="77777777" w:rsidR="00C71D4D" w:rsidRPr="00C71D4D" w:rsidRDefault="00C71D4D" w:rsidP="00C71D4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71D4D">
        <w:rPr>
          <w:rFonts w:ascii="Times New Roman" w:eastAsia="Times New Roman" w:hAnsi="Times New Roman" w:cs="Times New Roman"/>
          <w:sz w:val="24"/>
          <w:szCs w:val="24"/>
          <w:lang w:eastAsia="en-IN"/>
        </w:rPr>
        <w:t>Market Share by Equipment Type, Application, and End User (2024 vs. 2030)</w:t>
      </w:r>
    </w:p>
    <w:p w14:paraId="37AF16B0" w14:textId="738D8778"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637"/>
    <w:multiLevelType w:val="multilevel"/>
    <w:tmpl w:val="3658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3219D"/>
    <w:multiLevelType w:val="multilevel"/>
    <w:tmpl w:val="701A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60338"/>
    <w:multiLevelType w:val="multilevel"/>
    <w:tmpl w:val="663E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D392A"/>
    <w:multiLevelType w:val="multilevel"/>
    <w:tmpl w:val="6C4A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247C6"/>
    <w:multiLevelType w:val="multilevel"/>
    <w:tmpl w:val="76AE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752CD1"/>
    <w:multiLevelType w:val="multilevel"/>
    <w:tmpl w:val="F248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1E000F"/>
    <w:multiLevelType w:val="multilevel"/>
    <w:tmpl w:val="D57A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090EA4"/>
    <w:multiLevelType w:val="multilevel"/>
    <w:tmpl w:val="C544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CA2F7E"/>
    <w:multiLevelType w:val="multilevel"/>
    <w:tmpl w:val="5534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4B2376"/>
    <w:multiLevelType w:val="multilevel"/>
    <w:tmpl w:val="5784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884843"/>
    <w:multiLevelType w:val="multilevel"/>
    <w:tmpl w:val="CB32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DE1108"/>
    <w:multiLevelType w:val="multilevel"/>
    <w:tmpl w:val="49E4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D714A4"/>
    <w:multiLevelType w:val="multilevel"/>
    <w:tmpl w:val="2328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764BD6"/>
    <w:multiLevelType w:val="multilevel"/>
    <w:tmpl w:val="2A00A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773F7D"/>
    <w:multiLevelType w:val="multilevel"/>
    <w:tmpl w:val="BF5A4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10"/>
  </w:num>
  <w:num w:numId="4">
    <w:abstractNumId w:val="9"/>
  </w:num>
  <w:num w:numId="5">
    <w:abstractNumId w:val="8"/>
  </w:num>
  <w:num w:numId="6">
    <w:abstractNumId w:val="11"/>
  </w:num>
  <w:num w:numId="7">
    <w:abstractNumId w:val="4"/>
  </w:num>
  <w:num w:numId="8">
    <w:abstractNumId w:val="5"/>
  </w:num>
  <w:num w:numId="9">
    <w:abstractNumId w:val="2"/>
  </w:num>
  <w:num w:numId="10">
    <w:abstractNumId w:val="14"/>
  </w:num>
  <w:num w:numId="11">
    <w:abstractNumId w:val="13"/>
  </w:num>
  <w:num w:numId="12">
    <w:abstractNumId w:val="1"/>
  </w:num>
  <w:num w:numId="13">
    <w:abstractNumId w:val="3"/>
  </w:num>
  <w:num w:numId="14">
    <w:abstractNumId w:val="7"/>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D4D"/>
    <w:rsid w:val="0038114E"/>
    <w:rsid w:val="00A11F02"/>
    <w:rsid w:val="00C3457D"/>
    <w:rsid w:val="00C71D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4F3EB"/>
  <w15:chartTrackingRefBased/>
  <w15:docId w15:val="{AE0F22EC-F7F4-4610-BF8D-97582CCA2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D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D4D"/>
    <w:rPr>
      <w:rFonts w:asciiTheme="majorHAnsi" w:eastAsiaTheme="majorEastAsia" w:hAnsiTheme="majorHAnsi" w:cstheme="majorBidi"/>
      <w:color w:val="2F5496" w:themeColor="accent1" w:themeShade="BF"/>
      <w:sz w:val="32"/>
      <w:szCs w:val="32"/>
    </w:rPr>
  </w:style>
  <w:style w:type="table" w:styleId="PlainTable1">
    <w:name w:val="Plain Table 1"/>
    <w:basedOn w:val="TableNormal"/>
    <w:uiPriority w:val="41"/>
    <w:rsid w:val="00C71D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972551">
      <w:bodyDiv w:val="1"/>
      <w:marLeft w:val="0"/>
      <w:marRight w:val="0"/>
      <w:marTop w:val="0"/>
      <w:marBottom w:val="0"/>
      <w:divBdr>
        <w:top w:val="none" w:sz="0" w:space="0" w:color="auto"/>
        <w:left w:val="none" w:sz="0" w:space="0" w:color="auto"/>
        <w:bottom w:val="none" w:sz="0" w:space="0" w:color="auto"/>
        <w:right w:val="none" w:sz="0" w:space="0" w:color="auto"/>
      </w:divBdr>
    </w:div>
    <w:div w:id="557209286">
      <w:bodyDiv w:val="1"/>
      <w:marLeft w:val="0"/>
      <w:marRight w:val="0"/>
      <w:marTop w:val="0"/>
      <w:marBottom w:val="0"/>
      <w:divBdr>
        <w:top w:val="none" w:sz="0" w:space="0" w:color="auto"/>
        <w:left w:val="none" w:sz="0" w:space="0" w:color="auto"/>
        <w:bottom w:val="none" w:sz="0" w:space="0" w:color="auto"/>
        <w:right w:val="none" w:sz="0" w:space="0" w:color="auto"/>
      </w:divBdr>
    </w:div>
    <w:div w:id="660618328">
      <w:bodyDiv w:val="1"/>
      <w:marLeft w:val="0"/>
      <w:marRight w:val="0"/>
      <w:marTop w:val="0"/>
      <w:marBottom w:val="0"/>
      <w:divBdr>
        <w:top w:val="none" w:sz="0" w:space="0" w:color="auto"/>
        <w:left w:val="none" w:sz="0" w:space="0" w:color="auto"/>
        <w:bottom w:val="none" w:sz="0" w:space="0" w:color="auto"/>
        <w:right w:val="none" w:sz="0" w:space="0" w:color="auto"/>
      </w:divBdr>
    </w:div>
    <w:div w:id="1271425904">
      <w:bodyDiv w:val="1"/>
      <w:marLeft w:val="0"/>
      <w:marRight w:val="0"/>
      <w:marTop w:val="0"/>
      <w:marBottom w:val="0"/>
      <w:divBdr>
        <w:top w:val="none" w:sz="0" w:space="0" w:color="auto"/>
        <w:left w:val="none" w:sz="0" w:space="0" w:color="auto"/>
        <w:bottom w:val="none" w:sz="0" w:space="0" w:color="auto"/>
        <w:right w:val="none" w:sz="0" w:space="0" w:color="auto"/>
      </w:divBdr>
      <w:divsChild>
        <w:div w:id="177356956">
          <w:marLeft w:val="0"/>
          <w:marRight w:val="0"/>
          <w:marTop w:val="0"/>
          <w:marBottom w:val="0"/>
          <w:divBdr>
            <w:top w:val="none" w:sz="0" w:space="0" w:color="auto"/>
            <w:left w:val="none" w:sz="0" w:space="0" w:color="auto"/>
            <w:bottom w:val="none" w:sz="0" w:space="0" w:color="auto"/>
            <w:right w:val="none" w:sz="0" w:space="0" w:color="auto"/>
          </w:divBdr>
          <w:divsChild>
            <w:div w:id="127390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183294">
      <w:bodyDiv w:val="1"/>
      <w:marLeft w:val="0"/>
      <w:marRight w:val="0"/>
      <w:marTop w:val="0"/>
      <w:marBottom w:val="0"/>
      <w:divBdr>
        <w:top w:val="none" w:sz="0" w:space="0" w:color="auto"/>
        <w:left w:val="none" w:sz="0" w:space="0" w:color="auto"/>
        <w:bottom w:val="none" w:sz="0" w:space="0" w:color="auto"/>
        <w:right w:val="none" w:sz="0" w:space="0" w:color="auto"/>
      </w:divBdr>
    </w:div>
    <w:div w:id="1463645801">
      <w:bodyDiv w:val="1"/>
      <w:marLeft w:val="0"/>
      <w:marRight w:val="0"/>
      <w:marTop w:val="0"/>
      <w:marBottom w:val="0"/>
      <w:divBdr>
        <w:top w:val="none" w:sz="0" w:space="0" w:color="auto"/>
        <w:left w:val="none" w:sz="0" w:space="0" w:color="auto"/>
        <w:bottom w:val="none" w:sz="0" w:space="0" w:color="auto"/>
        <w:right w:val="none" w:sz="0" w:space="0" w:color="auto"/>
      </w:divBdr>
    </w:div>
    <w:div w:id="1753156649">
      <w:bodyDiv w:val="1"/>
      <w:marLeft w:val="0"/>
      <w:marRight w:val="0"/>
      <w:marTop w:val="0"/>
      <w:marBottom w:val="0"/>
      <w:divBdr>
        <w:top w:val="none" w:sz="0" w:space="0" w:color="auto"/>
        <w:left w:val="none" w:sz="0" w:space="0" w:color="auto"/>
        <w:bottom w:val="none" w:sz="0" w:space="0" w:color="auto"/>
        <w:right w:val="none" w:sz="0" w:space="0" w:color="auto"/>
      </w:divBdr>
      <w:divsChild>
        <w:div w:id="1189298703">
          <w:marLeft w:val="0"/>
          <w:marRight w:val="0"/>
          <w:marTop w:val="0"/>
          <w:marBottom w:val="0"/>
          <w:divBdr>
            <w:top w:val="none" w:sz="0" w:space="0" w:color="auto"/>
            <w:left w:val="none" w:sz="0" w:space="0" w:color="auto"/>
            <w:bottom w:val="none" w:sz="0" w:space="0" w:color="auto"/>
            <w:right w:val="none" w:sz="0" w:space="0" w:color="auto"/>
          </w:divBdr>
          <w:divsChild>
            <w:div w:id="649865974">
              <w:marLeft w:val="0"/>
              <w:marRight w:val="0"/>
              <w:marTop w:val="0"/>
              <w:marBottom w:val="0"/>
              <w:divBdr>
                <w:top w:val="none" w:sz="0" w:space="0" w:color="auto"/>
                <w:left w:val="none" w:sz="0" w:space="0" w:color="auto"/>
                <w:bottom w:val="none" w:sz="0" w:space="0" w:color="auto"/>
                <w:right w:val="none" w:sz="0" w:space="0" w:color="auto"/>
              </w:divBdr>
            </w:div>
          </w:divsChild>
        </w:div>
        <w:div w:id="1419717357">
          <w:marLeft w:val="0"/>
          <w:marRight w:val="0"/>
          <w:marTop w:val="0"/>
          <w:marBottom w:val="0"/>
          <w:divBdr>
            <w:top w:val="none" w:sz="0" w:space="0" w:color="auto"/>
            <w:left w:val="none" w:sz="0" w:space="0" w:color="auto"/>
            <w:bottom w:val="none" w:sz="0" w:space="0" w:color="auto"/>
            <w:right w:val="none" w:sz="0" w:space="0" w:color="auto"/>
          </w:divBdr>
          <w:divsChild>
            <w:div w:id="125477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901897">
      <w:bodyDiv w:val="1"/>
      <w:marLeft w:val="0"/>
      <w:marRight w:val="0"/>
      <w:marTop w:val="0"/>
      <w:marBottom w:val="0"/>
      <w:divBdr>
        <w:top w:val="none" w:sz="0" w:space="0" w:color="auto"/>
        <w:left w:val="none" w:sz="0" w:space="0" w:color="auto"/>
        <w:bottom w:val="none" w:sz="0" w:space="0" w:color="auto"/>
        <w:right w:val="none" w:sz="0" w:space="0" w:color="auto"/>
      </w:divBdr>
    </w:div>
    <w:div w:id="1940943065">
      <w:bodyDiv w:val="1"/>
      <w:marLeft w:val="0"/>
      <w:marRight w:val="0"/>
      <w:marTop w:val="0"/>
      <w:marBottom w:val="0"/>
      <w:divBdr>
        <w:top w:val="none" w:sz="0" w:space="0" w:color="auto"/>
        <w:left w:val="none" w:sz="0" w:space="0" w:color="auto"/>
        <w:bottom w:val="none" w:sz="0" w:space="0" w:color="auto"/>
        <w:right w:val="none" w:sz="0" w:space="0" w:color="auto"/>
      </w:divBdr>
    </w:div>
    <w:div w:id="1977179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13</Pages>
  <Words>4117</Words>
  <Characters>23470</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Choudhary</dc:creator>
  <cp:keywords/>
  <dc:description/>
  <cp:lastModifiedBy>Tushar Choudhary</cp:lastModifiedBy>
  <cp:revision>1</cp:revision>
  <dcterms:created xsi:type="dcterms:W3CDTF">2025-10-14T11:49:00Z</dcterms:created>
  <dcterms:modified xsi:type="dcterms:W3CDTF">2025-10-14T12:02:00Z</dcterms:modified>
</cp:coreProperties>
</file>