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32D976" w14:textId="77777777" w:rsidR="00F44EB4" w:rsidRPr="00F44EB4" w:rsidRDefault="00F44EB4" w:rsidP="00F44EB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44EB4">
        <w:rPr>
          <w:rFonts w:ascii="Times New Roman" w:eastAsia="Times New Roman" w:hAnsi="Times New Roman" w:cs="Times New Roman"/>
          <w:b/>
          <w:bCs/>
          <w:kern w:val="36"/>
          <w:sz w:val="48"/>
          <w:szCs w:val="48"/>
          <w:lang w:eastAsia="en-IN"/>
          <w14:ligatures w14:val="none"/>
        </w:rPr>
        <w:t>1. Introduction and Strategic Context</w:t>
      </w:r>
    </w:p>
    <w:p w14:paraId="39596183" w14:textId="4C16432B" w:rsid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 xml:space="preserve">The </w:t>
      </w:r>
      <w:r w:rsidRPr="00F44EB4">
        <w:rPr>
          <w:rFonts w:ascii="Times New Roman" w:eastAsia="Times New Roman" w:hAnsi="Times New Roman" w:cs="Times New Roman"/>
          <w:b/>
          <w:bCs/>
          <w:kern w:val="0"/>
          <w:sz w:val="24"/>
          <w:szCs w:val="24"/>
          <w:lang w:eastAsia="en-IN"/>
          <w14:ligatures w14:val="none"/>
        </w:rPr>
        <w:t>Global Glycinates Market</w:t>
      </w:r>
      <w:r w:rsidRPr="00F44EB4">
        <w:rPr>
          <w:rFonts w:ascii="Times New Roman" w:eastAsia="Times New Roman" w:hAnsi="Times New Roman" w:cs="Times New Roman"/>
          <w:kern w:val="0"/>
          <w:sz w:val="24"/>
          <w:szCs w:val="24"/>
          <w:lang w:eastAsia="en-IN"/>
          <w14:ligatures w14:val="none"/>
        </w:rPr>
        <w:t xml:space="preserve"> is projected to grow steadily at an estimated </w:t>
      </w:r>
      <w:r w:rsidRPr="00F44EB4">
        <w:rPr>
          <w:rFonts w:ascii="Times New Roman" w:eastAsia="Times New Roman" w:hAnsi="Times New Roman" w:cs="Times New Roman"/>
          <w:b/>
          <w:bCs/>
          <w:kern w:val="0"/>
          <w:sz w:val="24"/>
          <w:szCs w:val="24"/>
          <w:lang w:eastAsia="en-IN"/>
          <w14:ligatures w14:val="none"/>
        </w:rPr>
        <w:t xml:space="preserve">CAGR of </w:t>
      </w:r>
      <w:r w:rsidR="00B5785F">
        <w:rPr>
          <w:rFonts w:ascii="Times New Roman" w:eastAsia="Times New Roman" w:hAnsi="Times New Roman" w:cs="Times New Roman"/>
          <w:b/>
          <w:bCs/>
          <w:kern w:val="0"/>
          <w:sz w:val="24"/>
          <w:szCs w:val="24"/>
          <w:lang w:eastAsia="en-IN"/>
          <w14:ligatures w14:val="none"/>
        </w:rPr>
        <w:t>5.3%</w:t>
      </w:r>
      <w:r w:rsidRPr="00F44EB4">
        <w:rPr>
          <w:rFonts w:ascii="Times New Roman" w:eastAsia="Times New Roman" w:hAnsi="Times New Roman" w:cs="Times New Roman"/>
          <w:kern w:val="0"/>
          <w:sz w:val="24"/>
          <w:szCs w:val="24"/>
          <w:lang w:eastAsia="en-IN"/>
          <w14:ligatures w14:val="none"/>
        </w:rPr>
        <w:t xml:space="preserve">, reaching around </w:t>
      </w:r>
      <w:r w:rsidRPr="00F44EB4">
        <w:rPr>
          <w:rFonts w:ascii="Times New Roman" w:eastAsia="Times New Roman" w:hAnsi="Times New Roman" w:cs="Times New Roman"/>
          <w:b/>
          <w:bCs/>
          <w:kern w:val="0"/>
          <w:sz w:val="24"/>
          <w:szCs w:val="24"/>
          <w:lang w:eastAsia="en-IN"/>
          <w14:ligatures w14:val="none"/>
        </w:rPr>
        <w:t xml:space="preserve">USD </w:t>
      </w:r>
      <w:r w:rsidR="00B5785F">
        <w:rPr>
          <w:rFonts w:ascii="Times New Roman" w:eastAsia="Times New Roman" w:hAnsi="Times New Roman" w:cs="Times New Roman"/>
          <w:b/>
          <w:bCs/>
          <w:kern w:val="0"/>
          <w:sz w:val="24"/>
          <w:szCs w:val="24"/>
          <w:lang w:eastAsia="en-IN"/>
          <w14:ligatures w14:val="none"/>
        </w:rPr>
        <w:t>1.34</w:t>
      </w:r>
      <w:r w:rsidRPr="00F44EB4">
        <w:rPr>
          <w:rFonts w:ascii="Times New Roman" w:eastAsia="Times New Roman" w:hAnsi="Times New Roman" w:cs="Times New Roman"/>
          <w:b/>
          <w:bCs/>
          <w:kern w:val="0"/>
          <w:sz w:val="24"/>
          <w:szCs w:val="24"/>
          <w:lang w:eastAsia="en-IN"/>
          <w14:ligatures w14:val="none"/>
        </w:rPr>
        <w:t xml:space="preserve"> billion by 2030</w:t>
      </w:r>
      <w:r w:rsidRPr="00F44EB4">
        <w:rPr>
          <w:rFonts w:ascii="Times New Roman" w:eastAsia="Times New Roman" w:hAnsi="Times New Roman" w:cs="Times New Roman"/>
          <w:kern w:val="0"/>
          <w:sz w:val="24"/>
          <w:szCs w:val="24"/>
          <w:lang w:eastAsia="en-IN"/>
          <w14:ligatures w14:val="none"/>
        </w:rPr>
        <w:t xml:space="preserve">, up from </w:t>
      </w:r>
      <w:r w:rsidRPr="00F44EB4">
        <w:rPr>
          <w:rFonts w:ascii="Times New Roman" w:eastAsia="Times New Roman" w:hAnsi="Times New Roman" w:cs="Times New Roman"/>
          <w:b/>
          <w:bCs/>
          <w:kern w:val="0"/>
          <w:sz w:val="24"/>
          <w:szCs w:val="24"/>
          <w:lang w:eastAsia="en-IN"/>
          <w14:ligatures w14:val="none"/>
        </w:rPr>
        <w:t>USD 987 million in 2024</w:t>
      </w:r>
      <w:r w:rsidRPr="00F44EB4">
        <w:rPr>
          <w:rFonts w:ascii="Times New Roman" w:eastAsia="Times New Roman" w:hAnsi="Times New Roman" w:cs="Times New Roman"/>
          <w:kern w:val="0"/>
          <w:sz w:val="24"/>
          <w:szCs w:val="24"/>
          <w:lang w:eastAsia="en-IN"/>
          <w14:ligatures w14:val="none"/>
        </w:rPr>
        <w:t xml:space="preserve">, according to </w:t>
      </w:r>
      <w:r w:rsidRPr="00F44EB4">
        <w:rPr>
          <w:rFonts w:ascii="Times New Roman" w:eastAsia="Times New Roman" w:hAnsi="Times New Roman" w:cs="Times New Roman"/>
          <w:b/>
          <w:bCs/>
          <w:kern w:val="0"/>
          <w:sz w:val="24"/>
          <w:szCs w:val="24"/>
          <w:lang w:eastAsia="en-IN"/>
          <w14:ligatures w14:val="none"/>
        </w:rPr>
        <w:t>Strategic Market Research</w:t>
      </w:r>
      <w:r w:rsidRPr="00F44EB4">
        <w:rPr>
          <w:rFonts w:ascii="Times New Roman" w:eastAsia="Times New Roman" w:hAnsi="Times New Roman" w:cs="Times New Roman"/>
          <w:kern w:val="0"/>
          <w:sz w:val="24"/>
          <w:szCs w:val="24"/>
          <w:lang w:eastAsia="en-IN"/>
          <w14:ligatures w14:val="none"/>
        </w:rPr>
        <w:t>.</w:t>
      </w:r>
    </w:p>
    <w:p w14:paraId="6ACD6EB6" w14:textId="63E3E873"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This growth reflects how nutrition science, agriculture, and personal care are converging around one shared idea — efficiency through bioavailability.</w:t>
      </w:r>
    </w:p>
    <w:p w14:paraId="661D3D11"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Glycinates, the chelated forms of minerals such as magnesium, zinc, iron, calcium, and copper bound to the amino acid glycine, have become essential across industries aiming to improve nutrient absorption and reduce adverse effects. Unlike traditional salts, glycinates offer high stability, low reactivity, and superior digestive tolerance — qualities that make them valuable in feed formulations, dietary supplements, cosmetics, and pharmaceuticals.</w:t>
      </w:r>
    </w:p>
    <w:p w14:paraId="0ABCA63F"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In animal nutrition, glycinates are helping producers balance productivity with sustainability. With pressure mounting to cut antibiotic use, trace mineral glycinates are proving to be effective alternatives for gut health and immunity support in poultry and swine. In human nutrition, magnesium and zinc glycinates dominate the supplement shelves, appreciated for their better bioavailability and gentler impact on digestion compared to inorganic salts.</w:t>
      </w:r>
    </w:p>
    <w:p w14:paraId="0242760A"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The trend extends beyond nutrition. Cosmetic formulators use mineral glycinates for their soothing and barrier-repairing properties, particularly in skincare targeting sensitive or aging skin. In pharmaceuticals, calcium and iron glycinates are preferred for chronic supplementation where long-term tolerance matters more than dosage strength.</w:t>
      </w:r>
    </w:p>
    <w:p w14:paraId="4AB7051F"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 xml:space="preserve">Macro forces are reinforcing this shift. Consumers are becoming ingredient-literate, manufacturers are under pressure to improve </w:t>
      </w:r>
      <w:proofErr w:type="spellStart"/>
      <w:r w:rsidRPr="00F44EB4">
        <w:rPr>
          <w:rFonts w:ascii="Times New Roman" w:eastAsia="Times New Roman" w:hAnsi="Times New Roman" w:cs="Times New Roman"/>
          <w:kern w:val="0"/>
          <w:sz w:val="24"/>
          <w:szCs w:val="24"/>
          <w:lang w:eastAsia="en-IN"/>
          <w14:ligatures w14:val="none"/>
        </w:rPr>
        <w:t>bioefficacy</w:t>
      </w:r>
      <w:proofErr w:type="spellEnd"/>
      <w:r w:rsidRPr="00F44EB4">
        <w:rPr>
          <w:rFonts w:ascii="Times New Roman" w:eastAsia="Times New Roman" w:hAnsi="Times New Roman" w:cs="Times New Roman"/>
          <w:kern w:val="0"/>
          <w:sz w:val="24"/>
          <w:szCs w:val="24"/>
          <w:lang w:eastAsia="en-IN"/>
          <w14:ligatures w14:val="none"/>
        </w:rPr>
        <w:t xml:space="preserve"> claims, and regulators are nudging industries toward safer, cleaner inputs. That’s why companies are investing in process innovation — moving from standard chelation to controlled synthesis techniques that yield purer, more consistent products.</w:t>
      </w:r>
    </w:p>
    <w:p w14:paraId="6A4C4589"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The competitive map is also changing. Established mineral producers are partnering with amino acid specialists to optimize formulations. Regional feed companies in Asia are scaling up local production to reduce reliance on imports from Europe and North America. Meanwhile, biotech startups are exploring fermentation-based routes to produce glycine and its derivatives more sustainably.</w:t>
      </w:r>
    </w:p>
    <w:p w14:paraId="0B14905C"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From a strategic lens, glycinates are not just chemical compounds — they’re enablers. Whether it’s enhancing nutrient uptake in livestock, supporting human wellness, or fortifying skin formulations, their role is expanding quietly but decisively. By 2030, their adoption could become less about innovation and more about compliance — a default expectation in nutrition and health supply chains.</w:t>
      </w:r>
    </w:p>
    <w:p w14:paraId="6C126148" w14:textId="77777777" w:rsidR="00F44EB4" w:rsidRPr="00F44EB4" w:rsidRDefault="00F44EB4" w:rsidP="00F44EB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44EB4">
        <w:rPr>
          <w:rFonts w:ascii="Times New Roman" w:eastAsia="Times New Roman" w:hAnsi="Times New Roman" w:cs="Times New Roman"/>
          <w:b/>
          <w:bCs/>
          <w:kern w:val="36"/>
          <w:sz w:val="48"/>
          <w:szCs w:val="48"/>
          <w:lang w:eastAsia="en-IN"/>
          <w14:ligatures w14:val="none"/>
        </w:rPr>
        <w:t>2. Market Segmentation and Forecast Scope</w:t>
      </w:r>
    </w:p>
    <w:p w14:paraId="182AF6E1"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lastRenderedPageBreak/>
        <w:t>The glycinates market cuts across multiple industries — nutrition, feed, pharmaceuticals, and personal care — but the underlying theme is consistent: enhancing mineral efficacy through chelation. To understand how demand is evolving, it’s best to look at the market through its major segmentation lenses — product type, application, end user, and geography.</w:t>
      </w:r>
    </w:p>
    <w:p w14:paraId="434DC29F"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b/>
          <w:bCs/>
          <w:kern w:val="0"/>
          <w:sz w:val="24"/>
          <w:szCs w:val="24"/>
          <w:lang w:eastAsia="en-IN"/>
          <w14:ligatures w14:val="none"/>
        </w:rPr>
        <w:t>By Product Type</w:t>
      </w:r>
    </w:p>
    <w:p w14:paraId="19302009"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 xml:space="preserve">The market primarily includes magnesium glycinate, zinc glycinate, calcium glycinate, iron glycinate, copper glycinate, and manganese glycinate. Among these, </w:t>
      </w:r>
      <w:r w:rsidRPr="00F44EB4">
        <w:rPr>
          <w:rFonts w:ascii="Times New Roman" w:eastAsia="Times New Roman" w:hAnsi="Times New Roman" w:cs="Times New Roman"/>
          <w:b/>
          <w:bCs/>
          <w:kern w:val="0"/>
          <w:sz w:val="24"/>
          <w:szCs w:val="24"/>
          <w:lang w:eastAsia="en-IN"/>
          <w14:ligatures w14:val="none"/>
        </w:rPr>
        <w:t>magnesium glycinate</w:t>
      </w:r>
      <w:r w:rsidRPr="00F44EB4">
        <w:rPr>
          <w:rFonts w:ascii="Times New Roman" w:eastAsia="Times New Roman" w:hAnsi="Times New Roman" w:cs="Times New Roman"/>
          <w:kern w:val="0"/>
          <w:sz w:val="24"/>
          <w:szCs w:val="24"/>
          <w:lang w:eastAsia="en-IN"/>
          <w14:ligatures w14:val="none"/>
        </w:rPr>
        <w:t xml:space="preserve"> holds the dominant share in 2024, driven by its expanding use in dietary supplements and therapeutic formulations. It’s widely used for anxiety management, sleep support, and cardiovascular health — and its superior absorption makes it a go-to alternative to oxide or citrate salts.</w:t>
      </w:r>
    </w:p>
    <w:p w14:paraId="6649BDAD"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b/>
          <w:bCs/>
          <w:kern w:val="0"/>
          <w:sz w:val="24"/>
          <w:szCs w:val="24"/>
          <w:lang w:eastAsia="en-IN"/>
          <w14:ligatures w14:val="none"/>
        </w:rPr>
        <w:t>Zinc glycinate</w:t>
      </w:r>
      <w:r w:rsidRPr="00F44EB4">
        <w:rPr>
          <w:rFonts w:ascii="Times New Roman" w:eastAsia="Times New Roman" w:hAnsi="Times New Roman" w:cs="Times New Roman"/>
          <w:kern w:val="0"/>
          <w:sz w:val="24"/>
          <w:szCs w:val="24"/>
          <w:lang w:eastAsia="en-IN"/>
          <w14:ligatures w14:val="none"/>
        </w:rPr>
        <w:t>, on the other hand, is expected to witness the fastest growth through 2030. Zinc’s role in immune modulation, metabolism, and dermatological applications has made it an attractive choice for fortified foods and skincare products. The increasing inclusion of chelated zinc in both human and animal formulations is setting a new performance standard for trace mineral delivery.</w:t>
      </w:r>
    </w:p>
    <w:p w14:paraId="35FE8FD5"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b/>
          <w:bCs/>
          <w:kern w:val="0"/>
          <w:sz w:val="24"/>
          <w:szCs w:val="24"/>
          <w:lang w:eastAsia="en-IN"/>
          <w14:ligatures w14:val="none"/>
        </w:rPr>
        <w:t>By Application</w:t>
      </w:r>
    </w:p>
    <w:p w14:paraId="01E0AD22"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 xml:space="preserve">Applications of glycinates are segmented across animal feed, dietary supplements, pharmaceuticals, and personal care. The </w:t>
      </w:r>
      <w:r w:rsidRPr="00F44EB4">
        <w:rPr>
          <w:rFonts w:ascii="Times New Roman" w:eastAsia="Times New Roman" w:hAnsi="Times New Roman" w:cs="Times New Roman"/>
          <w:b/>
          <w:bCs/>
          <w:kern w:val="0"/>
          <w:sz w:val="24"/>
          <w:szCs w:val="24"/>
          <w:lang w:eastAsia="en-IN"/>
          <w14:ligatures w14:val="none"/>
        </w:rPr>
        <w:t>animal feed</w:t>
      </w:r>
      <w:r w:rsidRPr="00F44EB4">
        <w:rPr>
          <w:rFonts w:ascii="Times New Roman" w:eastAsia="Times New Roman" w:hAnsi="Times New Roman" w:cs="Times New Roman"/>
          <w:kern w:val="0"/>
          <w:sz w:val="24"/>
          <w:szCs w:val="24"/>
          <w:lang w:eastAsia="en-IN"/>
          <w14:ligatures w14:val="none"/>
        </w:rPr>
        <w:t xml:space="preserve"> segment currently leads, accounting for nearly 42% of the global market in 2024. Feed producers use glycinates to boost mineral bioavailability, reduce excretion, and enhance animal growth performance. As regulatory agencies tighten limits on heavy metal residues in animal products, chelated trace minerals are emerging as a compliance-friendly solution.</w:t>
      </w:r>
    </w:p>
    <w:p w14:paraId="235EA128"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 xml:space="preserve">The </w:t>
      </w:r>
      <w:r w:rsidRPr="00F44EB4">
        <w:rPr>
          <w:rFonts w:ascii="Times New Roman" w:eastAsia="Times New Roman" w:hAnsi="Times New Roman" w:cs="Times New Roman"/>
          <w:b/>
          <w:bCs/>
          <w:kern w:val="0"/>
          <w:sz w:val="24"/>
          <w:szCs w:val="24"/>
          <w:lang w:eastAsia="en-IN"/>
          <w14:ligatures w14:val="none"/>
        </w:rPr>
        <w:t>dietary supplements</w:t>
      </w:r>
      <w:r w:rsidRPr="00F44EB4">
        <w:rPr>
          <w:rFonts w:ascii="Times New Roman" w:eastAsia="Times New Roman" w:hAnsi="Times New Roman" w:cs="Times New Roman"/>
          <w:kern w:val="0"/>
          <w:sz w:val="24"/>
          <w:szCs w:val="24"/>
          <w:lang w:eastAsia="en-IN"/>
          <w14:ligatures w14:val="none"/>
        </w:rPr>
        <w:t xml:space="preserve"> segment is not far behind. The shift toward preventive health and functional nutrition is driving supplement formulators to </w:t>
      </w:r>
      <w:proofErr w:type="spellStart"/>
      <w:r w:rsidRPr="00F44EB4">
        <w:rPr>
          <w:rFonts w:ascii="Times New Roman" w:eastAsia="Times New Roman" w:hAnsi="Times New Roman" w:cs="Times New Roman"/>
          <w:kern w:val="0"/>
          <w:sz w:val="24"/>
          <w:szCs w:val="24"/>
          <w:lang w:eastAsia="en-IN"/>
          <w14:ligatures w14:val="none"/>
        </w:rPr>
        <w:t>favor</w:t>
      </w:r>
      <w:proofErr w:type="spellEnd"/>
      <w:r w:rsidRPr="00F44EB4">
        <w:rPr>
          <w:rFonts w:ascii="Times New Roman" w:eastAsia="Times New Roman" w:hAnsi="Times New Roman" w:cs="Times New Roman"/>
          <w:kern w:val="0"/>
          <w:sz w:val="24"/>
          <w:szCs w:val="24"/>
          <w:lang w:eastAsia="en-IN"/>
          <w14:ligatures w14:val="none"/>
        </w:rPr>
        <w:t xml:space="preserve"> gentle, stomach-friendly chelates. </w:t>
      </w:r>
      <w:r w:rsidRPr="00F44EB4">
        <w:rPr>
          <w:rFonts w:ascii="Times New Roman" w:eastAsia="Times New Roman" w:hAnsi="Times New Roman" w:cs="Times New Roman"/>
          <w:i/>
          <w:iCs/>
          <w:kern w:val="0"/>
          <w:sz w:val="24"/>
          <w:szCs w:val="24"/>
          <w:lang w:eastAsia="en-IN"/>
          <w14:ligatures w14:val="none"/>
        </w:rPr>
        <w:t>One industry expert noted that “consumers don’t just want minerals — they want minerals that work without discomfort,”</w:t>
      </w:r>
      <w:r w:rsidRPr="00F44EB4">
        <w:rPr>
          <w:rFonts w:ascii="Times New Roman" w:eastAsia="Times New Roman" w:hAnsi="Times New Roman" w:cs="Times New Roman"/>
          <w:kern w:val="0"/>
          <w:sz w:val="24"/>
          <w:szCs w:val="24"/>
          <w:lang w:eastAsia="en-IN"/>
          <w14:ligatures w14:val="none"/>
        </w:rPr>
        <w:t xml:space="preserve"> highlighting how glycinates fit perfectly into this trend.</w:t>
      </w:r>
    </w:p>
    <w:p w14:paraId="00595108"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b/>
          <w:bCs/>
          <w:kern w:val="0"/>
          <w:sz w:val="24"/>
          <w:szCs w:val="24"/>
          <w:lang w:eastAsia="en-IN"/>
          <w14:ligatures w14:val="none"/>
        </w:rPr>
        <w:t>By End User</w:t>
      </w:r>
    </w:p>
    <w:p w14:paraId="7D864DAF"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 xml:space="preserve">End users vary from feed manufacturers and pharmaceutical companies to cosmetic brands and nutraceutical producers. Feed manufacturers form the largest group of buyers globally, given the scale of livestock and poultry industries in Asia-Pacific and North America. However, </w:t>
      </w:r>
      <w:r w:rsidRPr="00F44EB4">
        <w:rPr>
          <w:rFonts w:ascii="Times New Roman" w:eastAsia="Times New Roman" w:hAnsi="Times New Roman" w:cs="Times New Roman"/>
          <w:b/>
          <w:bCs/>
          <w:kern w:val="0"/>
          <w:sz w:val="24"/>
          <w:szCs w:val="24"/>
          <w:lang w:eastAsia="en-IN"/>
          <w14:ligatures w14:val="none"/>
        </w:rPr>
        <w:t>nutraceutical companies</w:t>
      </w:r>
      <w:r w:rsidRPr="00F44EB4">
        <w:rPr>
          <w:rFonts w:ascii="Times New Roman" w:eastAsia="Times New Roman" w:hAnsi="Times New Roman" w:cs="Times New Roman"/>
          <w:kern w:val="0"/>
          <w:sz w:val="24"/>
          <w:szCs w:val="24"/>
          <w:lang w:eastAsia="en-IN"/>
          <w14:ligatures w14:val="none"/>
        </w:rPr>
        <w:t xml:space="preserve"> represent the fastest-growing end-user category as consumers demand cleaner, science-backed mineral supplementation. The growing penetration of direct-to-consumer supplement brands has further intensified this momentum.</w:t>
      </w:r>
    </w:p>
    <w:p w14:paraId="245F321B"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b/>
          <w:bCs/>
          <w:kern w:val="0"/>
          <w:sz w:val="24"/>
          <w:szCs w:val="24"/>
          <w:lang w:eastAsia="en-IN"/>
          <w14:ligatures w14:val="none"/>
        </w:rPr>
        <w:t>By Region</w:t>
      </w:r>
    </w:p>
    <w:p w14:paraId="7311FD83"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 xml:space="preserve">Geographically, the glycinates market spans North America, Europe, Asia-Pacific, and LAMEA (Latin America, Middle East, and Africa). </w:t>
      </w:r>
      <w:r w:rsidRPr="00F44EB4">
        <w:rPr>
          <w:rFonts w:ascii="Times New Roman" w:eastAsia="Times New Roman" w:hAnsi="Times New Roman" w:cs="Times New Roman"/>
          <w:b/>
          <w:bCs/>
          <w:kern w:val="0"/>
          <w:sz w:val="24"/>
          <w:szCs w:val="24"/>
          <w:lang w:eastAsia="en-IN"/>
          <w14:ligatures w14:val="none"/>
        </w:rPr>
        <w:t>Asia-Pacific</w:t>
      </w:r>
      <w:r w:rsidRPr="00F44EB4">
        <w:rPr>
          <w:rFonts w:ascii="Times New Roman" w:eastAsia="Times New Roman" w:hAnsi="Times New Roman" w:cs="Times New Roman"/>
          <w:kern w:val="0"/>
          <w:sz w:val="24"/>
          <w:szCs w:val="24"/>
          <w:lang w:eastAsia="en-IN"/>
          <w14:ligatures w14:val="none"/>
        </w:rPr>
        <w:t xml:space="preserve"> dominates both in production and consumption, led by China and India, which are rapidly expanding animal feed output and dietary supplement exports. </w:t>
      </w:r>
      <w:r w:rsidRPr="00F44EB4">
        <w:rPr>
          <w:rFonts w:ascii="Times New Roman" w:eastAsia="Times New Roman" w:hAnsi="Times New Roman" w:cs="Times New Roman"/>
          <w:b/>
          <w:bCs/>
          <w:kern w:val="0"/>
          <w:sz w:val="24"/>
          <w:szCs w:val="24"/>
          <w:lang w:eastAsia="en-IN"/>
          <w14:ligatures w14:val="none"/>
        </w:rPr>
        <w:t>Europe</w:t>
      </w:r>
      <w:r w:rsidRPr="00F44EB4">
        <w:rPr>
          <w:rFonts w:ascii="Times New Roman" w:eastAsia="Times New Roman" w:hAnsi="Times New Roman" w:cs="Times New Roman"/>
          <w:kern w:val="0"/>
          <w:sz w:val="24"/>
          <w:szCs w:val="24"/>
          <w:lang w:eastAsia="en-IN"/>
          <w14:ligatures w14:val="none"/>
        </w:rPr>
        <w:t xml:space="preserve"> maintains a strong position due to its </w:t>
      </w:r>
      <w:r w:rsidRPr="00F44EB4">
        <w:rPr>
          <w:rFonts w:ascii="Times New Roman" w:eastAsia="Times New Roman" w:hAnsi="Times New Roman" w:cs="Times New Roman"/>
          <w:kern w:val="0"/>
          <w:sz w:val="24"/>
          <w:szCs w:val="24"/>
          <w:lang w:eastAsia="en-IN"/>
          <w14:ligatures w14:val="none"/>
        </w:rPr>
        <w:lastRenderedPageBreak/>
        <w:t xml:space="preserve">mature nutraceutical sector and strict feed mineral regulations. </w:t>
      </w:r>
      <w:r w:rsidRPr="00F44EB4">
        <w:rPr>
          <w:rFonts w:ascii="Times New Roman" w:eastAsia="Times New Roman" w:hAnsi="Times New Roman" w:cs="Times New Roman"/>
          <w:b/>
          <w:bCs/>
          <w:kern w:val="0"/>
          <w:sz w:val="24"/>
          <w:szCs w:val="24"/>
          <w:lang w:eastAsia="en-IN"/>
          <w14:ligatures w14:val="none"/>
        </w:rPr>
        <w:t>North America</w:t>
      </w:r>
      <w:r w:rsidRPr="00F44EB4">
        <w:rPr>
          <w:rFonts w:ascii="Times New Roman" w:eastAsia="Times New Roman" w:hAnsi="Times New Roman" w:cs="Times New Roman"/>
          <w:kern w:val="0"/>
          <w:sz w:val="24"/>
          <w:szCs w:val="24"/>
          <w:lang w:eastAsia="en-IN"/>
          <w14:ligatures w14:val="none"/>
        </w:rPr>
        <w:t xml:space="preserve">, particularly the U.S., continues to drive innovation through clinical validation and bioavailability research. Meanwhile, </w:t>
      </w:r>
      <w:r w:rsidRPr="00F44EB4">
        <w:rPr>
          <w:rFonts w:ascii="Times New Roman" w:eastAsia="Times New Roman" w:hAnsi="Times New Roman" w:cs="Times New Roman"/>
          <w:b/>
          <w:bCs/>
          <w:kern w:val="0"/>
          <w:sz w:val="24"/>
          <w:szCs w:val="24"/>
          <w:lang w:eastAsia="en-IN"/>
          <w14:ligatures w14:val="none"/>
        </w:rPr>
        <w:t>Latin America</w:t>
      </w:r>
      <w:r w:rsidRPr="00F44EB4">
        <w:rPr>
          <w:rFonts w:ascii="Times New Roman" w:eastAsia="Times New Roman" w:hAnsi="Times New Roman" w:cs="Times New Roman"/>
          <w:kern w:val="0"/>
          <w:sz w:val="24"/>
          <w:szCs w:val="24"/>
          <w:lang w:eastAsia="en-IN"/>
          <w14:ligatures w14:val="none"/>
        </w:rPr>
        <w:t xml:space="preserve"> is emerging as a promising growth region, especially in feed applications for poultry and aquaculture.</w:t>
      </w:r>
    </w:p>
    <w:p w14:paraId="24EDCA14" w14:textId="77777777" w:rsidR="00F44EB4" w:rsidRPr="00F44EB4" w:rsidRDefault="00F44EB4" w:rsidP="00F44EB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44EB4">
        <w:rPr>
          <w:rFonts w:ascii="Times New Roman" w:eastAsia="Times New Roman" w:hAnsi="Times New Roman" w:cs="Times New Roman"/>
          <w:b/>
          <w:bCs/>
          <w:kern w:val="36"/>
          <w:sz w:val="48"/>
          <w:szCs w:val="48"/>
          <w:lang w:eastAsia="en-IN"/>
          <w14:ligatures w14:val="none"/>
        </w:rPr>
        <w:t>3. Market Trends and Innovation Landscape</w:t>
      </w:r>
    </w:p>
    <w:p w14:paraId="516E38A2"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The glycinates market is shifting from being ingredient-focused to becoming technology-driven. What once was a niche segment in mineral supplementation is now a cornerstone of modern nutrition and formulation science. Between 2024 and 2030, innovation in synthesis, sustainability, and formulation delivery will redefine how glycinates are produced and applied across industries.</w:t>
      </w:r>
    </w:p>
    <w:p w14:paraId="0C7F7C41"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b/>
          <w:bCs/>
          <w:kern w:val="0"/>
          <w:sz w:val="24"/>
          <w:szCs w:val="24"/>
          <w:lang w:eastAsia="en-IN"/>
          <w14:ligatures w14:val="none"/>
        </w:rPr>
        <w:t>Cleaner Chelation and Sustainable Manufacturing</w:t>
      </w:r>
    </w:p>
    <w:p w14:paraId="11CE79DF"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 xml:space="preserve">One of the biggest shifts underway is toward greener production processes. Traditional chelation methods often rely on chemical solvents and multiple purification steps. In contrast, newer technologies use </w:t>
      </w:r>
      <w:r w:rsidRPr="00F44EB4">
        <w:rPr>
          <w:rFonts w:ascii="Times New Roman" w:eastAsia="Times New Roman" w:hAnsi="Times New Roman" w:cs="Times New Roman"/>
          <w:b/>
          <w:bCs/>
          <w:kern w:val="0"/>
          <w:sz w:val="24"/>
          <w:szCs w:val="24"/>
          <w:lang w:eastAsia="en-IN"/>
          <w14:ligatures w14:val="none"/>
        </w:rPr>
        <w:t>enzymatic or fermentation-assisted synthesis</w:t>
      </w:r>
      <w:r w:rsidRPr="00F44EB4">
        <w:rPr>
          <w:rFonts w:ascii="Times New Roman" w:eastAsia="Times New Roman" w:hAnsi="Times New Roman" w:cs="Times New Roman"/>
          <w:kern w:val="0"/>
          <w:sz w:val="24"/>
          <w:szCs w:val="24"/>
          <w:lang w:eastAsia="en-IN"/>
          <w14:ligatures w14:val="none"/>
        </w:rPr>
        <w:t xml:space="preserve">, producing purer mineral chelates with fewer impurities and lower environmental impact. Manufacturers in Europe and Japan are leading this trend by setting benchmarks for low-carbon, solvent-free production. </w:t>
      </w:r>
      <w:r w:rsidRPr="00F44EB4">
        <w:rPr>
          <w:rFonts w:ascii="Times New Roman" w:eastAsia="Times New Roman" w:hAnsi="Times New Roman" w:cs="Times New Roman"/>
          <w:i/>
          <w:iCs/>
          <w:kern w:val="0"/>
          <w:sz w:val="24"/>
          <w:szCs w:val="24"/>
          <w:lang w:eastAsia="en-IN"/>
          <w14:ligatures w14:val="none"/>
        </w:rPr>
        <w:t>An R&amp;D head at a European specialty chemical firm recently remarked that the next-generation glycinates “will be measured not just by purity, but by process transparency.”</w:t>
      </w:r>
    </w:p>
    <w:p w14:paraId="39261297"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b/>
          <w:bCs/>
          <w:kern w:val="0"/>
          <w:sz w:val="24"/>
          <w:szCs w:val="24"/>
          <w:lang w:eastAsia="en-IN"/>
          <w14:ligatures w14:val="none"/>
        </w:rPr>
        <w:t>Rise of Bioavailability-Centric Formulations</w:t>
      </w:r>
    </w:p>
    <w:p w14:paraId="04A3F5A3"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 xml:space="preserve">R&amp;D investment is increasingly targeting absorption kinetics. Advanced glycinates are being engineered to release minerals gradually or protect them through digestive transit. Supplement makers are experimenting with </w:t>
      </w:r>
      <w:r w:rsidRPr="00F44EB4">
        <w:rPr>
          <w:rFonts w:ascii="Times New Roman" w:eastAsia="Times New Roman" w:hAnsi="Times New Roman" w:cs="Times New Roman"/>
          <w:b/>
          <w:bCs/>
          <w:kern w:val="0"/>
          <w:sz w:val="24"/>
          <w:szCs w:val="24"/>
          <w:lang w:eastAsia="en-IN"/>
          <w14:ligatures w14:val="none"/>
        </w:rPr>
        <w:t>microencapsulation and liposomal forms</w:t>
      </w:r>
      <w:r w:rsidRPr="00F44EB4">
        <w:rPr>
          <w:rFonts w:ascii="Times New Roman" w:eastAsia="Times New Roman" w:hAnsi="Times New Roman" w:cs="Times New Roman"/>
          <w:kern w:val="0"/>
          <w:sz w:val="24"/>
          <w:szCs w:val="24"/>
          <w:lang w:eastAsia="en-IN"/>
          <w14:ligatures w14:val="none"/>
        </w:rPr>
        <w:t xml:space="preserve"> of magnesium and zinc glycinates to boost bioavailability while improving sensory profiles. This mirrors a broader market move toward clinically validated, function-specific mineral delivery — particularly in nutraceuticals focused on stress relief, cognition, and sports recovery.</w:t>
      </w:r>
    </w:p>
    <w:p w14:paraId="21132C55"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b/>
          <w:bCs/>
          <w:kern w:val="0"/>
          <w:sz w:val="24"/>
          <w:szCs w:val="24"/>
          <w:lang w:eastAsia="en-IN"/>
          <w14:ligatures w14:val="none"/>
        </w:rPr>
        <w:t>Integration with Functional Foods and Beverages</w:t>
      </w:r>
    </w:p>
    <w:p w14:paraId="7798829B"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 xml:space="preserve">Food technologists are also exploring glycinates for fortified beverages, protein powders, and plant-based nutrition products. Unlike many mineral salts, glycinates don’t impart bitterness or grittiness, which makes them compatible with ready-to-drink formulations. The growing popularity of magnesium-enriched hydration drinks and zinc-fortified dairy alternatives reflects this crossover. Companies in the U.S. and South Korea are experimenting with glycinates in </w:t>
      </w:r>
      <w:r w:rsidRPr="00F44EB4">
        <w:rPr>
          <w:rFonts w:ascii="Times New Roman" w:eastAsia="Times New Roman" w:hAnsi="Times New Roman" w:cs="Times New Roman"/>
          <w:i/>
          <w:iCs/>
          <w:kern w:val="0"/>
          <w:sz w:val="24"/>
          <w:szCs w:val="24"/>
          <w:lang w:eastAsia="en-IN"/>
          <w14:ligatures w14:val="none"/>
        </w:rPr>
        <w:t>“daily nutrition plus”</w:t>
      </w:r>
      <w:r w:rsidRPr="00F44EB4">
        <w:rPr>
          <w:rFonts w:ascii="Times New Roman" w:eastAsia="Times New Roman" w:hAnsi="Times New Roman" w:cs="Times New Roman"/>
          <w:kern w:val="0"/>
          <w:sz w:val="24"/>
          <w:szCs w:val="24"/>
          <w:lang w:eastAsia="en-IN"/>
          <w14:ligatures w14:val="none"/>
        </w:rPr>
        <w:t xml:space="preserve"> formats — everyday foods with therapeutic benefits.</w:t>
      </w:r>
    </w:p>
    <w:p w14:paraId="30D76A52"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b/>
          <w:bCs/>
          <w:kern w:val="0"/>
          <w:sz w:val="24"/>
          <w:szCs w:val="24"/>
          <w:lang w:eastAsia="en-IN"/>
          <w14:ligatures w14:val="none"/>
        </w:rPr>
        <w:t>Advanced Animal Nutrition Solutions</w:t>
      </w:r>
    </w:p>
    <w:p w14:paraId="5316A8ED"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 xml:space="preserve">In the feed industry, innovation is moving toward </w:t>
      </w:r>
      <w:r w:rsidRPr="00F44EB4">
        <w:rPr>
          <w:rFonts w:ascii="Times New Roman" w:eastAsia="Times New Roman" w:hAnsi="Times New Roman" w:cs="Times New Roman"/>
          <w:b/>
          <w:bCs/>
          <w:kern w:val="0"/>
          <w:sz w:val="24"/>
          <w:szCs w:val="24"/>
          <w:lang w:eastAsia="en-IN"/>
          <w14:ligatures w14:val="none"/>
        </w:rPr>
        <w:t>precision mineral nutrition</w:t>
      </w:r>
      <w:r w:rsidRPr="00F44EB4">
        <w:rPr>
          <w:rFonts w:ascii="Times New Roman" w:eastAsia="Times New Roman" w:hAnsi="Times New Roman" w:cs="Times New Roman"/>
          <w:kern w:val="0"/>
          <w:sz w:val="24"/>
          <w:szCs w:val="24"/>
          <w:lang w:eastAsia="en-IN"/>
          <w14:ligatures w14:val="none"/>
        </w:rPr>
        <w:t xml:space="preserve">. Glycinates are being integrated into data-driven feeding models where every nutrient interaction is </w:t>
      </w:r>
      <w:r w:rsidRPr="00F44EB4">
        <w:rPr>
          <w:rFonts w:ascii="Times New Roman" w:eastAsia="Times New Roman" w:hAnsi="Times New Roman" w:cs="Times New Roman"/>
          <w:kern w:val="0"/>
          <w:sz w:val="24"/>
          <w:szCs w:val="24"/>
          <w:lang w:eastAsia="en-IN"/>
          <w14:ligatures w14:val="none"/>
        </w:rPr>
        <w:lastRenderedPageBreak/>
        <w:t>tracked digitally. AI-assisted feed optimization software now recommends specific mineral chelates based on species, life stage, and growth rate data. This not only improves feed conversion ratios but also minimizes mineral wastage — a key sustainability metric in large-scale livestock production.</w:t>
      </w:r>
    </w:p>
    <w:p w14:paraId="275B5D79"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b/>
          <w:bCs/>
          <w:kern w:val="0"/>
          <w:sz w:val="24"/>
          <w:szCs w:val="24"/>
          <w:lang w:eastAsia="en-IN"/>
          <w14:ligatures w14:val="none"/>
        </w:rPr>
        <w:t>Smart Chelates for Pharmaceuticals and Cosmetics</w:t>
      </w:r>
    </w:p>
    <w:p w14:paraId="771DA878"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 xml:space="preserve">Pharmaceutical formulators are incorporating glycinates in extended-release tablets and clinical nutrition solutions, particularly for chronic deficiencies. In skincare, </w:t>
      </w:r>
      <w:r w:rsidRPr="00F44EB4">
        <w:rPr>
          <w:rFonts w:ascii="Times New Roman" w:eastAsia="Times New Roman" w:hAnsi="Times New Roman" w:cs="Times New Roman"/>
          <w:b/>
          <w:bCs/>
          <w:kern w:val="0"/>
          <w:sz w:val="24"/>
          <w:szCs w:val="24"/>
          <w:lang w:eastAsia="en-IN"/>
          <w14:ligatures w14:val="none"/>
        </w:rPr>
        <w:t>zinc glycinate and copper glycinate</w:t>
      </w:r>
      <w:r w:rsidRPr="00F44EB4">
        <w:rPr>
          <w:rFonts w:ascii="Times New Roman" w:eastAsia="Times New Roman" w:hAnsi="Times New Roman" w:cs="Times New Roman"/>
          <w:kern w:val="0"/>
          <w:sz w:val="24"/>
          <w:szCs w:val="24"/>
          <w:lang w:eastAsia="en-IN"/>
          <w14:ligatures w14:val="none"/>
        </w:rPr>
        <w:t xml:space="preserve"> are gaining popularity in serums and anti-aging formulations for their anti-inflammatory and collagen-boosting roles. This crossover into dermatological applications is drawing attention from both cosmetic and pharmaceutical R&amp;D teams, blurring category boundaries.</w:t>
      </w:r>
    </w:p>
    <w:p w14:paraId="47D508AB"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b/>
          <w:bCs/>
          <w:kern w:val="0"/>
          <w:sz w:val="24"/>
          <w:szCs w:val="24"/>
          <w:lang w:eastAsia="en-IN"/>
          <w14:ligatures w14:val="none"/>
        </w:rPr>
        <w:t>Strategic Collaborations and Data-Driven R&amp;D</w:t>
      </w:r>
    </w:p>
    <w:p w14:paraId="52BA5260"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 xml:space="preserve">Partnerships are becoming central to the innovation landscape. Mineral suppliers are teaming up with glycine producers, academic institutions, and nutraceutical brands to co-develop targeted chelates. For instance, a joint project in India recently piloted a </w:t>
      </w:r>
      <w:r w:rsidRPr="00F44EB4">
        <w:rPr>
          <w:rFonts w:ascii="Times New Roman" w:eastAsia="Times New Roman" w:hAnsi="Times New Roman" w:cs="Times New Roman"/>
          <w:b/>
          <w:bCs/>
          <w:kern w:val="0"/>
          <w:sz w:val="24"/>
          <w:szCs w:val="24"/>
          <w:lang w:eastAsia="en-IN"/>
          <w14:ligatures w14:val="none"/>
        </w:rPr>
        <w:t>fermentation-based glycine production model</w:t>
      </w:r>
      <w:r w:rsidRPr="00F44EB4">
        <w:rPr>
          <w:rFonts w:ascii="Times New Roman" w:eastAsia="Times New Roman" w:hAnsi="Times New Roman" w:cs="Times New Roman"/>
          <w:kern w:val="0"/>
          <w:sz w:val="24"/>
          <w:szCs w:val="24"/>
          <w:lang w:eastAsia="en-IN"/>
          <w14:ligatures w14:val="none"/>
        </w:rPr>
        <w:t xml:space="preserve"> aimed at improving traceability and reducing import dependency. Similarly, North American nutraceutical brands are working with ingredient analytics firms to establish standardized bioavailability metrics for chelated minerals — something the market has long lacked.</w:t>
      </w:r>
    </w:p>
    <w:p w14:paraId="50F706F0"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 xml:space="preserve">In essence, innovation in the glycinates space is no longer about making a better mineral. It’s about creating smarter systems — where production is cleaner, efficacy is measurable, and sustainability is embedded from source to supplement. </w:t>
      </w:r>
      <w:r w:rsidRPr="00F44EB4">
        <w:rPr>
          <w:rFonts w:ascii="Times New Roman" w:eastAsia="Times New Roman" w:hAnsi="Times New Roman" w:cs="Times New Roman"/>
          <w:i/>
          <w:iCs/>
          <w:kern w:val="0"/>
          <w:sz w:val="24"/>
          <w:szCs w:val="24"/>
          <w:lang w:eastAsia="en-IN"/>
          <w14:ligatures w14:val="none"/>
        </w:rPr>
        <w:t>The result? Glycinates are evolving from background ingredients to active enablers of the next generation of nutritional and therapeutic formulations.</w:t>
      </w:r>
    </w:p>
    <w:p w14:paraId="1B905925" w14:textId="77777777" w:rsidR="00F44EB4" w:rsidRPr="00F44EB4" w:rsidRDefault="00F44EB4" w:rsidP="00F44EB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44EB4">
        <w:rPr>
          <w:rFonts w:ascii="Times New Roman" w:eastAsia="Times New Roman" w:hAnsi="Times New Roman" w:cs="Times New Roman"/>
          <w:b/>
          <w:bCs/>
          <w:kern w:val="36"/>
          <w:sz w:val="48"/>
          <w:szCs w:val="48"/>
          <w:lang w:eastAsia="en-IN"/>
          <w14:ligatures w14:val="none"/>
        </w:rPr>
        <w:t>4. Competitive Intelligence and Benchmarking</w:t>
      </w:r>
    </w:p>
    <w:p w14:paraId="0BB8A095"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Competition in the glycinates market is tightening, but not in the conventional sense of price wars. It’s evolving around technology, purity, and partnerships. The most successful players aren’t just selling mineral chelates — they’re engineering value into every molecule through precision synthesis, traceability, and formulation expertise.</w:t>
      </w:r>
    </w:p>
    <w:p w14:paraId="44F53A30"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 xml:space="preserve">The market currently includes a blend of </w:t>
      </w:r>
      <w:r w:rsidRPr="00F44EB4">
        <w:rPr>
          <w:rFonts w:ascii="Times New Roman" w:eastAsia="Times New Roman" w:hAnsi="Times New Roman" w:cs="Times New Roman"/>
          <w:b/>
          <w:bCs/>
          <w:kern w:val="0"/>
          <w:sz w:val="24"/>
          <w:szCs w:val="24"/>
          <w:lang w:eastAsia="en-IN"/>
          <w14:ligatures w14:val="none"/>
        </w:rPr>
        <w:t>established chemical manufacturers</w:t>
      </w:r>
      <w:r w:rsidRPr="00F44EB4">
        <w:rPr>
          <w:rFonts w:ascii="Times New Roman" w:eastAsia="Times New Roman" w:hAnsi="Times New Roman" w:cs="Times New Roman"/>
          <w:kern w:val="0"/>
          <w:sz w:val="24"/>
          <w:szCs w:val="24"/>
          <w:lang w:eastAsia="en-IN"/>
          <w14:ligatures w14:val="none"/>
        </w:rPr>
        <w:t xml:space="preserve">, </w:t>
      </w:r>
      <w:r w:rsidRPr="00F44EB4">
        <w:rPr>
          <w:rFonts w:ascii="Times New Roman" w:eastAsia="Times New Roman" w:hAnsi="Times New Roman" w:cs="Times New Roman"/>
          <w:b/>
          <w:bCs/>
          <w:kern w:val="0"/>
          <w:sz w:val="24"/>
          <w:szCs w:val="24"/>
          <w:lang w:eastAsia="en-IN"/>
          <w14:ligatures w14:val="none"/>
        </w:rPr>
        <w:t>nutraceutical ingredient specialists</w:t>
      </w:r>
      <w:r w:rsidRPr="00F44EB4">
        <w:rPr>
          <w:rFonts w:ascii="Times New Roman" w:eastAsia="Times New Roman" w:hAnsi="Times New Roman" w:cs="Times New Roman"/>
          <w:kern w:val="0"/>
          <w:sz w:val="24"/>
          <w:szCs w:val="24"/>
          <w:lang w:eastAsia="en-IN"/>
          <w14:ligatures w14:val="none"/>
        </w:rPr>
        <w:t xml:space="preserve">, and </w:t>
      </w:r>
      <w:r w:rsidRPr="00F44EB4">
        <w:rPr>
          <w:rFonts w:ascii="Times New Roman" w:eastAsia="Times New Roman" w:hAnsi="Times New Roman" w:cs="Times New Roman"/>
          <w:b/>
          <w:bCs/>
          <w:kern w:val="0"/>
          <w:sz w:val="24"/>
          <w:szCs w:val="24"/>
          <w:lang w:eastAsia="en-IN"/>
          <w14:ligatures w14:val="none"/>
        </w:rPr>
        <w:t>regional feed additive producers</w:t>
      </w:r>
      <w:r w:rsidRPr="00F44EB4">
        <w:rPr>
          <w:rFonts w:ascii="Times New Roman" w:eastAsia="Times New Roman" w:hAnsi="Times New Roman" w:cs="Times New Roman"/>
          <w:kern w:val="0"/>
          <w:sz w:val="24"/>
          <w:szCs w:val="24"/>
          <w:lang w:eastAsia="en-IN"/>
          <w14:ligatures w14:val="none"/>
        </w:rPr>
        <w:t>. Each segment is carving out its own strategy depending on whether it’s serving animal nutrition, human supplements, or cosmetic applications.</w:t>
      </w:r>
    </w:p>
    <w:p w14:paraId="0EC616E9"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b/>
          <w:bCs/>
          <w:kern w:val="0"/>
          <w:sz w:val="24"/>
          <w:szCs w:val="24"/>
          <w:lang w:eastAsia="en-IN"/>
          <w14:ligatures w14:val="none"/>
        </w:rPr>
        <w:t>BASF SE</w:t>
      </w:r>
      <w:r w:rsidRPr="00F44EB4">
        <w:rPr>
          <w:rFonts w:ascii="Times New Roman" w:eastAsia="Times New Roman" w:hAnsi="Times New Roman" w:cs="Times New Roman"/>
          <w:kern w:val="0"/>
          <w:sz w:val="24"/>
          <w:szCs w:val="24"/>
          <w:lang w:eastAsia="en-IN"/>
          <w14:ligatures w14:val="none"/>
        </w:rPr>
        <w:t xml:space="preserve"> remains a leading force globally. Its edge lies in consistent quality and an extensive supply network across animal nutrition and dietary supplements. BASF’s research pipeline focuses on high-stability mineral complexes and optimized bioavailability in feed formulations. The company’s strong regulatory compliance and sustainable production </w:t>
      </w:r>
      <w:r w:rsidRPr="00F44EB4">
        <w:rPr>
          <w:rFonts w:ascii="Times New Roman" w:eastAsia="Times New Roman" w:hAnsi="Times New Roman" w:cs="Times New Roman"/>
          <w:kern w:val="0"/>
          <w:sz w:val="24"/>
          <w:szCs w:val="24"/>
          <w:lang w:eastAsia="en-IN"/>
          <w14:ligatures w14:val="none"/>
        </w:rPr>
        <w:lastRenderedPageBreak/>
        <w:t>credentials make it a preferred partner for large agribusinesses and supplement formulators in Europe and North America.</w:t>
      </w:r>
    </w:p>
    <w:p w14:paraId="6069A975"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F44EB4">
        <w:rPr>
          <w:rFonts w:ascii="Times New Roman" w:eastAsia="Times New Roman" w:hAnsi="Times New Roman" w:cs="Times New Roman"/>
          <w:b/>
          <w:bCs/>
          <w:kern w:val="0"/>
          <w:sz w:val="24"/>
          <w:szCs w:val="24"/>
          <w:lang w:eastAsia="en-IN"/>
          <w14:ligatures w14:val="none"/>
        </w:rPr>
        <w:t>Balchem</w:t>
      </w:r>
      <w:proofErr w:type="spellEnd"/>
      <w:r w:rsidRPr="00F44EB4">
        <w:rPr>
          <w:rFonts w:ascii="Times New Roman" w:eastAsia="Times New Roman" w:hAnsi="Times New Roman" w:cs="Times New Roman"/>
          <w:b/>
          <w:bCs/>
          <w:kern w:val="0"/>
          <w:sz w:val="24"/>
          <w:szCs w:val="24"/>
          <w:lang w:eastAsia="en-IN"/>
          <w14:ligatures w14:val="none"/>
        </w:rPr>
        <w:t xml:space="preserve"> Corporation</w:t>
      </w:r>
      <w:r w:rsidRPr="00F44EB4">
        <w:rPr>
          <w:rFonts w:ascii="Times New Roman" w:eastAsia="Times New Roman" w:hAnsi="Times New Roman" w:cs="Times New Roman"/>
          <w:kern w:val="0"/>
          <w:sz w:val="24"/>
          <w:szCs w:val="24"/>
          <w:lang w:eastAsia="en-IN"/>
          <w14:ligatures w14:val="none"/>
        </w:rPr>
        <w:t xml:space="preserve"> operates in the same premium bracket but with a more specialized approach. Through its Albion Minerals division, </w:t>
      </w:r>
      <w:proofErr w:type="spellStart"/>
      <w:r w:rsidRPr="00F44EB4">
        <w:rPr>
          <w:rFonts w:ascii="Times New Roman" w:eastAsia="Times New Roman" w:hAnsi="Times New Roman" w:cs="Times New Roman"/>
          <w:kern w:val="0"/>
          <w:sz w:val="24"/>
          <w:szCs w:val="24"/>
          <w:lang w:eastAsia="en-IN"/>
          <w14:ligatures w14:val="none"/>
        </w:rPr>
        <w:t>Balchem</w:t>
      </w:r>
      <w:proofErr w:type="spellEnd"/>
      <w:r w:rsidRPr="00F44EB4">
        <w:rPr>
          <w:rFonts w:ascii="Times New Roman" w:eastAsia="Times New Roman" w:hAnsi="Times New Roman" w:cs="Times New Roman"/>
          <w:kern w:val="0"/>
          <w:sz w:val="24"/>
          <w:szCs w:val="24"/>
          <w:lang w:eastAsia="en-IN"/>
          <w14:ligatures w14:val="none"/>
        </w:rPr>
        <w:t xml:space="preserve"> has built a strong reputation for patented amino acid chelates. Their focus on validated absorption studies and custom mineral blends sets them apart. Many nutraceutical companies source directly from </w:t>
      </w:r>
      <w:proofErr w:type="spellStart"/>
      <w:r w:rsidRPr="00F44EB4">
        <w:rPr>
          <w:rFonts w:ascii="Times New Roman" w:eastAsia="Times New Roman" w:hAnsi="Times New Roman" w:cs="Times New Roman"/>
          <w:kern w:val="0"/>
          <w:sz w:val="24"/>
          <w:szCs w:val="24"/>
          <w:lang w:eastAsia="en-IN"/>
          <w14:ligatures w14:val="none"/>
        </w:rPr>
        <w:t>Balchem</w:t>
      </w:r>
      <w:proofErr w:type="spellEnd"/>
      <w:r w:rsidRPr="00F44EB4">
        <w:rPr>
          <w:rFonts w:ascii="Times New Roman" w:eastAsia="Times New Roman" w:hAnsi="Times New Roman" w:cs="Times New Roman"/>
          <w:kern w:val="0"/>
          <w:sz w:val="24"/>
          <w:szCs w:val="24"/>
          <w:lang w:eastAsia="en-IN"/>
          <w14:ligatures w14:val="none"/>
        </w:rPr>
        <w:t xml:space="preserve"> to ensure consistent performance claims in magnesium and zinc glycinate supplements.</w:t>
      </w:r>
    </w:p>
    <w:p w14:paraId="5096CBEA"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b/>
          <w:bCs/>
          <w:kern w:val="0"/>
          <w:sz w:val="24"/>
          <w:szCs w:val="24"/>
          <w:lang w:eastAsia="en-IN"/>
          <w14:ligatures w14:val="none"/>
        </w:rPr>
        <w:t>Clariant AG</w:t>
      </w:r>
      <w:r w:rsidRPr="00F44EB4">
        <w:rPr>
          <w:rFonts w:ascii="Times New Roman" w:eastAsia="Times New Roman" w:hAnsi="Times New Roman" w:cs="Times New Roman"/>
          <w:kern w:val="0"/>
          <w:sz w:val="24"/>
          <w:szCs w:val="24"/>
          <w:lang w:eastAsia="en-IN"/>
          <w14:ligatures w14:val="none"/>
        </w:rPr>
        <w:t xml:space="preserve"> has emerged as a quiet innovator, especially in trace mineral chemistry. It’s developing eco-efficient chelation processes that reduce solvent use and energy consumption. Its strategy revolves around sustainability-driven differentiation — a growing factor in procurement decisions among European buyers. Clariant’s new product lines also target cosmetics, leveraging glycinates for skin barrier repair and pH balance applications.</w:t>
      </w:r>
    </w:p>
    <w:p w14:paraId="4419A4C0"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b/>
          <w:bCs/>
          <w:kern w:val="0"/>
          <w:sz w:val="24"/>
          <w:szCs w:val="24"/>
          <w:lang w:eastAsia="en-IN"/>
          <w14:ligatures w14:val="none"/>
        </w:rPr>
        <w:t>Solvay S.A.</w:t>
      </w:r>
      <w:r w:rsidRPr="00F44EB4">
        <w:rPr>
          <w:rFonts w:ascii="Times New Roman" w:eastAsia="Times New Roman" w:hAnsi="Times New Roman" w:cs="Times New Roman"/>
          <w:kern w:val="0"/>
          <w:sz w:val="24"/>
          <w:szCs w:val="24"/>
          <w:lang w:eastAsia="en-IN"/>
          <w14:ligatures w14:val="none"/>
        </w:rPr>
        <w:t xml:space="preserve"> plays to its strengths in specialty chemicals. Its glycinates portfolio serves both the pharmaceutical and food industries. The company is integrating process automation into its chelation plants to achieve uniform product consistency. Solvay’s deep material science expertise positions it as a long-term contender in complex formulations like encapsulated minerals and therapeutic blends.</w:t>
      </w:r>
    </w:p>
    <w:p w14:paraId="26D2444D"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b/>
          <w:bCs/>
          <w:kern w:val="0"/>
          <w:sz w:val="24"/>
          <w:szCs w:val="24"/>
          <w:lang w:eastAsia="en-IN"/>
          <w14:ligatures w14:val="none"/>
        </w:rPr>
        <w:t>Yara International ASA</w:t>
      </w:r>
      <w:r w:rsidRPr="00F44EB4">
        <w:rPr>
          <w:rFonts w:ascii="Times New Roman" w:eastAsia="Times New Roman" w:hAnsi="Times New Roman" w:cs="Times New Roman"/>
          <w:kern w:val="0"/>
          <w:sz w:val="24"/>
          <w:szCs w:val="24"/>
          <w:lang w:eastAsia="en-IN"/>
          <w14:ligatures w14:val="none"/>
        </w:rPr>
        <w:t>, known for its agricultural chemistry base, has started diversifying into feed-grade glycinates as part of its sustainable livestock nutrition initiatives. The company’s reach in emerging markets — particularly Latin America and Southeast Asia — provides scale advantages. It’s also leveraging precision-farming technologies to integrate glycinates into holistic nutrient management systems.</w:t>
      </w:r>
    </w:p>
    <w:p w14:paraId="6B92FCAF"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 xml:space="preserve">In Asia, </w:t>
      </w:r>
      <w:r w:rsidRPr="00F44EB4">
        <w:rPr>
          <w:rFonts w:ascii="Times New Roman" w:eastAsia="Times New Roman" w:hAnsi="Times New Roman" w:cs="Times New Roman"/>
          <w:b/>
          <w:bCs/>
          <w:kern w:val="0"/>
          <w:sz w:val="24"/>
          <w:szCs w:val="24"/>
          <w:lang w:eastAsia="en-IN"/>
          <w14:ligatures w14:val="none"/>
        </w:rPr>
        <w:t xml:space="preserve">Shijiazhuang </w:t>
      </w:r>
      <w:proofErr w:type="spellStart"/>
      <w:r w:rsidRPr="00F44EB4">
        <w:rPr>
          <w:rFonts w:ascii="Times New Roman" w:eastAsia="Times New Roman" w:hAnsi="Times New Roman" w:cs="Times New Roman"/>
          <w:b/>
          <w:bCs/>
          <w:kern w:val="0"/>
          <w:sz w:val="24"/>
          <w:szCs w:val="24"/>
          <w:lang w:eastAsia="en-IN"/>
          <w14:ligatures w14:val="none"/>
        </w:rPr>
        <w:t>Donghua</w:t>
      </w:r>
      <w:proofErr w:type="spellEnd"/>
      <w:r w:rsidRPr="00F44EB4">
        <w:rPr>
          <w:rFonts w:ascii="Times New Roman" w:eastAsia="Times New Roman" w:hAnsi="Times New Roman" w:cs="Times New Roman"/>
          <w:b/>
          <w:bCs/>
          <w:kern w:val="0"/>
          <w:sz w:val="24"/>
          <w:szCs w:val="24"/>
          <w:lang w:eastAsia="en-IN"/>
          <w14:ligatures w14:val="none"/>
        </w:rPr>
        <w:t xml:space="preserve"> </w:t>
      </w:r>
      <w:proofErr w:type="spellStart"/>
      <w:r w:rsidRPr="00F44EB4">
        <w:rPr>
          <w:rFonts w:ascii="Times New Roman" w:eastAsia="Times New Roman" w:hAnsi="Times New Roman" w:cs="Times New Roman"/>
          <w:b/>
          <w:bCs/>
          <w:kern w:val="0"/>
          <w:sz w:val="24"/>
          <w:szCs w:val="24"/>
          <w:lang w:eastAsia="en-IN"/>
          <w14:ligatures w14:val="none"/>
        </w:rPr>
        <w:t>Jinlong</w:t>
      </w:r>
      <w:proofErr w:type="spellEnd"/>
      <w:r w:rsidRPr="00F44EB4">
        <w:rPr>
          <w:rFonts w:ascii="Times New Roman" w:eastAsia="Times New Roman" w:hAnsi="Times New Roman" w:cs="Times New Roman"/>
          <w:b/>
          <w:bCs/>
          <w:kern w:val="0"/>
          <w:sz w:val="24"/>
          <w:szCs w:val="24"/>
          <w:lang w:eastAsia="en-IN"/>
          <w14:ligatures w14:val="none"/>
        </w:rPr>
        <w:t xml:space="preserve"> Chemical</w:t>
      </w:r>
      <w:r w:rsidRPr="00F44EB4">
        <w:rPr>
          <w:rFonts w:ascii="Times New Roman" w:eastAsia="Times New Roman" w:hAnsi="Times New Roman" w:cs="Times New Roman"/>
          <w:kern w:val="0"/>
          <w:sz w:val="24"/>
          <w:szCs w:val="24"/>
          <w:lang w:eastAsia="en-IN"/>
          <w14:ligatures w14:val="none"/>
        </w:rPr>
        <w:t xml:space="preserve"> and </w:t>
      </w:r>
      <w:r w:rsidRPr="00F44EB4">
        <w:rPr>
          <w:rFonts w:ascii="Times New Roman" w:eastAsia="Times New Roman" w:hAnsi="Times New Roman" w:cs="Times New Roman"/>
          <w:b/>
          <w:bCs/>
          <w:kern w:val="0"/>
          <w:sz w:val="24"/>
          <w:szCs w:val="24"/>
          <w:lang w:eastAsia="en-IN"/>
          <w14:ligatures w14:val="none"/>
        </w:rPr>
        <w:t>Chaitanya Chemicals</w:t>
      </w:r>
      <w:r w:rsidRPr="00F44EB4">
        <w:rPr>
          <w:rFonts w:ascii="Times New Roman" w:eastAsia="Times New Roman" w:hAnsi="Times New Roman" w:cs="Times New Roman"/>
          <w:kern w:val="0"/>
          <w:sz w:val="24"/>
          <w:szCs w:val="24"/>
          <w:lang w:eastAsia="en-IN"/>
          <w14:ligatures w14:val="none"/>
        </w:rPr>
        <w:t xml:space="preserve"> dominate regional production. Their competitive edge lies in cost-efficient synthesis and supply reliability for feed manufacturers. However, as global buyers demand higher purity and certified sourcing, these companies are investing in R&amp;D to align with international quality benchmarks.</w:t>
      </w:r>
    </w:p>
    <w:p w14:paraId="00F4C70E"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 xml:space="preserve">New entrants are making the space more dynamic. </w:t>
      </w:r>
      <w:r w:rsidRPr="00F44EB4">
        <w:rPr>
          <w:rFonts w:ascii="Times New Roman" w:eastAsia="Times New Roman" w:hAnsi="Times New Roman" w:cs="Times New Roman"/>
          <w:b/>
          <w:bCs/>
          <w:kern w:val="0"/>
          <w:sz w:val="24"/>
          <w:szCs w:val="24"/>
          <w:lang w:eastAsia="en-IN"/>
          <w14:ligatures w14:val="none"/>
        </w:rPr>
        <w:t>Smaller biotech firms in Japan and South Korea</w:t>
      </w:r>
      <w:r w:rsidRPr="00F44EB4">
        <w:rPr>
          <w:rFonts w:ascii="Times New Roman" w:eastAsia="Times New Roman" w:hAnsi="Times New Roman" w:cs="Times New Roman"/>
          <w:kern w:val="0"/>
          <w:sz w:val="24"/>
          <w:szCs w:val="24"/>
          <w:lang w:eastAsia="en-IN"/>
          <w14:ligatures w14:val="none"/>
        </w:rPr>
        <w:t xml:space="preserve"> are piloting glycine fermentation and amino acid recycling methods to improve yield efficiency. Meanwhile, </w:t>
      </w:r>
      <w:r w:rsidRPr="00F44EB4">
        <w:rPr>
          <w:rFonts w:ascii="Times New Roman" w:eastAsia="Times New Roman" w:hAnsi="Times New Roman" w:cs="Times New Roman"/>
          <w:b/>
          <w:bCs/>
          <w:kern w:val="0"/>
          <w:sz w:val="24"/>
          <w:szCs w:val="24"/>
          <w:lang w:eastAsia="en-IN"/>
          <w14:ligatures w14:val="none"/>
        </w:rPr>
        <w:t>U.S.-based ingredient startups</w:t>
      </w:r>
      <w:r w:rsidRPr="00F44EB4">
        <w:rPr>
          <w:rFonts w:ascii="Times New Roman" w:eastAsia="Times New Roman" w:hAnsi="Times New Roman" w:cs="Times New Roman"/>
          <w:kern w:val="0"/>
          <w:sz w:val="24"/>
          <w:szCs w:val="24"/>
          <w:lang w:eastAsia="en-IN"/>
          <w14:ligatures w14:val="none"/>
        </w:rPr>
        <w:t xml:space="preserve"> are creating performance-driven mineral blends that integrate glycinates with plant-based carriers or prebiotic compounds to enhance gut absorption.</w:t>
      </w:r>
    </w:p>
    <w:p w14:paraId="498512C4"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The competitive differentiation can be summarized as follows:</w:t>
      </w:r>
    </w:p>
    <w:p w14:paraId="112DC944" w14:textId="77777777" w:rsidR="00F44EB4" w:rsidRPr="00F44EB4" w:rsidRDefault="00F44EB4" w:rsidP="00F44EB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b/>
          <w:bCs/>
          <w:kern w:val="0"/>
          <w:sz w:val="24"/>
          <w:szCs w:val="24"/>
          <w:lang w:eastAsia="en-IN"/>
          <w14:ligatures w14:val="none"/>
        </w:rPr>
        <w:t>Global leaders</w:t>
      </w:r>
      <w:r w:rsidRPr="00F44EB4">
        <w:rPr>
          <w:rFonts w:ascii="Times New Roman" w:eastAsia="Times New Roman" w:hAnsi="Times New Roman" w:cs="Times New Roman"/>
          <w:kern w:val="0"/>
          <w:sz w:val="24"/>
          <w:szCs w:val="24"/>
          <w:lang w:eastAsia="en-IN"/>
          <w14:ligatures w14:val="none"/>
        </w:rPr>
        <w:t xml:space="preserve"> like BASF and </w:t>
      </w:r>
      <w:proofErr w:type="spellStart"/>
      <w:r w:rsidRPr="00F44EB4">
        <w:rPr>
          <w:rFonts w:ascii="Times New Roman" w:eastAsia="Times New Roman" w:hAnsi="Times New Roman" w:cs="Times New Roman"/>
          <w:kern w:val="0"/>
          <w:sz w:val="24"/>
          <w:szCs w:val="24"/>
          <w:lang w:eastAsia="en-IN"/>
          <w14:ligatures w14:val="none"/>
        </w:rPr>
        <w:t>Balchem</w:t>
      </w:r>
      <w:proofErr w:type="spellEnd"/>
      <w:r w:rsidRPr="00F44EB4">
        <w:rPr>
          <w:rFonts w:ascii="Times New Roman" w:eastAsia="Times New Roman" w:hAnsi="Times New Roman" w:cs="Times New Roman"/>
          <w:kern w:val="0"/>
          <w:sz w:val="24"/>
          <w:szCs w:val="24"/>
          <w:lang w:eastAsia="en-IN"/>
          <w14:ligatures w14:val="none"/>
        </w:rPr>
        <w:t xml:space="preserve"> dominate on validation and brand trust.</w:t>
      </w:r>
    </w:p>
    <w:p w14:paraId="248EEF66" w14:textId="77777777" w:rsidR="00F44EB4" w:rsidRPr="00F44EB4" w:rsidRDefault="00F44EB4" w:rsidP="00F44EB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b/>
          <w:bCs/>
          <w:kern w:val="0"/>
          <w:sz w:val="24"/>
          <w:szCs w:val="24"/>
          <w:lang w:eastAsia="en-IN"/>
          <w14:ligatures w14:val="none"/>
        </w:rPr>
        <w:t>European players</w:t>
      </w:r>
      <w:r w:rsidRPr="00F44EB4">
        <w:rPr>
          <w:rFonts w:ascii="Times New Roman" w:eastAsia="Times New Roman" w:hAnsi="Times New Roman" w:cs="Times New Roman"/>
          <w:kern w:val="0"/>
          <w:sz w:val="24"/>
          <w:szCs w:val="24"/>
          <w:lang w:eastAsia="en-IN"/>
          <w14:ligatures w14:val="none"/>
        </w:rPr>
        <w:t xml:space="preserve"> like Clariant and Solvay compete on process innovation and sustainability.</w:t>
      </w:r>
    </w:p>
    <w:p w14:paraId="1A82F0A7" w14:textId="77777777" w:rsidR="00F44EB4" w:rsidRPr="00F44EB4" w:rsidRDefault="00F44EB4" w:rsidP="00F44EB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b/>
          <w:bCs/>
          <w:kern w:val="0"/>
          <w:sz w:val="24"/>
          <w:szCs w:val="24"/>
          <w:lang w:eastAsia="en-IN"/>
          <w14:ligatures w14:val="none"/>
        </w:rPr>
        <w:t>Asian manufacturers</w:t>
      </w:r>
      <w:r w:rsidRPr="00F44EB4">
        <w:rPr>
          <w:rFonts w:ascii="Times New Roman" w:eastAsia="Times New Roman" w:hAnsi="Times New Roman" w:cs="Times New Roman"/>
          <w:kern w:val="0"/>
          <w:sz w:val="24"/>
          <w:szCs w:val="24"/>
          <w:lang w:eastAsia="en-IN"/>
          <w14:ligatures w14:val="none"/>
        </w:rPr>
        <w:t xml:space="preserve"> lead on volume and affordability, increasingly upgrading their standards.</w:t>
      </w:r>
    </w:p>
    <w:p w14:paraId="3EB390CC" w14:textId="77777777" w:rsidR="00F44EB4" w:rsidRPr="00F44EB4" w:rsidRDefault="00F44EB4" w:rsidP="00F44EB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44EB4">
        <w:rPr>
          <w:rFonts w:ascii="Times New Roman" w:eastAsia="Times New Roman" w:hAnsi="Times New Roman" w:cs="Times New Roman"/>
          <w:b/>
          <w:bCs/>
          <w:kern w:val="36"/>
          <w:sz w:val="48"/>
          <w:szCs w:val="48"/>
          <w:lang w:eastAsia="en-IN"/>
          <w14:ligatures w14:val="none"/>
        </w:rPr>
        <w:lastRenderedPageBreak/>
        <w:t>5. Regional Landscape and Adoption Outlook</w:t>
      </w:r>
    </w:p>
    <w:p w14:paraId="09C6BB94"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The glycinates market has a distinctly regional character — one where regulation, dietary culture, and industrial capability intersect. While the chemistry remains constant, the adoption logic varies dramatically between continents. Each region has its own story, shaped by policy priorities and consumer expectations.</w:t>
      </w:r>
    </w:p>
    <w:p w14:paraId="2816CB99"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b/>
          <w:bCs/>
          <w:kern w:val="0"/>
          <w:sz w:val="24"/>
          <w:szCs w:val="24"/>
          <w:lang w:eastAsia="en-IN"/>
          <w14:ligatures w14:val="none"/>
        </w:rPr>
        <w:t>North America</w:t>
      </w:r>
    </w:p>
    <w:p w14:paraId="0D8D7438"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 xml:space="preserve">North America remains one of the most innovation-driven markets for glycinates, supported by strong nutraceutical demand and early adoption of functional ingredient technologies. The </w:t>
      </w:r>
      <w:r w:rsidRPr="00F44EB4">
        <w:rPr>
          <w:rFonts w:ascii="Times New Roman" w:eastAsia="Times New Roman" w:hAnsi="Times New Roman" w:cs="Times New Roman"/>
          <w:b/>
          <w:bCs/>
          <w:kern w:val="0"/>
          <w:sz w:val="24"/>
          <w:szCs w:val="24"/>
          <w:lang w:eastAsia="en-IN"/>
          <w14:ligatures w14:val="none"/>
        </w:rPr>
        <w:t>United States</w:t>
      </w:r>
      <w:r w:rsidRPr="00F44EB4">
        <w:rPr>
          <w:rFonts w:ascii="Times New Roman" w:eastAsia="Times New Roman" w:hAnsi="Times New Roman" w:cs="Times New Roman"/>
          <w:kern w:val="0"/>
          <w:sz w:val="24"/>
          <w:szCs w:val="24"/>
          <w:lang w:eastAsia="en-IN"/>
          <w14:ligatures w14:val="none"/>
        </w:rPr>
        <w:t xml:space="preserve"> leads with robust supplement consumption, propelled by the rise of magnesium glycinate and zinc glycinate in stress, sleep, and immunity-focused formulations. Major dietary brands have begun reformulating multivitamins with chelated minerals to differentiate premium lines.</w:t>
      </w:r>
    </w:p>
    <w:p w14:paraId="06B02E56"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 xml:space="preserve">In the </w:t>
      </w:r>
      <w:r w:rsidRPr="00F44EB4">
        <w:rPr>
          <w:rFonts w:ascii="Times New Roman" w:eastAsia="Times New Roman" w:hAnsi="Times New Roman" w:cs="Times New Roman"/>
          <w:b/>
          <w:bCs/>
          <w:kern w:val="0"/>
          <w:sz w:val="24"/>
          <w:szCs w:val="24"/>
          <w:lang w:eastAsia="en-IN"/>
          <w14:ligatures w14:val="none"/>
        </w:rPr>
        <w:t>animal feed sector</w:t>
      </w:r>
      <w:r w:rsidRPr="00F44EB4">
        <w:rPr>
          <w:rFonts w:ascii="Times New Roman" w:eastAsia="Times New Roman" w:hAnsi="Times New Roman" w:cs="Times New Roman"/>
          <w:kern w:val="0"/>
          <w:sz w:val="24"/>
          <w:szCs w:val="24"/>
          <w:lang w:eastAsia="en-IN"/>
          <w14:ligatures w14:val="none"/>
        </w:rPr>
        <w:t xml:space="preserve">, U.S. producers are aligning with stricter nutrient utilization and waste reduction regulations. Chelated trace minerals are replacing inorganic forms to minimize heavy metal runoff and improve feed conversion ratios. Canada, meanwhile, is focusing on sustainable mineral sourcing, with glycinates included in its broader move toward low-impact livestock nutrition. </w:t>
      </w:r>
      <w:r w:rsidRPr="00F44EB4">
        <w:rPr>
          <w:rFonts w:ascii="Times New Roman" w:eastAsia="Times New Roman" w:hAnsi="Times New Roman" w:cs="Times New Roman"/>
          <w:i/>
          <w:iCs/>
          <w:kern w:val="0"/>
          <w:sz w:val="24"/>
          <w:szCs w:val="24"/>
          <w:lang w:eastAsia="en-IN"/>
          <w14:ligatures w14:val="none"/>
        </w:rPr>
        <w:t>Analysts expect regulatory incentives for traceable feed additives to reinforce long-term growth.</w:t>
      </w:r>
    </w:p>
    <w:p w14:paraId="2FEE503E"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b/>
          <w:bCs/>
          <w:kern w:val="0"/>
          <w:sz w:val="24"/>
          <w:szCs w:val="24"/>
          <w:lang w:eastAsia="en-IN"/>
          <w14:ligatures w14:val="none"/>
        </w:rPr>
        <w:t>Europe</w:t>
      </w:r>
    </w:p>
    <w:p w14:paraId="64891A6F"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 xml:space="preserve">Europe is characterized by rigorous standards and sustainability-first policies. The </w:t>
      </w:r>
      <w:r w:rsidRPr="00F44EB4">
        <w:rPr>
          <w:rFonts w:ascii="Times New Roman" w:eastAsia="Times New Roman" w:hAnsi="Times New Roman" w:cs="Times New Roman"/>
          <w:b/>
          <w:bCs/>
          <w:kern w:val="0"/>
          <w:sz w:val="24"/>
          <w:szCs w:val="24"/>
          <w:lang w:eastAsia="en-IN"/>
          <w14:ligatures w14:val="none"/>
        </w:rPr>
        <w:t>European Food Safety Authority (EFSA)</w:t>
      </w:r>
      <w:r w:rsidRPr="00F44EB4">
        <w:rPr>
          <w:rFonts w:ascii="Times New Roman" w:eastAsia="Times New Roman" w:hAnsi="Times New Roman" w:cs="Times New Roman"/>
          <w:kern w:val="0"/>
          <w:sz w:val="24"/>
          <w:szCs w:val="24"/>
          <w:lang w:eastAsia="en-IN"/>
          <w14:ligatures w14:val="none"/>
        </w:rPr>
        <w:t xml:space="preserve"> has set clear specifications for amino acid chelates, which </w:t>
      </w:r>
      <w:proofErr w:type="spellStart"/>
      <w:r w:rsidRPr="00F44EB4">
        <w:rPr>
          <w:rFonts w:ascii="Times New Roman" w:eastAsia="Times New Roman" w:hAnsi="Times New Roman" w:cs="Times New Roman"/>
          <w:kern w:val="0"/>
          <w:sz w:val="24"/>
          <w:szCs w:val="24"/>
          <w:lang w:eastAsia="en-IN"/>
          <w14:ligatures w14:val="none"/>
        </w:rPr>
        <w:t>favor</w:t>
      </w:r>
      <w:proofErr w:type="spellEnd"/>
      <w:r w:rsidRPr="00F44EB4">
        <w:rPr>
          <w:rFonts w:ascii="Times New Roman" w:eastAsia="Times New Roman" w:hAnsi="Times New Roman" w:cs="Times New Roman"/>
          <w:kern w:val="0"/>
          <w:sz w:val="24"/>
          <w:szCs w:val="24"/>
          <w:lang w:eastAsia="en-IN"/>
          <w14:ligatures w14:val="none"/>
        </w:rPr>
        <w:t xml:space="preserve"> high-purity glycinates with proven digestibility. As a result, European formulators prioritize validated, eco-friendly mineral sources — a niche that companies like BASF and Clariant dominate.</w:t>
      </w:r>
    </w:p>
    <w:p w14:paraId="7AC81233"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 xml:space="preserve">Western Europe, particularly </w:t>
      </w:r>
      <w:r w:rsidRPr="00F44EB4">
        <w:rPr>
          <w:rFonts w:ascii="Times New Roman" w:eastAsia="Times New Roman" w:hAnsi="Times New Roman" w:cs="Times New Roman"/>
          <w:b/>
          <w:bCs/>
          <w:kern w:val="0"/>
          <w:sz w:val="24"/>
          <w:szCs w:val="24"/>
          <w:lang w:eastAsia="en-IN"/>
          <w14:ligatures w14:val="none"/>
        </w:rPr>
        <w:t>Germany, France, and the Netherlands</w:t>
      </w:r>
      <w:r w:rsidRPr="00F44EB4">
        <w:rPr>
          <w:rFonts w:ascii="Times New Roman" w:eastAsia="Times New Roman" w:hAnsi="Times New Roman" w:cs="Times New Roman"/>
          <w:kern w:val="0"/>
          <w:sz w:val="24"/>
          <w:szCs w:val="24"/>
          <w:lang w:eastAsia="en-IN"/>
          <w14:ligatures w14:val="none"/>
        </w:rPr>
        <w:t>, represents the core of industrial production and R&amp;D activity. Feed producers in this region view glycinates as essential to maintaining compliance with environmental and animal welfare directives. On the consumer side, European nutraceutical brands are pushing toward "bioavailable wellness" — a marketing angle anchored in clinical proof.</w:t>
      </w:r>
    </w:p>
    <w:p w14:paraId="686F34B9"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 xml:space="preserve">Eastern Europe is still an emerging market for glycinates. Countries like </w:t>
      </w:r>
      <w:r w:rsidRPr="00F44EB4">
        <w:rPr>
          <w:rFonts w:ascii="Times New Roman" w:eastAsia="Times New Roman" w:hAnsi="Times New Roman" w:cs="Times New Roman"/>
          <w:b/>
          <w:bCs/>
          <w:kern w:val="0"/>
          <w:sz w:val="24"/>
          <w:szCs w:val="24"/>
          <w:lang w:eastAsia="en-IN"/>
          <w14:ligatures w14:val="none"/>
        </w:rPr>
        <w:t>Poland and Hungary</w:t>
      </w:r>
      <w:r w:rsidRPr="00F44EB4">
        <w:rPr>
          <w:rFonts w:ascii="Times New Roman" w:eastAsia="Times New Roman" w:hAnsi="Times New Roman" w:cs="Times New Roman"/>
          <w:kern w:val="0"/>
          <w:sz w:val="24"/>
          <w:szCs w:val="24"/>
          <w:lang w:eastAsia="en-IN"/>
          <w14:ligatures w14:val="none"/>
        </w:rPr>
        <w:t xml:space="preserve"> are upgrading feed infrastructure and aligning with EU mineral regulations, gradually increasing import reliance on Western suppliers.</w:t>
      </w:r>
    </w:p>
    <w:p w14:paraId="0D468356"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b/>
          <w:bCs/>
          <w:kern w:val="0"/>
          <w:sz w:val="24"/>
          <w:szCs w:val="24"/>
          <w:lang w:eastAsia="en-IN"/>
          <w14:ligatures w14:val="none"/>
        </w:rPr>
        <w:t>Asia-Pacific</w:t>
      </w:r>
    </w:p>
    <w:p w14:paraId="652943D2"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 xml:space="preserve">The </w:t>
      </w:r>
      <w:r w:rsidRPr="00F44EB4">
        <w:rPr>
          <w:rFonts w:ascii="Times New Roman" w:eastAsia="Times New Roman" w:hAnsi="Times New Roman" w:cs="Times New Roman"/>
          <w:b/>
          <w:bCs/>
          <w:kern w:val="0"/>
          <w:sz w:val="24"/>
          <w:szCs w:val="24"/>
          <w:lang w:eastAsia="en-IN"/>
          <w14:ligatures w14:val="none"/>
        </w:rPr>
        <w:t>Asia-Pacific</w:t>
      </w:r>
      <w:r w:rsidRPr="00F44EB4">
        <w:rPr>
          <w:rFonts w:ascii="Times New Roman" w:eastAsia="Times New Roman" w:hAnsi="Times New Roman" w:cs="Times New Roman"/>
          <w:kern w:val="0"/>
          <w:sz w:val="24"/>
          <w:szCs w:val="24"/>
          <w:lang w:eastAsia="en-IN"/>
          <w14:ligatures w14:val="none"/>
        </w:rPr>
        <w:t xml:space="preserve"> region is the true growth engine. Rising disposable income, large-scale livestock operations, and booming supplement exports are converging to create high-volume opportunities. </w:t>
      </w:r>
      <w:r w:rsidRPr="00F44EB4">
        <w:rPr>
          <w:rFonts w:ascii="Times New Roman" w:eastAsia="Times New Roman" w:hAnsi="Times New Roman" w:cs="Times New Roman"/>
          <w:b/>
          <w:bCs/>
          <w:kern w:val="0"/>
          <w:sz w:val="24"/>
          <w:szCs w:val="24"/>
          <w:lang w:eastAsia="en-IN"/>
          <w14:ligatures w14:val="none"/>
        </w:rPr>
        <w:t>China</w:t>
      </w:r>
      <w:r w:rsidRPr="00F44EB4">
        <w:rPr>
          <w:rFonts w:ascii="Times New Roman" w:eastAsia="Times New Roman" w:hAnsi="Times New Roman" w:cs="Times New Roman"/>
          <w:kern w:val="0"/>
          <w:sz w:val="24"/>
          <w:szCs w:val="24"/>
          <w:lang w:eastAsia="en-IN"/>
          <w14:ligatures w14:val="none"/>
        </w:rPr>
        <w:t xml:space="preserve"> remains both a major producer and consumer. Local manufacturers produce feed-grade glycinates at scale, supplying not just domestic farms but also export </w:t>
      </w:r>
      <w:r w:rsidRPr="00F44EB4">
        <w:rPr>
          <w:rFonts w:ascii="Times New Roman" w:eastAsia="Times New Roman" w:hAnsi="Times New Roman" w:cs="Times New Roman"/>
          <w:kern w:val="0"/>
          <w:sz w:val="24"/>
          <w:szCs w:val="24"/>
          <w:lang w:eastAsia="en-IN"/>
          <w14:ligatures w14:val="none"/>
        </w:rPr>
        <w:lastRenderedPageBreak/>
        <w:t>markets in Southeast Asia and Africa. The Chinese market’s next phase, however, is expected to move toward pharmaceutical and food-grade purity levels as health-conscious consumers shift to premium products.</w:t>
      </w:r>
    </w:p>
    <w:p w14:paraId="7B1BB75C"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b/>
          <w:bCs/>
          <w:kern w:val="0"/>
          <w:sz w:val="24"/>
          <w:szCs w:val="24"/>
          <w:lang w:eastAsia="en-IN"/>
          <w14:ligatures w14:val="none"/>
        </w:rPr>
        <w:t>India</w:t>
      </w:r>
      <w:r w:rsidRPr="00F44EB4">
        <w:rPr>
          <w:rFonts w:ascii="Times New Roman" w:eastAsia="Times New Roman" w:hAnsi="Times New Roman" w:cs="Times New Roman"/>
          <w:kern w:val="0"/>
          <w:sz w:val="24"/>
          <w:szCs w:val="24"/>
          <w:lang w:eastAsia="en-IN"/>
          <w14:ligatures w14:val="none"/>
        </w:rPr>
        <w:t xml:space="preserve"> is another focal point. The country’s dual demand — animal feed and nutraceuticals — has attracted joint ventures between local chemical producers and international ingredient suppliers. Meanwhile, </w:t>
      </w:r>
      <w:r w:rsidRPr="00F44EB4">
        <w:rPr>
          <w:rFonts w:ascii="Times New Roman" w:eastAsia="Times New Roman" w:hAnsi="Times New Roman" w:cs="Times New Roman"/>
          <w:b/>
          <w:bCs/>
          <w:kern w:val="0"/>
          <w:sz w:val="24"/>
          <w:szCs w:val="24"/>
          <w:lang w:eastAsia="en-IN"/>
          <w14:ligatures w14:val="none"/>
        </w:rPr>
        <w:t>Japan and South Korea</w:t>
      </w:r>
      <w:r w:rsidRPr="00F44EB4">
        <w:rPr>
          <w:rFonts w:ascii="Times New Roman" w:eastAsia="Times New Roman" w:hAnsi="Times New Roman" w:cs="Times New Roman"/>
          <w:kern w:val="0"/>
          <w:sz w:val="24"/>
          <w:szCs w:val="24"/>
          <w:lang w:eastAsia="en-IN"/>
          <w14:ligatures w14:val="none"/>
        </w:rPr>
        <w:t xml:space="preserve"> are pushing the frontiers of innovation, exploring bio-fermented glycinates for higher purity and reduced waste. </w:t>
      </w:r>
      <w:r w:rsidRPr="00F44EB4">
        <w:rPr>
          <w:rFonts w:ascii="Times New Roman" w:eastAsia="Times New Roman" w:hAnsi="Times New Roman" w:cs="Times New Roman"/>
          <w:i/>
          <w:iCs/>
          <w:kern w:val="0"/>
          <w:sz w:val="24"/>
          <w:szCs w:val="24"/>
          <w:lang w:eastAsia="en-IN"/>
          <w14:ligatures w14:val="none"/>
        </w:rPr>
        <w:t>Experts in Tokyo describe this phase as “nutrient optimization meeting biotech precision.”</w:t>
      </w:r>
    </w:p>
    <w:p w14:paraId="71565016"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b/>
          <w:bCs/>
          <w:kern w:val="0"/>
          <w:sz w:val="24"/>
          <w:szCs w:val="24"/>
          <w:lang w:eastAsia="en-IN"/>
          <w14:ligatures w14:val="none"/>
        </w:rPr>
        <w:t>Latin America, Middle East, and Africa (LAMEA)</w:t>
      </w:r>
    </w:p>
    <w:p w14:paraId="174B4C03"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 xml:space="preserve">In Latin America, </w:t>
      </w:r>
      <w:r w:rsidRPr="00F44EB4">
        <w:rPr>
          <w:rFonts w:ascii="Times New Roman" w:eastAsia="Times New Roman" w:hAnsi="Times New Roman" w:cs="Times New Roman"/>
          <w:b/>
          <w:bCs/>
          <w:kern w:val="0"/>
          <w:sz w:val="24"/>
          <w:szCs w:val="24"/>
          <w:lang w:eastAsia="en-IN"/>
          <w14:ligatures w14:val="none"/>
        </w:rPr>
        <w:t>Brazil and Mexico</w:t>
      </w:r>
      <w:r w:rsidRPr="00F44EB4">
        <w:rPr>
          <w:rFonts w:ascii="Times New Roman" w:eastAsia="Times New Roman" w:hAnsi="Times New Roman" w:cs="Times New Roman"/>
          <w:kern w:val="0"/>
          <w:sz w:val="24"/>
          <w:szCs w:val="24"/>
          <w:lang w:eastAsia="en-IN"/>
          <w14:ligatures w14:val="none"/>
        </w:rPr>
        <w:t xml:space="preserve"> are leading adoption through large poultry and swine industries. Feed manufacturers in both countries are integrating glycinates to improve nutrient efficiency amid high corn and soy costs. Government-led programs encouraging sustainable livestock production are accelerating uptake.</w:t>
      </w:r>
    </w:p>
    <w:p w14:paraId="3EAFD7D8"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 xml:space="preserve">In the </w:t>
      </w:r>
      <w:r w:rsidRPr="00F44EB4">
        <w:rPr>
          <w:rFonts w:ascii="Times New Roman" w:eastAsia="Times New Roman" w:hAnsi="Times New Roman" w:cs="Times New Roman"/>
          <w:b/>
          <w:bCs/>
          <w:kern w:val="0"/>
          <w:sz w:val="24"/>
          <w:szCs w:val="24"/>
          <w:lang w:eastAsia="en-IN"/>
          <w14:ligatures w14:val="none"/>
        </w:rPr>
        <w:t>Middle East</w:t>
      </w:r>
      <w:r w:rsidRPr="00F44EB4">
        <w:rPr>
          <w:rFonts w:ascii="Times New Roman" w:eastAsia="Times New Roman" w:hAnsi="Times New Roman" w:cs="Times New Roman"/>
          <w:kern w:val="0"/>
          <w:sz w:val="24"/>
          <w:szCs w:val="24"/>
          <w:lang w:eastAsia="en-IN"/>
          <w14:ligatures w14:val="none"/>
        </w:rPr>
        <w:t xml:space="preserve">, nations like Saudi Arabia and the UAE are increasingly importing chelated minerals for feed and human supplement applications. The focus is on food security and self-sufficiency, where mineral efficiency plays a crucial role. </w:t>
      </w:r>
      <w:r w:rsidRPr="00F44EB4">
        <w:rPr>
          <w:rFonts w:ascii="Times New Roman" w:eastAsia="Times New Roman" w:hAnsi="Times New Roman" w:cs="Times New Roman"/>
          <w:b/>
          <w:bCs/>
          <w:kern w:val="0"/>
          <w:sz w:val="24"/>
          <w:szCs w:val="24"/>
          <w:lang w:eastAsia="en-IN"/>
          <w14:ligatures w14:val="none"/>
        </w:rPr>
        <w:t>Africa</w:t>
      </w:r>
      <w:r w:rsidRPr="00F44EB4">
        <w:rPr>
          <w:rFonts w:ascii="Times New Roman" w:eastAsia="Times New Roman" w:hAnsi="Times New Roman" w:cs="Times New Roman"/>
          <w:kern w:val="0"/>
          <w:sz w:val="24"/>
          <w:szCs w:val="24"/>
          <w:lang w:eastAsia="en-IN"/>
          <w14:ligatures w14:val="none"/>
        </w:rPr>
        <w:t xml:space="preserve">, however, remains in an early stage of adoption. Limited access to specialized ingredients and weak regulatory frameworks </w:t>
      </w:r>
      <w:proofErr w:type="gramStart"/>
      <w:r w:rsidRPr="00F44EB4">
        <w:rPr>
          <w:rFonts w:ascii="Times New Roman" w:eastAsia="Times New Roman" w:hAnsi="Times New Roman" w:cs="Times New Roman"/>
          <w:kern w:val="0"/>
          <w:sz w:val="24"/>
          <w:szCs w:val="24"/>
          <w:lang w:eastAsia="en-IN"/>
          <w14:ligatures w14:val="none"/>
        </w:rPr>
        <w:t>slow</w:t>
      </w:r>
      <w:proofErr w:type="gramEnd"/>
      <w:r w:rsidRPr="00F44EB4">
        <w:rPr>
          <w:rFonts w:ascii="Times New Roman" w:eastAsia="Times New Roman" w:hAnsi="Times New Roman" w:cs="Times New Roman"/>
          <w:kern w:val="0"/>
          <w:sz w:val="24"/>
          <w:szCs w:val="24"/>
          <w:lang w:eastAsia="en-IN"/>
          <w14:ligatures w14:val="none"/>
        </w:rPr>
        <w:t xml:space="preserve"> down market expansion, though pilot projects in Kenya and South Africa show growing interest from regional feed cooperatives.</w:t>
      </w:r>
    </w:p>
    <w:p w14:paraId="7AF8619E"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b/>
          <w:bCs/>
          <w:kern w:val="0"/>
          <w:sz w:val="24"/>
          <w:szCs w:val="24"/>
          <w:lang w:eastAsia="en-IN"/>
          <w14:ligatures w14:val="none"/>
        </w:rPr>
        <w:t>Regional Outlook Summary</w:t>
      </w:r>
    </w:p>
    <w:p w14:paraId="25C5D6AC" w14:textId="77777777" w:rsidR="00F44EB4" w:rsidRPr="00F44EB4" w:rsidRDefault="00F44EB4" w:rsidP="00F44EB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b/>
          <w:bCs/>
          <w:kern w:val="0"/>
          <w:sz w:val="24"/>
          <w:szCs w:val="24"/>
          <w:lang w:eastAsia="en-IN"/>
          <w14:ligatures w14:val="none"/>
        </w:rPr>
        <w:t>North America and Europe</w:t>
      </w:r>
      <w:r w:rsidRPr="00F44EB4">
        <w:rPr>
          <w:rFonts w:ascii="Times New Roman" w:eastAsia="Times New Roman" w:hAnsi="Times New Roman" w:cs="Times New Roman"/>
          <w:kern w:val="0"/>
          <w:sz w:val="24"/>
          <w:szCs w:val="24"/>
          <w:lang w:eastAsia="en-IN"/>
          <w14:ligatures w14:val="none"/>
        </w:rPr>
        <w:t xml:space="preserve"> set quality and regulatory benchmarks.</w:t>
      </w:r>
    </w:p>
    <w:p w14:paraId="31C94A18" w14:textId="77777777" w:rsidR="00F44EB4" w:rsidRPr="00F44EB4" w:rsidRDefault="00F44EB4" w:rsidP="00F44EB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b/>
          <w:bCs/>
          <w:kern w:val="0"/>
          <w:sz w:val="24"/>
          <w:szCs w:val="24"/>
          <w:lang w:eastAsia="en-IN"/>
          <w14:ligatures w14:val="none"/>
        </w:rPr>
        <w:t>Asia-Pacific</w:t>
      </w:r>
      <w:r w:rsidRPr="00F44EB4">
        <w:rPr>
          <w:rFonts w:ascii="Times New Roman" w:eastAsia="Times New Roman" w:hAnsi="Times New Roman" w:cs="Times New Roman"/>
          <w:kern w:val="0"/>
          <w:sz w:val="24"/>
          <w:szCs w:val="24"/>
          <w:lang w:eastAsia="en-IN"/>
          <w14:ligatures w14:val="none"/>
        </w:rPr>
        <w:t xml:space="preserve"> drives volume, innovation, and diversification of applications.</w:t>
      </w:r>
    </w:p>
    <w:p w14:paraId="122C4ABF" w14:textId="77777777" w:rsidR="00F44EB4" w:rsidRPr="00F44EB4" w:rsidRDefault="00F44EB4" w:rsidP="00F44EB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b/>
          <w:bCs/>
          <w:kern w:val="0"/>
          <w:sz w:val="24"/>
          <w:szCs w:val="24"/>
          <w:lang w:eastAsia="en-IN"/>
          <w14:ligatures w14:val="none"/>
        </w:rPr>
        <w:t>LAMEA</w:t>
      </w:r>
      <w:r w:rsidRPr="00F44EB4">
        <w:rPr>
          <w:rFonts w:ascii="Times New Roman" w:eastAsia="Times New Roman" w:hAnsi="Times New Roman" w:cs="Times New Roman"/>
          <w:kern w:val="0"/>
          <w:sz w:val="24"/>
          <w:szCs w:val="24"/>
          <w:lang w:eastAsia="en-IN"/>
          <w14:ligatures w14:val="none"/>
        </w:rPr>
        <w:t xml:space="preserve"> represents the next growth frontier, particularly in feed and agriculture.</w:t>
      </w:r>
    </w:p>
    <w:p w14:paraId="5D8825FA" w14:textId="77777777" w:rsidR="00F44EB4" w:rsidRPr="00F44EB4" w:rsidRDefault="00F44EB4" w:rsidP="00F44EB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44EB4">
        <w:rPr>
          <w:rFonts w:ascii="Times New Roman" w:eastAsia="Times New Roman" w:hAnsi="Times New Roman" w:cs="Times New Roman"/>
          <w:b/>
          <w:bCs/>
          <w:kern w:val="36"/>
          <w:sz w:val="48"/>
          <w:szCs w:val="48"/>
          <w:lang w:eastAsia="en-IN"/>
          <w14:ligatures w14:val="none"/>
        </w:rPr>
        <w:t>6. End-User Dynamics and Use Case</w:t>
      </w:r>
    </w:p>
    <w:p w14:paraId="4B25C15C"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The glycinates market operates at the intersection of science and practicality — where end users aren’t just buyers, but collaborators shaping how these compounds evolve. Each user group has distinct expectations around performance, stability, and cost efficiency, which makes understanding these dynamics critical to grasping how the market is expanding between 2024 and 2030.</w:t>
      </w:r>
    </w:p>
    <w:p w14:paraId="0277C296"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b/>
          <w:bCs/>
          <w:kern w:val="0"/>
          <w:sz w:val="24"/>
          <w:szCs w:val="24"/>
          <w:lang w:eastAsia="en-IN"/>
          <w14:ligatures w14:val="none"/>
        </w:rPr>
        <w:t>Animal Feed Manufacturers</w:t>
      </w:r>
    </w:p>
    <w:p w14:paraId="4770B801"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 xml:space="preserve">This is the largest and most established end-user category. Feed producers rely on glycinates to enhance trace mineral absorption and reduce environmental waste from undigested minerals. As feed regulations tighten across the U.S., EU, and parts of Asia, glycinates are transitioning from optional additives to essential components. For instance, poultry and swine producers are increasingly replacing </w:t>
      </w:r>
      <w:proofErr w:type="spellStart"/>
      <w:r w:rsidRPr="00F44EB4">
        <w:rPr>
          <w:rFonts w:ascii="Times New Roman" w:eastAsia="Times New Roman" w:hAnsi="Times New Roman" w:cs="Times New Roman"/>
          <w:kern w:val="0"/>
          <w:sz w:val="24"/>
          <w:szCs w:val="24"/>
          <w:lang w:eastAsia="en-IN"/>
          <w14:ligatures w14:val="none"/>
        </w:rPr>
        <w:t>sulfate</w:t>
      </w:r>
      <w:proofErr w:type="spellEnd"/>
      <w:r w:rsidRPr="00F44EB4">
        <w:rPr>
          <w:rFonts w:ascii="Times New Roman" w:eastAsia="Times New Roman" w:hAnsi="Times New Roman" w:cs="Times New Roman"/>
          <w:kern w:val="0"/>
          <w:sz w:val="24"/>
          <w:szCs w:val="24"/>
          <w:lang w:eastAsia="en-IN"/>
          <w14:ligatures w14:val="none"/>
        </w:rPr>
        <w:t xml:space="preserve"> and oxide salts with zinc, copper, and manganese glycinates to improve gut health, growth rates, and reproductive performance.</w:t>
      </w:r>
    </w:p>
    <w:p w14:paraId="4A4FCB18"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 xml:space="preserve">These producers also care about </w:t>
      </w:r>
      <w:r w:rsidRPr="00F44EB4">
        <w:rPr>
          <w:rFonts w:ascii="Times New Roman" w:eastAsia="Times New Roman" w:hAnsi="Times New Roman" w:cs="Times New Roman"/>
          <w:b/>
          <w:bCs/>
          <w:kern w:val="0"/>
          <w:sz w:val="24"/>
          <w:szCs w:val="24"/>
          <w:lang w:eastAsia="en-IN"/>
          <w14:ligatures w14:val="none"/>
        </w:rPr>
        <w:t>cost-per-nutrient utilization</w:t>
      </w:r>
      <w:r w:rsidRPr="00F44EB4">
        <w:rPr>
          <w:rFonts w:ascii="Times New Roman" w:eastAsia="Times New Roman" w:hAnsi="Times New Roman" w:cs="Times New Roman"/>
          <w:kern w:val="0"/>
          <w:sz w:val="24"/>
          <w:szCs w:val="24"/>
          <w:lang w:eastAsia="en-IN"/>
          <w14:ligatures w14:val="none"/>
        </w:rPr>
        <w:t xml:space="preserve"> — not just price per kilogram. Since glycinates improve mineral uptake efficiency, they often offset higher upfront costs </w:t>
      </w:r>
      <w:r w:rsidRPr="00F44EB4">
        <w:rPr>
          <w:rFonts w:ascii="Times New Roman" w:eastAsia="Times New Roman" w:hAnsi="Times New Roman" w:cs="Times New Roman"/>
          <w:kern w:val="0"/>
          <w:sz w:val="24"/>
          <w:szCs w:val="24"/>
          <w:lang w:eastAsia="en-IN"/>
          <w14:ligatures w14:val="none"/>
        </w:rPr>
        <w:lastRenderedPageBreak/>
        <w:t xml:space="preserve">through better feed conversion and animal welfare outcomes. </w:t>
      </w:r>
      <w:r w:rsidRPr="00F44EB4">
        <w:rPr>
          <w:rFonts w:ascii="Times New Roman" w:eastAsia="Times New Roman" w:hAnsi="Times New Roman" w:cs="Times New Roman"/>
          <w:i/>
          <w:iCs/>
          <w:kern w:val="0"/>
          <w:sz w:val="24"/>
          <w:szCs w:val="24"/>
          <w:lang w:eastAsia="en-IN"/>
          <w14:ligatures w14:val="none"/>
        </w:rPr>
        <w:t>One feed formulator described glycinates as “paying for themselves twice — once in growth, and again in compliance.”</w:t>
      </w:r>
    </w:p>
    <w:p w14:paraId="722F2232"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b/>
          <w:bCs/>
          <w:kern w:val="0"/>
          <w:sz w:val="24"/>
          <w:szCs w:val="24"/>
          <w:lang w:eastAsia="en-IN"/>
          <w14:ligatures w14:val="none"/>
        </w:rPr>
        <w:t>Nutraceutical and Dietary Supplement Companies</w:t>
      </w:r>
    </w:p>
    <w:p w14:paraId="153FC723"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 xml:space="preserve">This group represents the fastest-growing user segment. Nutraceutical firms, especially those targeting stress management, immune support, and sleep health, are driving demand for magnesium, zinc, and calcium glycinates. What sets them apart is their focus on </w:t>
      </w:r>
      <w:r w:rsidRPr="00F44EB4">
        <w:rPr>
          <w:rFonts w:ascii="Times New Roman" w:eastAsia="Times New Roman" w:hAnsi="Times New Roman" w:cs="Times New Roman"/>
          <w:b/>
          <w:bCs/>
          <w:kern w:val="0"/>
          <w:sz w:val="24"/>
          <w:szCs w:val="24"/>
          <w:lang w:eastAsia="en-IN"/>
          <w14:ligatures w14:val="none"/>
        </w:rPr>
        <w:t>consumer experience</w:t>
      </w:r>
      <w:r w:rsidRPr="00F44EB4">
        <w:rPr>
          <w:rFonts w:ascii="Times New Roman" w:eastAsia="Times New Roman" w:hAnsi="Times New Roman" w:cs="Times New Roman"/>
          <w:kern w:val="0"/>
          <w:sz w:val="24"/>
          <w:szCs w:val="24"/>
          <w:lang w:eastAsia="en-IN"/>
          <w14:ligatures w14:val="none"/>
        </w:rPr>
        <w:t xml:space="preserve"> — reduced gastrointestinal discomfort and improved absorption.</w:t>
      </w:r>
    </w:p>
    <w:p w14:paraId="4AC73DA4"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 xml:space="preserve">Emerging supplement brands are marketing “gentle minerals” as premium offerings, combining glycinates with herbal adaptogens or probiotics. The push toward clean-label formulations also </w:t>
      </w:r>
      <w:proofErr w:type="gramStart"/>
      <w:r w:rsidRPr="00F44EB4">
        <w:rPr>
          <w:rFonts w:ascii="Times New Roman" w:eastAsia="Times New Roman" w:hAnsi="Times New Roman" w:cs="Times New Roman"/>
          <w:kern w:val="0"/>
          <w:sz w:val="24"/>
          <w:szCs w:val="24"/>
          <w:lang w:eastAsia="en-IN"/>
          <w14:ligatures w14:val="none"/>
        </w:rPr>
        <w:t>plays</w:t>
      </w:r>
      <w:proofErr w:type="gramEnd"/>
      <w:r w:rsidRPr="00F44EB4">
        <w:rPr>
          <w:rFonts w:ascii="Times New Roman" w:eastAsia="Times New Roman" w:hAnsi="Times New Roman" w:cs="Times New Roman"/>
          <w:kern w:val="0"/>
          <w:sz w:val="24"/>
          <w:szCs w:val="24"/>
          <w:lang w:eastAsia="en-IN"/>
          <w14:ligatures w14:val="none"/>
        </w:rPr>
        <w:t xml:space="preserve"> in </w:t>
      </w:r>
      <w:proofErr w:type="spellStart"/>
      <w:r w:rsidRPr="00F44EB4">
        <w:rPr>
          <w:rFonts w:ascii="Times New Roman" w:eastAsia="Times New Roman" w:hAnsi="Times New Roman" w:cs="Times New Roman"/>
          <w:kern w:val="0"/>
          <w:sz w:val="24"/>
          <w:szCs w:val="24"/>
          <w:lang w:eastAsia="en-IN"/>
          <w14:ligatures w14:val="none"/>
        </w:rPr>
        <w:t>favor</w:t>
      </w:r>
      <w:proofErr w:type="spellEnd"/>
      <w:r w:rsidRPr="00F44EB4">
        <w:rPr>
          <w:rFonts w:ascii="Times New Roman" w:eastAsia="Times New Roman" w:hAnsi="Times New Roman" w:cs="Times New Roman"/>
          <w:kern w:val="0"/>
          <w:sz w:val="24"/>
          <w:szCs w:val="24"/>
          <w:lang w:eastAsia="en-IN"/>
          <w14:ligatures w14:val="none"/>
        </w:rPr>
        <w:t xml:space="preserve"> of glycinates since they require fewer stabilizers and artificial binders. Additionally, clinical studies supporting the bioavailability of </w:t>
      </w:r>
      <w:proofErr w:type="spellStart"/>
      <w:r w:rsidRPr="00F44EB4">
        <w:rPr>
          <w:rFonts w:ascii="Times New Roman" w:eastAsia="Times New Roman" w:hAnsi="Times New Roman" w:cs="Times New Roman"/>
          <w:kern w:val="0"/>
          <w:sz w:val="24"/>
          <w:szCs w:val="24"/>
          <w:lang w:eastAsia="en-IN"/>
          <w14:ligatures w14:val="none"/>
        </w:rPr>
        <w:t>glycinated</w:t>
      </w:r>
      <w:proofErr w:type="spellEnd"/>
      <w:r w:rsidRPr="00F44EB4">
        <w:rPr>
          <w:rFonts w:ascii="Times New Roman" w:eastAsia="Times New Roman" w:hAnsi="Times New Roman" w:cs="Times New Roman"/>
          <w:kern w:val="0"/>
          <w:sz w:val="24"/>
          <w:szCs w:val="24"/>
          <w:lang w:eastAsia="en-IN"/>
          <w14:ligatures w14:val="none"/>
        </w:rPr>
        <w:t xml:space="preserve"> minerals are helping these companies secure stronger marketing claims in both offline and e-commerce channels.</w:t>
      </w:r>
    </w:p>
    <w:p w14:paraId="589491B2"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b/>
          <w:bCs/>
          <w:kern w:val="0"/>
          <w:sz w:val="24"/>
          <w:szCs w:val="24"/>
          <w:lang w:eastAsia="en-IN"/>
          <w14:ligatures w14:val="none"/>
        </w:rPr>
        <w:t>Pharmaceutical Manufacturers</w:t>
      </w:r>
    </w:p>
    <w:p w14:paraId="56A640B0"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 xml:space="preserve">In the pharmaceutical space, glycinates are gaining ground in chronic supplementation and therapeutic nutrition. </w:t>
      </w:r>
      <w:r w:rsidRPr="00F44EB4">
        <w:rPr>
          <w:rFonts w:ascii="Times New Roman" w:eastAsia="Times New Roman" w:hAnsi="Times New Roman" w:cs="Times New Roman"/>
          <w:b/>
          <w:bCs/>
          <w:kern w:val="0"/>
          <w:sz w:val="24"/>
          <w:szCs w:val="24"/>
          <w:lang w:eastAsia="en-IN"/>
          <w14:ligatures w14:val="none"/>
        </w:rPr>
        <w:t>Iron and calcium glycinates</w:t>
      </w:r>
      <w:r w:rsidRPr="00F44EB4">
        <w:rPr>
          <w:rFonts w:ascii="Times New Roman" w:eastAsia="Times New Roman" w:hAnsi="Times New Roman" w:cs="Times New Roman"/>
          <w:kern w:val="0"/>
          <w:sz w:val="24"/>
          <w:szCs w:val="24"/>
          <w:lang w:eastAsia="en-IN"/>
          <w14:ligatures w14:val="none"/>
        </w:rPr>
        <w:t xml:space="preserve"> are increasingly used in prenatal supplements, geriatric care, and </w:t>
      </w:r>
      <w:proofErr w:type="spellStart"/>
      <w:r w:rsidRPr="00F44EB4">
        <w:rPr>
          <w:rFonts w:ascii="Times New Roman" w:eastAsia="Times New Roman" w:hAnsi="Times New Roman" w:cs="Times New Roman"/>
          <w:kern w:val="0"/>
          <w:sz w:val="24"/>
          <w:szCs w:val="24"/>
          <w:lang w:eastAsia="en-IN"/>
          <w14:ligatures w14:val="none"/>
        </w:rPr>
        <w:t>anemia</w:t>
      </w:r>
      <w:proofErr w:type="spellEnd"/>
      <w:r w:rsidRPr="00F44EB4">
        <w:rPr>
          <w:rFonts w:ascii="Times New Roman" w:eastAsia="Times New Roman" w:hAnsi="Times New Roman" w:cs="Times New Roman"/>
          <w:kern w:val="0"/>
          <w:sz w:val="24"/>
          <w:szCs w:val="24"/>
          <w:lang w:eastAsia="en-IN"/>
          <w14:ligatures w14:val="none"/>
        </w:rPr>
        <w:t xml:space="preserve"> management due to their tolerance and stability. Hospitals and compounding pharmacies are beginning to prefer these forms for long-term dosing where adherence and digestibility are key.</w:t>
      </w:r>
    </w:p>
    <w:p w14:paraId="430C96C6"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 xml:space="preserve">Pharmaceutical adoption is slower compared to nutraceuticals, but once integrated, it tends to be sticky — because clinical data and formulation consistency matter more than cost. Partnerships between chemical suppliers and drug manufacturers are also expanding, focusing on </w:t>
      </w:r>
      <w:r w:rsidRPr="00F44EB4">
        <w:rPr>
          <w:rFonts w:ascii="Times New Roman" w:eastAsia="Times New Roman" w:hAnsi="Times New Roman" w:cs="Times New Roman"/>
          <w:b/>
          <w:bCs/>
          <w:kern w:val="0"/>
          <w:sz w:val="24"/>
          <w:szCs w:val="24"/>
          <w:lang w:eastAsia="en-IN"/>
          <w14:ligatures w14:val="none"/>
        </w:rPr>
        <w:t>co-developing pharmacopeia-grade chelates</w:t>
      </w:r>
      <w:r w:rsidRPr="00F44EB4">
        <w:rPr>
          <w:rFonts w:ascii="Times New Roman" w:eastAsia="Times New Roman" w:hAnsi="Times New Roman" w:cs="Times New Roman"/>
          <w:kern w:val="0"/>
          <w:sz w:val="24"/>
          <w:szCs w:val="24"/>
          <w:lang w:eastAsia="en-IN"/>
          <w14:ligatures w14:val="none"/>
        </w:rPr>
        <w:t xml:space="preserve"> with traceable production chains.</w:t>
      </w:r>
    </w:p>
    <w:p w14:paraId="550106EA"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b/>
          <w:bCs/>
          <w:kern w:val="0"/>
          <w:sz w:val="24"/>
          <w:szCs w:val="24"/>
          <w:lang w:eastAsia="en-IN"/>
          <w14:ligatures w14:val="none"/>
        </w:rPr>
        <w:t>Cosmetic and Personal Care Brands</w:t>
      </w:r>
    </w:p>
    <w:p w14:paraId="237328CF"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A smaller but rapidly emerging segment comes from the skincare and cosmetic industry. Zinc, copper, and magnesium glycinates are finding new applications in dermal formulations due to their anti-inflammatory, healing, and anti-aging properties. Clean beauty brands are promoting glycinates as “bioactive minerals” that work synergistically with peptides and antioxidants to support skin barrier function. This segment, while niche, represents high-margin potential due to premium positioning.</w:t>
      </w:r>
    </w:p>
    <w:p w14:paraId="13F152F6"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b/>
          <w:bCs/>
          <w:kern w:val="0"/>
          <w:sz w:val="24"/>
          <w:szCs w:val="24"/>
          <w:lang w:eastAsia="en-IN"/>
          <w14:ligatures w14:val="none"/>
        </w:rPr>
        <w:t>Use Case Highlight</w:t>
      </w:r>
    </w:p>
    <w:p w14:paraId="2C085EF7"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 xml:space="preserve">A practical example comes from </w:t>
      </w:r>
      <w:r w:rsidRPr="00F44EB4">
        <w:rPr>
          <w:rFonts w:ascii="Times New Roman" w:eastAsia="Times New Roman" w:hAnsi="Times New Roman" w:cs="Times New Roman"/>
          <w:b/>
          <w:bCs/>
          <w:kern w:val="0"/>
          <w:sz w:val="24"/>
          <w:szCs w:val="24"/>
          <w:lang w:eastAsia="en-IN"/>
          <w14:ligatures w14:val="none"/>
        </w:rPr>
        <w:t>a poultry feed cooperative in Thailand</w:t>
      </w:r>
      <w:r w:rsidRPr="00F44EB4">
        <w:rPr>
          <w:rFonts w:ascii="Times New Roman" w:eastAsia="Times New Roman" w:hAnsi="Times New Roman" w:cs="Times New Roman"/>
          <w:kern w:val="0"/>
          <w:sz w:val="24"/>
          <w:szCs w:val="24"/>
          <w:lang w:eastAsia="en-IN"/>
          <w14:ligatures w14:val="none"/>
        </w:rPr>
        <w:t>, which faced rising mortality rates in broiler chickens linked to poor mineral absorption and gut inflammation. In 2023, the cooperative replaced inorganic trace minerals with a balanced blend of zinc and copper glycinates. Over six months, flock mortality fell by 18%, while feed conversion ratios improved by 6%. Waste mineral output dropped sharply, helping the cooperative meet new local environmental standards. The switch didn’t just improve productivity — it reduced regulatory risk and improved brand reputation among exporters.</w:t>
      </w:r>
    </w:p>
    <w:p w14:paraId="582FFB07"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lastRenderedPageBreak/>
        <w:t>This scenario captures the larger market logic: end users aren’t buying glycinates for novelty. They’re buying them for measurable outcomes — efficiency, tolerance, and compliance.</w:t>
      </w:r>
    </w:p>
    <w:p w14:paraId="06266F94" w14:textId="0F7147A8" w:rsidR="00F44EB4" w:rsidRPr="00F44EB4" w:rsidRDefault="00F44EB4" w:rsidP="00F44EB4">
      <w:pPr>
        <w:spacing w:before="100" w:beforeAutospacing="1" w:after="100" w:afterAutospacing="1" w:line="240" w:lineRule="auto"/>
        <w:rPr>
          <w:rFonts w:ascii="Times New Roman" w:eastAsia="Times New Roman" w:hAnsi="Times New Roman" w:cs="Times New Roman"/>
          <w:b/>
          <w:bCs/>
          <w:kern w:val="0"/>
          <w:sz w:val="15"/>
          <w:szCs w:val="15"/>
          <w:lang w:eastAsia="en-IN"/>
          <w14:ligatures w14:val="none"/>
        </w:rPr>
      </w:pPr>
      <w:r w:rsidRPr="00F44EB4">
        <w:rPr>
          <w:rFonts w:ascii="Times New Roman" w:eastAsia="Times New Roman" w:hAnsi="Times New Roman" w:cs="Times New Roman"/>
          <w:kern w:val="0"/>
          <w:sz w:val="24"/>
          <w:szCs w:val="24"/>
          <w:lang w:eastAsia="en-IN"/>
          <w14:ligatures w14:val="none"/>
        </w:rPr>
        <w:t xml:space="preserve">Across all segments, the takeaway is clear. Whether the end user is a feed mill or a supplement brand, success depends on trust — in purity, in consistency, and in science. </w:t>
      </w:r>
    </w:p>
    <w:p w14:paraId="0B9343AE" w14:textId="77777777" w:rsidR="00F44EB4" w:rsidRPr="00F44EB4" w:rsidRDefault="00F44EB4" w:rsidP="00F44EB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44EB4">
        <w:rPr>
          <w:rFonts w:ascii="Times New Roman" w:eastAsia="Times New Roman" w:hAnsi="Times New Roman" w:cs="Times New Roman"/>
          <w:b/>
          <w:bCs/>
          <w:kern w:val="36"/>
          <w:sz w:val="48"/>
          <w:szCs w:val="48"/>
          <w:lang w:eastAsia="en-IN"/>
          <w14:ligatures w14:val="none"/>
        </w:rPr>
        <w:t>7. Recent Developments + Opportunities &amp; Restraints</w:t>
      </w:r>
    </w:p>
    <w:p w14:paraId="2B98258E"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b/>
          <w:bCs/>
          <w:kern w:val="0"/>
          <w:sz w:val="24"/>
          <w:szCs w:val="24"/>
          <w:lang w:eastAsia="en-IN"/>
          <w14:ligatures w14:val="none"/>
        </w:rPr>
        <w:t>Recent Developments (Last 2 Years)</w:t>
      </w:r>
    </w:p>
    <w:p w14:paraId="06E58D09" w14:textId="77777777" w:rsidR="00F44EB4" w:rsidRPr="00F44EB4" w:rsidRDefault="00F44EB4" w:rsidP="00F44EB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F44EB4">
        <w:rPr>
          <w:rFonts w:ascii="Times New Roman" w:eastAsia="Times New Roman" w:hAnsi="Times New Roman" w:cs="Times New Roman"/>
          <w:b/>
          <w:bCs/>
          <w:kern w:val="0"/>
          <w:sz w:val="24"/>
          <w:szCs w:val="24"/>
          <w:lang w:eastAsia="en-IN"/>
          <w14:ligatures w14:val="none"/>
        </w:rPr>
        <w:t>Balchem</w:t>
      </w:r>
      <w:proofErr w:type="spellEnd"/>
      <w:r w:rsidRPr="00F44EB4">
        <w:rPr>
          <w:rFonts w:ascii="Times New Roman" w:eastAsia="Times New Roman" w:hAnsi="Times New Roman" w:cs="Times New Roman"/>
          <w:b/>
          <w:bCs/>
          <w:kern w:val="0"/>
          <w:sz w:val="24"/>
          <w:szCs w:val="24"/>
          <w:lang w:eastAsia="en-IN"/>
          <w14:ligatures w14:val="none"/>
        </w:rPr>
        <w:t xml:space="preserve"> Corporation</w:t>
      </w:r>
      <w:r w:rsidRPr="00F44EB4">
        <w:rPr>
          <w:rFonts w:ascii="Times New Roman" w:eastAsia="Times New Roman" w:hAnsi="Times New Roman" w:cs="Times New Roman"/>
          <w:kern w:val="0"/>
          <w:sz w:val="24"/>
          <w:szCs w:val="24"/>
          <w:lang w:eastAsia="en-IN"/>
          <w14:ligatures w14:val="none"/>
        </w:rPr>
        <w:t xml:space="preserve"> expanded its </w:t>
      </w:r>
      <w:r w:rsidRPr="00F44EB4">
        <w:rPr>
          <w:rFonts w:ascii="Times New Roman" w:eastAsia="Times New Roman" w:hAnsi="Times New Roman" w:cs="Times New Roman"/>
          <w:i/>
          <w:iCs/>
          <w:kern w:val="0"/>
          <w:sz w:val="24"/>
          <w:szCs w:val="24"/>
          <w:lang w:eastAsia="en-IN"/>
          <w14:ligatures w14:val="none"/>
        </w:rPr>
        <w:t>Albion Minerals</w:t>
      </w:r>
      <w:r w:rsidRPr="00F44EB4">
        <w:rPr>
          <w:rFonts w:ascii="Times New Roman" w:eastAsia="Times New Roman" w:hAnsi="Times New Roman" w:cs="Times New Roman"/>
          <w:kern w:val="0"/>
          <w:sz w:val="24"/>
          <w:szCs w:val="24"/>
          <w:lang w:eastAsia="en-IN"/>
          <w14:ligatures w14:val="none"/>
        </w:rPr>
        <w:t xml:space="preserve"> division in mid-2024, launching a new line of high-purity zinc and magnesium glycinates targeted for clean-label nutraceuticals. The products are manufactured using solvent-free chelation technology to meet stricter EU purity regulations.</w:t>
      </w:r>
    </w:p>
    <w:p w14:paraId="2F603A95" w14:textId="77777777" w:rsidR="00F44EB4" w:rsidRPr="00F44EB4" w:rsidRDefault="00F44EB4" w:rsidP="00F44EB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b/>
          <w:bCs/>
          <w:kern w:val="0"/>
          <w:sz w:val="24"/>
          <w:szCs w:val="24"/>
          <w:lang w:eastAsia="en-IN"/>
          <w14:ligatures w14:val="none"/>
        </w:rPr>
        <w:t>BASF SE</w:t>
      </w:r>
      <w:r w:rsidRPr="00F44EB4">
        <w:rPr>
          <w:rFonts w:ascii="Times New Roman" w:eastAsia="Times New Roman" w:hAnsi="Times New Roman" w:cs="Times New Roman"/>
          <w:kern w:val="0"/>
          <w:sz w:val="24"/>
          <w:szCs w:val="24"/>
          <w:lang w:eastAsia="en-IN"/>
          <w14:ligatures w14:val="none"/>
        </w:rPr>
        <w:t xml:space="preserve"> announced a strategic partnership with a U.S.-based biotech firm in 2024 to co-develop fermentation-assisted glycine chelates for animal nutrition, aiming to reduce carbon footprint by up to 30% in mineral feed additives.</w:t>
      </w:r>
    </w:p>
    <w:p w14:paraId="19B43555" w14:textId="77777777" w:rsidR="00F44EB4" w:rsidRPr="00F44EB4" w:rsidRDefault="00F44EB4" w:rsidP="00F44EB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b/>
          <w:bCs/>
          <w:kern w:val="0"/>
          <w:sz w:val="24"/>
          <w:szCs w:val="24"/>
          <w:lang w:eastAsia="en-IN"/>
          <w14:ligatures w14:val="none"/>
        </w:rPr>
        <w:t>Clariant AG</w:t>
      </w:r>
      <w:r w:rsidRPr="00F44EB4">
        <w:rPr>
          <w:rFonts w:ascii="Times New Roman" w:eastAsia="Times New Roman" w:hAnsi="Times New Roman" w:cs="Times New Roman"/>
          <w:kern w:val="0"/>
          <w:sz w:val="24"/>
          <w:szCs w:val="24"/>
          <w:lang w:eastAsia="en-IN"/>
          <w14:ligatures w14:val="none"/>
        </w:rPr>
        <w:t xml:space="preserve"> introduced its </w:t>
      </w:r>
      <w:proofErr w:type="spellStart"/>
      <w:r w:rsidRPr="00F44EB4">
        <w:rPr>
          <w:rFonts w:ascii="Times New Roman" w:eastAsia="Times New Roman" w:hAnsi="Times New Roman" w:cs="Times New Roman"/>
          <w:i/>
          <w:iCs/>
          <w:kern w:val="0"/>
          <w:sz w:val="24"/>
          <w:szCs w:val="24"/>
          <w:lang w:eastAsia="en-IN"/>
          <w14:ligatures w14:val="none"/>
        </w:rPr>
        <w:t>EcoGlycinate</w:t>
      </w:r>
      <w:proofErr w:type="spellEnd"/>
      <w:r w:rsidRPr="00F44EB4">
        <w:rPr>
          <w:rFonts w:ascii="Times New Roman" w:eastAsia="Times New Roman" w:hAnsi="Times New Roman" w:cs="Times New Roman"/>
          <w:i/>
          <w:iCs/>
          <w:kern w:val="0"/>
          <w:sz w:val="24"/>
          <w:szCs w:val="24"/>
          <w:lang w:eastAsia="en-IN"/>
          <w14:ligatures w14:val="none"/>
        </w:rPr>
        <w:t xml:space="preserve"> Series</w:t>
      </w:r>
      <w:r w:rsidRPr="00F44EB4">
        <w:rPr>
          <w:rFonts w:ascii="Times New Roman" w:eastAsia="Times New Roman" w:hAnsi="Times New Roman" w:cs="Times New Roman"/>
          <w:kern w:val="0"/>
          <w:sz w:val="24"/>
          <w:szCs w:val="24"/>
          <w:lang w:eastAsia="en-IN"/>
          <w14:ligatures w14:val="none"/>
        </w:rPr>
        <w:t xml:space="preserve"> in 2023, designed for personal care formulations with improved solubility and enhanced dermal compatibility. This launch marks Clariant’s entry into the cosmetic-grade glycinate segment.</w:t>
      </w:r>
    </w:p>
    <w:p w14:paraId="316EB122" w14:textId="77777777" w:rsidR="00F44EB4" w:rsidRPr="00F44EB4" w:rsidRDefault="00F44EB4" w:rsidP="00F44EB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b/>
          <w:bCs/>
          <w:kern w:val="0"/>
          <w:sz w:val="24"/>
          <w:szCs w:val="24"/>
          <w:lang w:eastAsia="en-IN"/>
          <w14:ligatures w14:val="none"/>
        </w:rPr>
        <w:t>Solvay S.A.</w:t>
      </w:r>
      <w:r w:rsidRPr="00F44EB4">
        <w:rPr>
          <w:rFonts w:ascii="Times New Roman" w:eastAsia="Times New Roman" w:hAnsi="Times New Roman" w:cs="Times New Roman"/>
          <w:kern w:val="0"/>
          <w:sz w:val="24"/>
          <w:szCs w:val="24"/>
          <w:lang w:eastAsia="en-IN"/>
          <w14:ligatures w14:val="none"/>
        </w:rPr>
        <w:t xml:space="preserve"> modernized one of its European chelation plants in late 2023, integrating advanced process automation and waste recovery systems to achieve higher consistency in calcium and iron glycinate output.</w:t>
      </w:r>
    </w:p>
    <w:p w14:paraId="7E8E221D" w14:textId="77777777" w:rsidR="00F44EB4" w:rsidRPr="00F44EB4" w:rsidRDefault="00F44EB4" w:rsidP="00F44EB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b/>
          <w:bCs/>
          <w:kern w:val="0"/>
          <w:sz w:val="24"/>
          <w:szCs w:val="24"/>
          <w:lang w:eastAsia="en-IN"/>
          <w14:ligatures w14:val="none"/>
        </w:rPr>
        <w:t xml:space="preserve">Shijiazhuang </w:t>
      </w:r>
      <w:proofErr w:type="spellStart"/>
      <w:r w:rsidRPr="00F44EB4">
        <w:rPr>
          <w:rFonts w:ascii="Times New Roman" w:eastAsia="Times New Roman" w:hAnsi="Times New Roman" w:cs="Times New Roman"/>
          <w:b/>
          <w:bCs/>
          <w:kern w:val="0"/>
          <w:sz w:val="24"/>
          <w:szCs w:val="24"/>
          <w:lang w:eastAsia="en-IN"/>
          <w14:ligatures w14:val="none"/>
        </w:rPr>
        <w:t>Donghua</w:t>
      </w:r>
      <w:proofErr w:type="spellEnd"/>
      <w:r w:rsidRPr="00F44EB4">
        <w:rPr>
          <w:rFonts w:ascii="Times New Roman" w:eastAsia="Times New Roman" w:hAnsi="Times New Roman" w:cs="Times New Roman"/>
          <w:b/>
          <w:bCs/>
          <w:kern w:val="0"/>
          <w:sz w:val="24"/>
          <w:szCs w:val="24"/>
          <w:lang w:eastAsia="en-IN"/>
          <w14:ligatures w14:val="none"/>
        </w:rPr>
        <w:t xml:space="preserve"> </w:t>
      </w:r>
      <w:proofErr w:type="spellStart"/>
      <w:r w:rsidRPr="00F44EB4">
        <w:rPr>
          <w:rFonts w:ascii="Times New Roman" w:eastAsia="Times New Roman" w:hAnsi="Times New Roman" w:cs="Times New Roman"/>
          <w:b/>
          <w:bCs/>
          <w:kern w:val="0"/>
          <w:sz w:val="24"/>
          <w:szCs w:val="24"/>
          <w:lang w:eastAsia="en-IN"/>
          <w14:ligatures w14:val="none"/>
        </w:rPr>
        <w:t>Jinlong</w:t>
      </w:r>
      <w:proofErr w:type="spellEnd"/>
      <w:r w:rsidRPr="00F44EB4">
        <w:rPr>
          <w:rFonts w:ascii="Times New Roman" w:eastAsia="Times New Roman" w:hAnsi="Times New Roman" w:cs="Times New Roman"/>
          <w:b/>
          <w:bCs/>
          <w:kern w:val="0"/>
          <w:sz w:val="24"/>
          <w:szCs w:val="24"/>
          <w:lang w:eastAsia="en-IN"/>
          <w14:ligatures w14:val="none"/>
        </w:rPr>
        <w:t xml:space="preserve"> Chemical</w:t>
      </w:r>
      <w:r w:rsidRPr="00F44EB4">
        <w:rPr>
          <w:rFonts w:ascii="Times New Roman" w:eastAsia="Times New Roman" w:hAnsi="Times New Roman" w:cs="Times New Roman"/>
          <w:kern w:val="0"/>
          <w:sz w:val="24"/>
          <w:szCs w:val="24"/>
          <w:lang w:eastAsia="en-IN"/>
          <w14:ligatures w14:val="none"/>
        </w:rPr>
        <w:t>, a leading Chinese producer, completed a capacity expansion in 2024 to serve increasing domestic feed demand and export markets in Southeast Asia. The new facility incorporates automated synthesis control for tighter product uniformity.</w:t>
      </w:r>
    </w:p>
    <w:p w14:paraId="2DBFBEA7" w14:textId="77777777" w:rsidR="00F44EB4" w:rsidRPr="00F44EB4" w:rsidRDefault="00000000" w:rsidP="00F44EB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397146A">
          <v:rect id="_x0000_i1025" style="width:0;height:1.5pt" o:hralign="center" o:hrstd="t" o:hr="t" fillcolor="#a0a0a0" stroked="f"/>
        </w:pict>
      </w:r>
    </w:p>
    <w:p w14:paraId="3001D9EC"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b/>
          <w:bCs/>
          <w:kern w:val="0"/>
          <w:sz w:val="24"/>
          <w:szCs w:val="24"/>
          <w:lang w:eastAsia="en-IN"/>
          <w14:ligatures w14:val="none"/>
        </w:rPr>
        <w:t>Opportunities</w:t>
      </w:r>
    </w:p>
    <w:p w14:paraId="5211F0A0" w14:textId="77777777" w:rsidR="00F44EB4" w:rsidRPr="00F44EB4" w:rsidRDefault="00F44EB4" w:rsidP="00F44EB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b/>
          <w:bCs/>
          <w:kern w:val="0"/>
          <w:sz w:val="24"/>
          <w:szCs w:val="24"/>
          <w:lang w:eastAsia="en-IN"/>
          <w14:ligatures w14:val="none"/>
        </w:rPr>
        <w:t>Expansion of Functional Nutrition and Wellness Products:</w:t>
      </w:r>
      <w:r w:rsidRPr="00F44EB4">
        <w:rPr>
          <w:rFonts w:ascii="Times New Roman" w:eastAsia="Times New Roman" w:hAnsi="Times New Roman" w:cs="Times New Roman"/>
          <w:kern w:val="0"/>
          <w:sz w:val="24"/>
          <w:szCs w:val="24"/>
          <w:lang w:eastAsia="en-IN"/>
          <w14:ligatures w14:val="none"/>
        </w:rPr>
        <w:t xml:space="preserve"> Growing consumer demand for bioavailable minerals in stress-relief, sleep, and immune support supplements is opening a wide lane for glycinate adoption in nutraceuticals and fortified foods.</w:t>
      </w:r>
    </w:p>
    <w:p w14:paraId="15490551" w14:textId="77777777" w:rsidR="00F44EB4" w:rsidRPr="00F44EB4" w:rsidRDefault="00F44EB4" w:rsidP="00F44EB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b/>
          <w:bCs/>
          <w:kern w:val="0"/>
          <w:sz w:val="24"/>
          <w:szCs w:val="24"/>
          <w:lang w:eastAsia="en-IN"/>
          <w14:ligatures w14:val="none"/>
        </w:rPr>
        <w:t>Sustainability and Green Chemistry:</w:t>
      </w:r>
      <w:r w:rsidRPr="00F44EB4">
        <w:rPr>
          <w:rFonts w:ascii="Times New Roman" w:eastAsia="Times New Roman" w:hAnsi="Times New Roman" w:cs="Times New Roman"/>
          <w:kern w:val="0"/>
          <w:sz w:val="24"/>
          <w:szCs w:val="24"/>
          <w:lang w:eastAsia="en-IN"/>
          <w14:ligatures w14:val="none"/>
        </w:rPr>
        <w:t xml:space="preserve"> The global pivot toward low-impact manufacturing is creating opportunities for producers adopting enzymatic or fermentation-based chelation methods, particularly in Europe and Japan.</w:t>
      </w:r>
    </w:p>
    <w:p w14:paraId="2D5DAA13" w14:textId="77777777" w:rsidR="00F44EB4" w:rsidRPr="00F44EB4" w:rsidRDefault="00F44EB4" w:rsidP="00F44EB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b/>
          <w:bCs/>
          <w:kern w:val="0"/>
          <w:sz w:val="24"/>
          <w:szCs w:val="24"/>
          <w:lang w:eastAsia="en-IN"/>
          <w14:ligatures w14:val="none"/>
        </w:rPr>
        <w:t>Feed Industry Modernization in Emerging Markets:</w:t>
      </w:r>
      <w:r w:rsidRPr="00F44EB4">
        <w:rPr>
          <w:rFonts w:ascii="Times New Roman" w:eastAsia="Times New Roman" w:hAnsi="Times New Roman" w:cs="Times New Roman"/>
          <w:kern w:val="0"/>
          <w:sz w:val="24"/>
          <w:szCs w:val="24"/>
          <w:lang w:eastAsia="en-IN"/>
          <w14:ligatures w14:val="none"/>
        </w:rPr>
        <w:t xml:space="preserve"> Rapid livestock industrialization in India, Brazil, and Indonesia is driving adoption of glycinates as environmentally compliant feed additives that align with nutrient efficiency standards.</w:t>
      </w:r>
    </w:p>
    <w:p w14:paraId="7D5276D6" w14:textId="77777777" w:rsidR="00F44EB4" w:rsidRPr="00F44EB4" w:rsidRDefault="00F44EB4" w:rsidP="00F44EB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b/>
          <w:bCs/>
          <w:kern w:val="0"/>
          <w:sz w:val="24"/>
          <w:szCs w:val="24"/>
          <w:lang w:eastAsia="en-IN"/>
          <w14:ligatures w14:val="none"/>
        </w:rPr>
        <w:t>Cross-Industry Integration:</w:t>
      </w:r>
      <w:r w:rsidRPr="00F44EB4">
        <w:rPr>
          <w:rFonts w:ascii="Times New Roman" w:eastAsia="Times New Roman" w:hAnsi="Times New Roman" w:cs="Times New Roman"/>
          <w:kern w:val="0"/>
          <w:sz w:val="24"/>
          <w:szCs w:val="24"/>
          <w:lang w:eastAsia="en-IN"/>
          <w14:ligatures w14:val="none"/>
        </w:rPr>
        <w:t xml:space="preserve"> The use of glycinates in personal care and pharmaceutical formulations offers new high-value avenues where purity and performance outweigh price sensitivity.</w:t>
      </w:r>
    </w:p>
    <w:p w14:paraId="5FA5EB13" w14:textId="77777777" w:rsidR="00F44EB4" w:rsidRPr="00F44EB4" w:rsidRDefault="00000000" w:rsidP="00F44EB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5F6CFF1">
          <v:rect id="_x0000_i1026" style="width:0;height:1.5pt" o:hralign="center" o:hrstd="t" o:hr="t" fillcolor="#a0a0a0" stroked="f"/>
        </w:pict>
      </w:r>
    </w:p>
    <w:p w14:paraId="7B381123"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b/>
          <w:bCs/>
          <w:kern w:val="0"/>
          <w:sz w:val="24"/>
          <w:szCs w:val="24"/>
          <w:lang w:eastAsia="en-IN"/>
          <w14:ligatures w14:val="none"/>
        </w:rPr>
        <w:lastRenderedPageBreak/>
        <w:t>Restraints</w:t>
      </w:r>
    </w:p>
    <w:p w14:paraId="30F678BB" w14:textId="77777777" w:rsidR="00F44EB4" w:rsidRPr="00F44EB4" w:rsidRDefault="00F44EB4" w:rsidP="00F44EB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b/>
          <w:bCs/>
          <w:kern w:val="0"/>
          <w:sz w:val="24"/>
          <w:szCs w:val="24"/>
          <w:lang w:eastAsia="en-IN"/>
          <w14:ligatures w14:val="none"/>
        </w:rPr>
        <w:t>High Production and Raw Material Costs:</w:t>
      </w:r>
      <w:r w:rsidRPr="00F44EB4">
        <w:rPr>
          <w:rFonts w:ascii="Times New Roman" w:eastAsia="Times New Roman" w:hAnsi="Times New Roman" w:cs="Times New Roman"/>
          <w:kern w:val="0"/>
          <w:sz w:val="24"/>
          <w:szCs w:val="24"/>
          <w:lang w:eastAsia="en-IN"/>
          <w14:ligatures w14:val="none"/>
        </w:rPr>
        <w:t xml:space="preserve"> The synthesis of high-purity glycinates involves controlled processing and multiple purification stages, raising costs compared to traditional mineral salts.</w:t>
      </w:r>
    </w:p>
    <w:p w14:paraId="7A827213" w14:textId="77777777" w:rsidR="00F44EB4" w:rsidRPr="00F44EB4" w:rsidRDefault="00F44EB4" w:rsidP="00F44EB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b/>
          <w:bCs/>
          <w:kern w:val="0"/>
          <w:sz w:val="24"/>
          <w:szCs w:val="24"/>
          <w:lang w:eastAsia="en-IN"/>
          <w14:ligatures w14:val="none"/>
        </w:rPr>
        <w:t>Lack of Standardized Efficacy Metrics:</w:t>
      </w:r>
      <w:r w:rsidRPr="00F44EB4">
        <w:rPr>
          <w:rFonts w:ascii="Times New Roman" w:eastAsia="Times New Roman" w:hAnsi="Times New Roman" w:cs="Times New Roman"/>
          <w:kern w:val="0"/>
          <w:sz w:val="24"/>
          <w:szCs w:val="24"/>
          <w:lang w:eastAsia="en-IN"/>
          <w14:ligatures w14:val="none"/>
        </w:rPr>
        <w:t xml:space="preserve"> Inconsistent bioavailability testing methods across regions make it difficult for manufacturers to demonstrate uniform performance claims, particularly in nutraceutical markets.</w:t>
      </w:r>
    </w:p>
    <w:p w14:paraId="795F426D" w14:textId="77777777" w:rsidR="00F44EB4" w:rsidRPr="00F44EB4" w:rsidRDefault="00F44EB4" w:rsidP="00F44EB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b/>
          <w:bCs/>
          <w:kern w:val="0"/>
          <w:sz w:val="24"/>
          <w:szCs w:val="24"/>
          <w:lang w:eastAsia="en-IN"/>
          <w14:ligatures w14:val="none"/>
        </w:rPr>
        <w:t>Limited Awareness Among End Users:</w:t>
      </w:r>
      <w:r w:rsidRPr="00F44EB4">
        <w:rPr>
          <w:rFonts w:ascii="Times New Roman" w:eastAsia="Times New Roman" w:hAnsi="Times New Roman" w:cs="Times New Roman"/>
          <w:kern w:val="0"/>
          <w:sz w:val="24"/>
          <w:szCs w:val="24"/>
          <w:lang w:eastAsia="en-IN"/>
          <w14:ligatures w14:val="none"/>
        </w:rPr>
        <w:t xml:space="preserve"> In developing economies, feed and supplement manufacturers still rely heavily on inorganic salts due to cost familiarity and limited technical know-how regarding chelate efficiency.</w:t>
      </w:r>
    </w:p>
    <w:p w14:paraId="1FF087E1" w14:textId="77777777" w:rsidR="00F44EB4" w:rsidRDefault="00F44EB4">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1E3F1C6C" w14:textId="1FEE9C57" w:rsidR="00F44EB4" w:rsidRPr="00F44EB4" w:rsidRDefault="00F44EB4" w:rsidP="00F44EB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44EB4">
        <w:rPr>
          <w:rFonts w:ascii="Times New Roman" w:eastAsia="Times New Roman" w:hAnsi="Times New Roman" w:cs="Times New Roman"/>
          <w:b/>
          <w:bCs/>
          <w:kern w:val="36"/>
          <w:sz w:val="48"/>
          <w:szCs w:val="48"/>
          <w:lang w:eastAsia="en-IN"/>
          <w14:ligatures w14:val="none"/>
        </w:rPr>
        <w:lastRenderedPageBreak/>
        <w:t>7.1. Report Coverage Table</w:t>
      </w:r>
    </w:p>
    <w:tbl>
      <w:tblPr>
        <w:tblStyle w:val="GridTable4-Accent1"/>
        <w:tblW w:w="0" w:type="auto"/>
        <w:tblLook w:val="04A0" w:firstRow="1" w:lastRow="0" w:firstColumn="1" w:lastColumn="0" w:noHBand="0" w:noVBand="1"/>
      </w:tblPr>
      <w:tblGrid>
        <w:gridCol w:w="2965"/>
        <w:gridCol w:w="6051"/>
      </w:tblGrid>
      <w:tr w:rsidR="00F44EB4" w:rsidRPr="00F44EB4" w14:paraId="7E1D1295" w14:textId="77777777" w:rsidTr="00F44E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7632166D" w14:textId="77777777" w:rsidR="00F44EB4" w:rsidRPr="00F44EB4" w:rsidRDefault="00F44EB4" w:rsidP="00F44EB4">
            <w:pPr>
              <w:jc w:val="center"/>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Report Attribute</w:t>
            </w:r>
          </w:p>
        </w:tc>
        <w:tc>
          <w:tcPr>
            <w:tcW w:w="6051" w:type="dxa"/>
            <w:hideMark/>
          </w:tcPr>
          <w:p w14:paraId="7A934077" w14:textId="77777777" w:rsidR="00F44EB4" w:rsidRPr="00F44EB4" w:rsidRDefault="00F44EB4" w:rsidP="00F44EB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Details</w:t>
            </w:r>
          </w:p>
        </w:tc>
      </w:tr>
      <w:tr w:rsidR="00F44EB4" w:rsidRPr="00F44EB4" w14:paraId="54EFC0D3" w14:textId="77777777" w:rsidTr="00F44E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3C5ED9FC" w14:textId="77777777" w:rsidR="00F44EB4" w:rsidRPr="00F44EB4" w:rsidRDefault="00F44EB4" w:rsidP="00F44EB4">
            <w:pPr>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Forecast Period</w:t>
            </w:r>
          </w:p>
        </w:tc>
        <w:tc>
          <w:tcPr>
            <w:tcW w:w="6051" w:type="dxa"/>
            <w:hideMark/>
          </w:tcPr>
          <w:p w14:paraId="1DDD7C21" w14:textId="77777777" w:rsidR="00F44EB4" w:rsidRPr="00F44EB4" w:rsidRDefault="00F44EB4" w:rsidP="00F44EB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2024 – 2030</w:t>
            </w:r>
          </w:p>
        </w:tc>
      </w:tr>
      <w:tr w:rsidR="00F44EB4" w:rsidRPr="00F44EB4" w14:paraId="3EB1E47E" w14:textId="77777777" w:rsidTr="00F44EB4">
        <w:tc>
          <w:tcPr>
            <w:cnfStyle w:val="001000000000" w:firstRow="0" w:lastRow="0" w:firstColumn="1" w:lastColumn="0" w:oddVBand="0" w:evenVBand="0" w:oddHBand="0" w:evenHBand="0" w:firstRowFirstColumn="0" w:firstRowLastColumn="0" w:lastRowFirstColumn="0" w:lastRowLastColumn="0"/>
            <w:tcW w:w="2965" w:type="dxa"/>
            <w:hideMark/>
          </w:tcPr>
          <w:p w14:paraId="0CC53965" w14:textId="77777777" w:rsidR="00F44EB4" w:rsidRPr="00F44EB4" w:rsidRDefault="00F44EB4" w:rsidP="00F44EB4">
            <w:pPr>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Market Size Value in 2024</w:t>
            </w:r>
          </w:p>
        </w:tc>
        <w:tc>
          <w:tcPr>
            <w:tcW w:w="6051" w:type="dxa"/>
            <w:hideMark/>
          </w:tcPr>
          <w:p w14:paraId="053789E6" w14:textId="6590FE50" w:rsidR="00F44EB4" w:rsidRPr="00F44EB4" w:rsidRDefault="00F44EB4" w:rsidP="00F44EB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USD 987 Million</w:t>
            </w:r>
          </w:p>
        </w:tc>
      </w:tr>
      <w:tr w:rsidR="00F44EB4" w:rsidRPr="00F44EB4" w14:paraId="4DDCEC88" w14:textId="77777777" w:rsidTr="00F44E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4997887E" w14:textId="77777777" w:rsidR="00F44EB4" w:rsidRPr="00F44EB4" w:rsidRDefault="00F44EB4" w:rsidP="00F44EB4">
            <w:pPr>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Revenue Forecast in 2030</w:t>
            </w:r>
          </w:p>
        </w:tc>
        <w:tc>
          <w:tcPr>
            <w:tcW w:w="6051" w:type="dxa"/>
            <w:hideMark/>
          </w:tcPr>
          <w:p w14:paraId="555C37FE" w14:textId="1E7DC1D0" w:rsidR="00F44EB4" w:rsidRPr="00F44EB4" w:rsidRDefault="00F44EB4" w:rsidP="00F44EB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 xml:space="preserve">USD </w:t>
            </w:r>
            <w:r w:rsidR="00B5785F">
              <w:rPr>
                <w:rFonts w:ascii="Times New Roman" w:eastAsia="Times New Roman" w:hAnsi="Times New Roman" w:cs="Times New Roman"/>
                <w:kern w:val="0"/>
                <w:sz w:val="24"/>
                <w:szCs w:val="24"/>
                <w:lang w:eastAsia="en-IN"/>
                <w14:ligatures w14:val="none"/>
              </w:rPr>
              <w:t>1.34</w:t>
            </w:r>
            <w:r w:rsidRPr="00F44EB4">
              <w:rPr>
                <w:rFonts w:ascii="Times New Roman" w:eastAsia="Times New Roman" w:hAnsi="Times New Roman" w:cs="Times New Roman"/>
                <w:kern w:val="0"/>
                <w:sz w:val="24"/>
                <w:szCs w:val="24"/>
                <w:lang w:eastAsia="en-IN"/>
                <w14:ligatures w14:val="none"/>
              </w:rPr>
              <w:t xml:space="preserve"> Billion</w:t>
            </w:r>
          </w:p>
        </w:tc>
      </w:tr>
      <w:tr w:rsidR="00F44EB4" w:rsidRPr="00F44EB4" w14:paraId="67E6613D" w14:textId="77777777" w:rsidTr="00F44EB4">
        <w:tc>
          <w:tcPr>
            <w:cnfStyle w:val="001000000000" w:firstRow="0" w:lastRow="0" w:firstColumn="1" w:lastColumn="0" w:oddVBand="0" w:evenVBand="0" w:oddHBand="0" w:evenHBand="0" w:firstRowFirstColumn="0" w:firstRowLastColumn="0" w:lastRowFirstColumn="0" w:lastRowLastColumn="0"/>
            <w:tcW w:w="2965" w:type="dxa"/>
            <w:hideMark/>
          </w:tcPr>
          <w:p w14:paraId="2F6AEE68" w14:textId="77777777" w:rsidR="00F44EB4" w:rsidRPr="00F44EB4" w:rsidRDefault="00F44EB4" w:rsidP="00F44EB4">
            <w:pPr>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Overall Growth Rate</w:t>
            </w:r>
          </w:p>
        </w:tc>
        <w:tc>
          <w:tcPr>
            <w:tcW w:w="6051" w:type="dxa"/>
            <w:hideMark/>
          </w:tcPr>
          <w:p w14:paraId="3448CCD2" w14:textId="12B442A1" w:rsidR="00F44EB4" w:rsidRPr="00F44EB4" w:rsidRDefault="00F44EB4" w:rsidP="00F44EB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 xml:space="preserve">CAGR of </w:t>
            </w:r>
            <w:r w:rsidR="00B5785F">
              <w:rPr>
                <w:rFonts w:ascii="Times New Roman" w:eastAsia="Times New Roman" w:hAnsi="Times New Roman" w:cs="Times New Roman"/>
                <w:kern w:val="0"/>
                <w:sz w:val="24"/>
                <w:szCs w:val="24"/>
                <w:lang w:eastAsia="en-IN"/>
                <w14:ligatures w14:val="none"/>
              </w:rPr>
              <w:t>5.3%</w:t>
            </w:r>
            <w:r w:rsidRPr="00F44EB4">
              <w:rPr>
                <w:rFonts w:ascii="Times New Roman" w:eastAsia="Times New Roman" w:hAnsi="Times New Roman" w:cs="Times New Roman"/>
                <w:kern w:val="0"/>
                <w:sz w:val="24"/>
                <w:szCs w:val="24"/>
                <w:lang w:eastAsia="en-IN"/>
                <w14:ligatures w14:val="none"/>
              </w:rPr>
              <w:t xml:space="preserve"> (2024 – 2030)</w:t>
            </w:r>
          </w:p>
        </w:tc>
      </w:tr>
      <w:tr w:rsidR="00F44EB4" w:rsidRPr="00F44EB4" w14:paraId="7DA4475E" w14:textId="77777777" w:rsidTr="00F44E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0C2D4FE8" w14:textId="77777777" w:rsidR="00F44EB4" w:rsidRPr="00F44EB4" w:rsidRDefault="00F44EB4" w:rsidP="00F44EB4">
            <w:pPr>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Base Year for Estimation</w:t>
            </w:r>
          </w:p>
        </w:tc>
        <w:tc>
          <w:tcPr>
            <w:tcW w:w="6051" w:type="dxa"/>
            <w:hideMark/>
          </w:tcPr>
          <w:p w14:paraId="415F3C97" w14:textId="77777777" w:rsidR="00F44EB4" w:rsidRPr="00F44EB4" w:rsidRDefault="00F44EB4" w:rsidP="00F44EB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2024</w:t>
            </w:r>
          </w:p>
        </w:tc>
      </w:tr>
      <w:tr w:rsidR="00F44EB4" w:rsidRPr="00F44EB4" w14:paraId="5C055EC5" w14:textId="77777777" w:rsidTr="00F44EB4">
        <w:tc>
          <w:tcPr>
            <w:cnfStyle w:val="001000000000" w:firstRow="0" w:lastRow="0" w:firstColumn="1" w:lastColumn="0" w:oddVBand="0" w:evenVBand="0" w:oddHBand="0" w:evenHBand="0" w:firstRowFirstColumn="0" w:firstRowLastColumn="0" w:lastRowFirstColumn="0" w:lastRowLastColumn="0"/>
            <w:tcW w:w="2965" w:type="dxa"/>
            <w:hideMark/>
          </w:tcPr>
          <w:p w14:paraId="2252CB2D" w14:textId="77777777" w:rsidR="00F44EB4" w:rsidRPr="00F44EB4" w:rsidRDefault="00F44EB4" w:rsidP="00F44EB4">
            <w:pPr>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Historical Data</w:t>
            </w:r>
          </w:p>
        </w:tc>
        <w:tc>
          <w:tcPr>
            <w:tcW w:w="6051" w:type="dxa"/>
            <w:hideMark/>
          </w:tcPr>
          <w:p w14:paraId="5D4931B9" w14:textId="77777777" w:rsidR="00F44EB4" w:rsidRPr="00F44EB4" w:rsidRDefault="00F44EB4" w:rsidP="00F44EB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2019 – 2023</w:t>
            </w:r>
          </w:p>
        </w:tc>
      </w:tr>
      <w:tr w:rsidR="00F44EB4" w:rsidRPr="00F44EB4" w14:paraId="57242863" w14:textId="77777777" w:rsidTr="00F44E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5511A03B" w14:textId="77777777" w:rsidR="00F44EB4" w:rsidRPr="00F44EB4" w:rsidRDefault="00F44EB4" w:rsidP="00F44EB4">
            <w:pPr>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Unit</w:t>
            </w:r>
          </w:p>
        </w:tc>
        <w:tc>
          <w:tcPr>
            <w:tcW w:w="6051" w:type="dxa"/>
            <w:hideMark/>
          </w:tcPr>
          <w:p w14:paraId="203CCA28" w14:textId="77777777" w:rsidR="00F44EB4" w:rsidRPr="00F44EB4" w:rsidRDefault="00F44EB4" w:rsidP="00F44EB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USD Million, CAGR (2024 – 2030)</w:t>
            </w:r>
          </w:p>
        </w:tc>
      </w:tr>
      <w:tr w:rsidR="00F44EB4" w:rsidRPr="00F44EB4" w14:paraId="503E66CA" w14:textId="77777777" w:rsidTr="00F44EB4">
        <w:tc>
          <w:tcPr>
            <w:cnfStyle w:val="001000000000" w:firstRow="0" w:lastRow="0" w:firstColumn="1" w:lastColumn="0" w:oddVBand="0" w:evenVBand="0" w:oddHBand="0" w:evenHBand="0" w:firstRowFirstColumn="0" w:firstRowLastColumn="0" w:lastRowFirstColumn="0" w:lastRowLastColumn="0"/>
            <w:tcW w:w="2965" w:type="dxa"/>
            <w:hideMark/>
          </w:tcPr>
          <w:p w14:paraId="212E3F39" w14:textId="77777777" w:rsidR="00F44EB4" w:rsidRPr="00F44EB4" w:rsidRDefault="00F44EB4" w:rsidP="00F44EB4">
            <w:pPr>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Segmentation</w:t>
            </w:r>
          </w:p>
        </w:tc>
        <w:tc>
          <w:tcPr>
            <w:tcW w:w="6051" w:type="dxa"/>
            <w:hideMark/>
          </w:tcPr>
          <w:p w14:paraId="063C3EB5" w14:textId="77777777" w:rsidR="00F44EB4" w:rsidRPr="00F44EB4" w:rsidRDefault="00F44EB4" w:rsidP="00F44EB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By Product Type, By Application, By End User, By Geography</w:t>
            </w:r>
          </w:p>
        </w:tc>
      </w:tr>
      <w:tr w:rsidR="00F44EB4" w:rsidRPr="00F44EB4" w14:paraId="41B0C674" w14:textId="77777777" w:rsidTr="00F44E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04FA46B4" w14:textId="77777777" w:rsidR="00F44EB4" w:rsidRPr="00F44EB4" w:rsidRDefault="00F44EB4" w:rsidP="00F44EB4">
            <w:pPr>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By Product Type</w:t>
            </w:r>
          </w:p>
        </w:tc>
        <w:tc>
          <w:tcPr>
            <w:tcW w:w="6051" w:type="dxa"/>
            <w:hideMark/>
          </w:tcPr>
          <w:p w14:paraId="10770969" w14:textId="77777777" w:rsidR="00F44EB4" w:rsidRPr="00F44EB4" w:rsidRDefault="00F44EB4" w:rsidP="00F44EB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Magnesium Glycinate, Zinc Glycinate, Calcium Glycinate, Iron Glycinate, Copper Glycinate, Manganese Glycinate</w:t>
            </w:r>
          </w:p>
        </w:tc>
      </w:tr>
      <w:tr w:rsidR="00F44EB4" w:rsidRPr="00F44EB4" w14:paraId="0FBC8AF8" w14:textId="77777777" w:rsidTr="00F44EB4">
        <w:tc>
          <w:tcPr>
            <w:cnfStyle w:val="001000000000" w:firstRow="0" w:lastRow="0" w:firstColumn="1" w:lastColumn="0" w:oddVBand="0" w:evenVBand="0" w:oddHBand="0" w:evenHBand="0" w:firstRowFirstColumn="0" w:firstRowLastColumn="0" w:lastRowFirstColumn="0" w:lastRowLastColumn="0"/>
            <w:tcW w:w="2965" w:type="dxa"/>
            <w:hideMark/>
          </w:tcPr>
          <w:p w14:paraId="35BA2AA8" w14:textId="77777777" w:rsidR="00F44EB4" w:rsidRPr="00F44EB4" w:rsidRDefault="00F44EB4" w:rsidP="00F44EB4">
            <w:pPr>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By Application</w:t>
            </w:r>
          </w:p>
        </w:tc>
        <w:tc>
          <w:tcPr>
            <w:tcW w:w="6051" w:type="dxa"/>
            <w:hideMark/>
          </w:tcPr>
          <w:p w14:paraId="420332B1" w14:textId="77777777" w:rsidR="00F44EB4" w:rsidRPr="00F44EB4" w:rsidRDefault="00F44EB4" w:rsidP="00F44EB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Animal Feed, Dietary Supplements, Pharmaceuticals, Personal Care</w:t>
            </w:r>
          </w:p>
        </w:tc>
      </w:tr>
      <w:tr w:rsidR="00F44EB4" w:rsidRPr="00F44EB4" w14:paraId="20BB8089" w14:textId="77777777" w:rsidTr="00F44E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4F2BF754" w14:textId="77777777" w:rsidR="00F44EB4" w:rsidRPr="00F44EB4" w:rsidRDefault="00F44EB4" w:rsidP="00F44EB4">
            <w:pPr>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By End User</w:t>
            </w:r>
          </w:p>
        </w:tc>
        <w:tc>
          <w:tcPr>
            <w:tcW w:w="6051" w:type="dxa"/>
            <w:hideMark/>
          </w:tcPr>
          <w:p w14:paraId="64BC23EF" w14:textId="77777777" w:rsidR="00F44EB4" w:rsidRPr="00F44EB4" w:rsidRDefault="00F44EB4" w:rsidP="00F44EB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Feed Manufacturers, Nutraceutical Companies, Pharmaceutical Companies, Cosmetic Brands</w:t>
            </w:r>
          </w:p>
        </w:tc>
      </w:tr>
      <w:tr w:rsidR="00F44EB4" w:rsidRPr="00F44EB4" w14:paraId="24120776" w14:textId="77777777" w:rsidTr="00F44EB4">
        <w:tc>
          <w:tcPr>
            <w:cnfStyle w:val="001000000000" w:firstRow="0" w:lastRow="0" w:firstColumn="1" w:lastColumn="0" w:oddVBand="0" w:evenVBand="0" w:oddHBand="0" w:evenHBand="0" w:firstRowFirstColumn="0" w:firstRowLastColumn="0" w:lastRowFirstColumn="0" w:lastRowLastColumn="0"/>
            <w:tcW w:w="2965" w:type="dxa"/>
            <w:hideMark/>
          </w:tcPr>
          <w:p w14:paraId="543ED326" w14:textId="77777777" w:rsidR="00F44EB4" w:rsidRPr="00F44EB4" w:rsidRDefault="00F44EB4" w:rsidP="00F44EB4">
            <w:pPr>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By Region</w:t>
            </w:r>
          </w:p>
        </w:tc>
        <w:tc>
          <w:tcPr>
            <w:tcW w:w="6051" w:type="dxa"/>
            <w:hideMark/>
          </w:tcPr>
          <w:p w14:paraId="0937284F" w14:textId="77777777" w:rsidR="00F44EB4" w:rsidRPr="00F44EB4" w:rsidRDefault="00F44EB4" w:rsidP="00F44EB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North America, Europe, Asia-Pacific, Latin America, Middle East &amp; Africa</w:t>
            </w:r>
          </w:p>
        </w:tc>
      </w:tr>
      <w:tr w:rsidR="00F44EB4" w:rsidRPr="00F44EB4" w14:paraId="6830F17B" w14:textId="77777777" w:rsidTr="00F44E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62B50C83" w14:textId="77777777" w:rsidR="00F44EB4" w:rsidRPr="00F44EB4" w:rsidRDefault="00F44EB4" w:rsidP="00F44EB4">
            <w:pPr>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Country Scope</w:t>
            </w:r>
          </w:p>
        </w:tc>
        <w:tc>
          <w:tcPr>
            <w:tcW w:w="6051" w:type="dxa"/>
            <w:hideMark/>
          </w:tcPr>
          <w:p w14:paraId="56ADE4D7" w14:textId="77777777" w:rsidR="00F44EB4" w:rsidRPr="00F44EB4" w:rsidRDefault="00F44EB4" w:rsidP="00F44EB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U.S., Canada, Germany, France, China, India, Japan, Brazil, Saudi Arabia, South Africa</w:t>
            </w:r>
          </w:p>
        </w:tc>
      </w:tr>
      <w:tr w:rsidR="00F44EB4" w:rsidRPr="00F44EB4" w14:paraId="6D25088D" w14:textId="77777777" w:rsidTr="00F44EB4">
        <w:tc>
          <w:tcPr>
            <w:cnfStyle w:val="001000000000" w:firstRow="0" w:lastRow="0" w:firstColumn="1" w:lastColumn="0" w:oddVBand="0" w:evenVBand="0" w:oddHBand="0" w:evenHBand="0" w:firstRowFirstColumn="0" w:firstRowLastColumn="0" w:lastRowFirstColumn="0" w:lastRowLastColumn="0"/>
            <w:tcW w:w="2965" w:type="dxa"/>
            <w:hideMark/>
          </w:tcPr>
          <w:p w14:paraId="38ACF2AC" w14:textId="77777777" w:rsidR="00F44EB4" w:rsidRPr="00F44EB4" w:rsidRDefault="00F44EB4" w:rsidP="00F44EB4">
            <w:pPr>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Market Drivers</w:t>
            </w:r>
          </w:p>
        </w:tc>
        <w:tc>
          <w:tcPr>
            <w:tcW w:w="6051" w:type="dxa"/>
            <w:hideMark/>
          </w:tcPr>
          <w:p w14:paraId="5DE6750B" w14:textId="77777777" w:rsidR="00F44EB4" w:rsidRPr="00F44EB4" w:rsidRDefault="00F44EB4" w:rsidP="00F44EB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 xml:space="preserve">- Rising demand for bioavailable minerals in supplements and animal feed </w:t>
            </w:r>
            <w:r w:rsidRPr="00F44EB4">
              <w:rPr>
                <w:rFonts w:ascii="Times New Roman" w:eastAsia="Times New Roman" w:hAnsi="Times New Roman" w:cs="Times New Roman"/>
                <w:kern w:val="0"/>
                <w:sz w:val="24"/>
                <w:szCs w:val="24"/>
                <w:lang w:eastAsia="en-IN"/>
                <w14:ligatures w14:val="none"/>
              </w:rPr>
              <w:br/>
              <w:t xml:space="preserve">- Expansion of sustainable and clean chelation technologies </w:t>
            </w:r>
            <w:r w:rsidRPr="00F44EB4">
              <w:rPr>
                <w:rFonts w:ascii="Times New Roman" w:eastAsia="Times New Roman" w:hAnsi="Times New Roman" w:cs="Times New Roman"/>
                <w:kern w:val="0"/>
                <w:sz w:val="24"/>
                <w:szCs w:val="24"/>
                <w:lang w:eastAsia="en-IN"/>
                <w14:ligatures w14:val="none"/>
              </w:rPr>
              <w:br/>
              <w:t>- Increasing regulations promoting mineral efficiency and environmental compliance</w:t>
            </w:r>
          </w:p>
        </w:tc>
      </w:tr>
      <w:tr w:rsidR="00F44EB4" w:rsidRPr="00F44EB4" w14:paraId="6CA69488" w14:textId="77777777" w:rsidTr="00F44E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40C5F618" w14:textId="77777777" w:rsidR="00F44EB4" w:rsidRPr="00F44EB4" w:rsidRDefault="00F44EB4" w:rsidP="00F44EB4">
            <w:pPr>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Customization Option</w:t>
            </w:r>
          </w:p>
        </w:tc>
        <w:tc>
          <w:tcPr>
            <w:tcW w:w="6051" w:type="dxa"/>
            <w:hideMark/>
          </w:tcPr>
          <w:p w14:paraId="057ECDB7" w14:textId="77777777" w:rsidR="00F44EB4" w:rsidRPr="00F44EB4" w:rsidRDefault="00F44EB4" w:rsidP="00F44EB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Available upon request</w:t>
            </w:r>
          </w:p>
        </w:tc>
      </w:tr>
    </w:tbl>
    <w:p w14:paraId="6017BCF2" w14:textId="77777777" w:rsidR="00F44EB4" w:rsidRPr="00F44EB4" w:rsidRDefault="00F44EB4" w:rsidP="00F44EB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44EB4">
        <w:rPr>
          <w:rFonts w:ascii="Times New Roman" w:eastAsia="Times New Roman" w:hAnsi="Times New Roman" w:cs="Times New Roman"/>
          <w:b/>
          <w:bCs/>
          <w:kern w:val="36"/>
          <w:sz w:val="48"/>
          <w:szCs w:val="48"/>
          <w:lang w:eastAsia="en-IN"/>
          <w14:ligatures w14:val="none"/>
        </w:rPr>
        <w:t>8. Report Summary, FAQs, and SEO Schema</w:t>
      </w:r>
    </w:p>
    <w:p w14:paraId="09B87898" w14:textId="77777777" w:rsidR="00F44EB4" w:rsidRPr="00F44EB4" w:rsidRDefault="00000000" w:rsidP="00F44EB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F0E626E">
          <v:rect id="_x0000_i1027" style="width:0;height:1.5pt" o:hralign="center" o:hrstd="t" o:hr="t" fillcolor="#a0a0a0" stroked="f"/>
        </w:pict>
      </w:r>
    </w:p>
    <w:p w14:paraId="04F714A6" w14:textId="77777777" w:rsidR="00F44EB4" w:rsidRPr="00F44EB4" w:rsidRDefault="00F44EB4" w:rsidP="00F44EB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44EB4">
        <w:rPr>
          <w:rFonts w:ascii="Times New Roman" w:eastAsia="Times New Roman" w:hAnsi="Times New Roman" w:cs="Times New Roman"/>
          <w:b/>
          <w:bCs/>
          <w:kern w:val="0"/>
          <w:sz w:val="36"/>
          <w:szCs w:val="36"/>
          <w:lang w:eastAsia="en-IN"/>
          <w14:ligatures w14:val="none"/>
        </w:rPr>
        <w:t>A.1. Report Title (Long-Form)</w:t>
      </w:r>
    </w:p>
    <w:p w14:paraId="15DFC4FA"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 xml:space="preserve">Global Glycinates Market </w:t>
      </w:r>
      <w:proofErr w:type="gramStart"/>
      <w:r w:rsidRPr="00F44EB4">
        <w:rPr>
          <w:rFonts w:ascii="Times New Roman" w:eastAsia="Times New Roman" w:hAnsi="Times New Roman" w:cs="Times New Roman"/>
          <w:kern w:val="0"/>
          <w:sz w:val="24"/>
          <w:szCs w:val="24"/>
          <w:lang w:eastAsia="en-IN"/>
          <w14:ligatures w14:val="none"/>
        </w:rPr>
        <w:t>By</w:t>
      </w:r>
      <w:proofErr w:type="gramEnd"/>
      <w:r w:rsidRPr="00F44EB4">
        <w:rPr>
          <w:rFonts w:ascii="Times New Roman" w:eastAsia="Times New Roman" w:hAnsi="Times New Roman" w:cs="Times New Roman"/>
          <w:kern w:val="0"/>
          <w:sz w:val="24"/>
          <w:szCs w:val="24"/>
          <w:lang w:eastAsia="en-IN"/>
          <w14:ligatures w14:val="none"/>
        </w:rPr>
        <w:t xml:space="preserve"> Product Type (Magnesium Glycinate, Zinc Glycinate, Calcium Glycinate, Iron Glycinate, Copper Glycinate, Manganese Glycinate); By Application (Animal Feed, Dietary Supplements, Pharmaceuticals, Personal Care); By End User (Feed Manufacturers, Nutraceutical Companies, Pharmaceutical Companies, Cosmetic Brands); By Geography, Segment Revenue Estimation, Forecast, 2024–2030</w:t>
      </w:r>
    </w:p>
    <w:p w14:paraId="449465CA" w14:textId="77777777" w:rsidR="00F44EB4" w:rsidRPr="00F44EB4" w:rsidRDefault="00000000" w:rsidP="00F44EB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5E2CDDC">
          <v:rect id="_x0000_i1028" style="width:0;height:1.5pt" o:hralign="center" o:hrstd="t" o:hr="t" fillcolor="#a0a0a0" stroked="f"/>
        </w:pict>
      </w:r>
    </w:p>
    <w:p w14:paraId="0C11CE5A" w14:textId="77777777" w:rsidR="00F44EB4" w:rsidRPr="00F44EB4" w:rsidRDefault="00F44EB4" w:rsidP="00F44EB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44EB4">
        <w:rPr>
          <w:rFonts w:ascii="Times New Roman" w:eastAsia="Times New Roman" w:hAnsi="Times New Roman" w:cs="Times New Roman"/>
          <w:b/>
          <w:bCs/>
          <w:kern w:val="0"/>
          <w:sz w:val="36"/>
          <w:szCs w:val="36"/>
          <w:lang w:eastAsia="en-IN"/>
          <w14:ligatures w14:val="none"/>
        </w:rPr>
        <w:t>A.2. Lowercase Market Name</w:t>
      </w:r>
    </w:p>
    <w:p w14:paraId="22260F9D"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lastRenderedPageBreak/>
        <w:t>glycinates market</w:t>
      </w:r>
    </w:p>
    <w:p w14:paraId="2931C75D" w14:textId="77777777" w:rsidR="00F44EB4" w:rsidRPr="00F44EB4" w:rsidRDefault="00000000" w:rsidP="00F44EB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90037BA">
          <v:rect id="_x0000_i1029" style="width:0;height:1.5pt" o:hralign="center" o:hrstd="t" o:hr="t" fillcolor="#a0a0a0" stroked="f"/>
        </w:pict>
      </w:r>
    </w:p>
    <w:p w14:paraId="75B9FFA4" w14:textId="77777777" w:rsidR="00F44EB4" w:rsidRPr="00F44EB4" w:rsidRDefault="00F44EB4" w:rsidP="00F44EB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44EB4">
        <w:rPr>
          <w:rFonts w:ascii="Times New Roman" w:eastAsia="Times New Roman" w:hAnsi="Times New Roman" w:cs="Times New Roman"/>
          <w:b/>
          <w:bCs/>
          <w:kern w:val="0"/>
          <w:sz w:val="36"/>
          <w:szCs w:val="36"/>
          <w:lang w:eastAsia="en-IN"/>
          <w14:ligatures w14:val="none"/>
        </w:rPr>
        <w:t>A.3. SEO-Friendly Market Size Tagline</w:t>
      </w:r>
    </w:p>
    <w:p w14:paraId="7B913401" w14:textId="45D5EBD8"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 xml:space="preserve">Glycinates Market Size (USD </w:t>
      </w:r>
      <w:r w:rsidR="00B5785F">
        <w:rPr>
          <w:rFonts w:ascii="Times New Roman" w:eastAsia="Times New Roman" w:hAnsi="Times New Roman" w:cs="Times New Roman"/>
          <w:kern w:val="0"/>
          <w:sz w:val="24"/>
          <w:szCs w:val="24"/>
          <w:lang w:eastAsia="en-IN"/>
          <w14:ligatures w14:val="none"/>
        </w:rPr>
        <w:t>1.34</w:t>
      </w:r>
      <w:r w:rsidRPr="00F44EB4">
        <w:rPr>
          <w:rFonts w:ascii="Times New Roman" w:eastAsia="Times New Roman" w:hAnsi="Times New Roman" w:cs="Times New Roman"/>
          <w:kern w:val="0"/>
          <w:sz w:val="24"/>
          <w:szCs w:val="24"/>
          <w:lang w:eastAsia="en-IN"/>
          <w14:ligatures w14:val="none"/>
        </w:rPr>
        <w:t xml:space="preserve"> Billion) 2030</w:t>
      </w:r>
    </w:p>
    <w:p w14:paraId="0C850D44" w14:textId="77777777" w:rsidR="00F44EB4" w:rsidRPr="00F44EB4" w:rsidRDefault="00000000" w:rsidP="00F44EB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866CD5C">
          <v:rect id="_x0000_i1030" style="width:0;height:1.5pt" o:hralign="center" o:hrstd="t" o:hr="t" fillcolor="#a0a0a0" stroked="f"/>
        </w:pict>
      </w:r>
    </w:p>
    <w:p w14:paraId="675AA9C4" w14:textId="77777777" w:rsidR="00F44EB4" w:rsidRPr="00F44EB4" w:rsidRDefault="00F44EB4" w:rsidP="00F44EB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44EB4">
        <w:rPr>
          <w:rFonts w:ascii="Times New Roman" w:eastAsia="Times New Roman" w:hAnsi="Times New Roman" w:cs="Times New Roman"/>
          <w:b/>
          <w:bCs/>
          <w:kern w:val="0"/>
          <w:sz w:val="36"/>
          <w:szCs w:val="36"/>
          <w:lang w:eastAsia="en-IN"/>
          <w14:ligatures w14:val="none"/>
        </w:rPr>
        <w:t>A.4. SEO-Friendly Market Size Tagline Breadcrumb</w:t>
      </w:r>
    </w:p>
    <w:p w14:paraId="1C2FA9A9"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Glycinates Market Report 2030</w:t>
      </w:r>
    </w:p>
    <w:p w14:paraId="6B8C699F" w14:textId="77777777" w:rsidR="00F44EB4" w:rsidRPr="00F44EB4" w:rsidRDefault="00000000" w:rsidP="00F44EB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AE126C1">
          <v:rect id="_x0000_i1031" style="width:0;height:1.5pt" o:hralign="center" o:hrstd="t" o:hr="t" fillcolor="#a0a0a0" stroked="f"/>
        </w:pict>
      </w:r>
    </w:p>
    <w:p w14:paraId="04BCDF91" w14:textId="77777777" w:rsidR="00F44EB4" w:rsidRPr="00F44EB4" w:rsidRDefault="00F44EB4" w:rsidP="00F44EB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44EB4">
        <w:rPr>
          <w:rFonts w:ascii="Times New Roman" w:eastAsia="Times New Roman" w:hAnsi="Times New Roman" w:cs="Times New Roman"/>
          <w:b/>
          <w:bCs/>
          <w:kern w:val="0"/>
          <w:sz w:val="36"/>
          <w:szCs w:val="36"/>
          <w:lang w:eastAsia="en-IN"/>
          <w14:ligatures w14:val="none"/>
        </w:rPr>
        <w:t>B. Top 5 FAQs</w:t>
      </w:r>
    </w:p>
    <w:p w14:paraId="5CD9793E" w14:textId="585ABAA4"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b/>
          <w:bCs/>
          <w:kern w:val="0"/>
          <w:sz w:val="24"/>
          <w:szCs w:val="24"/>
          <w:lang w:eastAsia="en-IN"/>
          <w14:ligatures w14:val="none"/>
        </w:rPr>
        <w:t>Q1. How big is the glycinates market in 2024?</w:t>
      </w:r>
      <w:r w:rsidRPr="00F44EB4">
        <w:rPr>
          <w:rFonts w:ascii="Times New Roman" w:eastAsia="Times New Roman" w:hAnsi="Times New Roman" w:cs="Times New Roman"/>
          <w:kern w:val="0"/>
          <w:sz w:val="24"/>
          <w:szCs w:val="24"/>
          <w:lang w:eastAsia="en-IN"/>
          <w14:ligatures w14:val="none"/>
        </w:rPr>
        <w:br/>
      </w:r>
      <w:r w:rsidRPr="00F44EB4">
        <w:rPr>
          <w:rFonts w:ascii="Times New Roman" w:eastAsia="Times New Roman" w:hAnsi="Times New Roman" w:cs="Times New Roman"/>
          <w:b/>
          <w:bCs/>
          <w:kern w:val="0"/>
          <w:sz w:val="24"/>
          <w:szCs w:val="24"/>
          <w:lang w:eastAsia="en-IN"/>
          <w14:ligatures w14:val="none"/>
        </w:rPr>
        <w:t>A1.</w:t>
      </w:r>
      <w:r w:rsidRPr="00F44EB4">
        <w:rPr>
          <w:rFonts w:ascii="Times New Roman" w:eastAsia="Times New Roman" w:hAnsi="Times New Roman" w:cs="Times New Roman"/>
          <w:kern w:val="0"/>
          <w:sz w:val="24"/>
          <w:szCs w:val="24"/>
          <w:lang w:eastAsia="en-IN"/>
          <w14:ligatures w14:val="none"/>
        </w:rPr>
        <w:t xml:space="preserve"> The global glycinates market is valued at </w:t>
      </w:r>
      <w:r w:rsidRPr="00F44EB4">
        <w:rPr>
          <w:rFonts w:ascii="Times New Roman" w:eastAsia="Times New Roman" w:hAnsi="Times New Roman" w:cs="Times New Roman"/>
          <w:b/>
          <w:bCs/>
          <w:kern w:val="0"/>
          <w:sz w:val="24"/>
          <w:szCs w:val="24"/>
          <w:lang w:eastAsia="en-IN"/>
          <w14:ligatures w14:val="none"/>
        </w:rPr>
        <w:t>USD 987 million in 2024</w:t>
      </w:r>
      <w:r w:rsidRPr="00F44EB4">
        <w:rPr>
          <w:rFonts w:ascii="Times New Roman" w:eastAsia="Times New Roman" w:hAnsi="Times New Roman" w:cs="Times New Roman"/>
          <w:kern w:val="0"/>
          <w:sz w:val="24"/>
          <w:szCs w:val="24"/>
          <w:lang w:eastAsia="en-IN"/>
          <w14:ligatures w14:val="none"/>
        </w:rPr>
        <w:t>, reflecting its growing importance across nutrition, feed, and wellness industries.</w:t>
      </w:r>
    </w:p>
    <w:p w14:paraId="1E0D28E0" w14:textId="72C9FB85"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b/>
          <w:bCs/>
          <w:kern w:val="0"/>
          <w:sz w:val="24"/>
          <w:szCs w:val="24"/>
          <w:lang w:eastAsia="en-IN"/>
          <w14:ligatures w14:val="none"/>
        </w:rPr>
        <w:t>Q2. What is the projected CAGR for the glycinates market during 2024–2030?</w:t>
      </w:r>
      <w:r w:rsidRPr="00F44EB4">
        <w:rPr>
          <w:rFonts w:ascii="Times New Roman" w:eastAsia="Times New Roman" w:hAnsi="Times New Roman" w:cs="Times New Roman"/>
          <w:kern w:val="0"/>
          <w:sz w:val="24"/>
          <w:szCs w:val="24"/>
          <w:lang w:eastAsia="en-IN"/>
          <w14:ligatures w14:val="none"/>
        </w:rPr>
        <w:br/>
      </w:r>
      <w:r w:rsidRPr="00F44EB4">
        <w:rPr>
          <w:rFonts w:ascii="Times New Roman" w:eastAsia="Times New Roman" w:hAnsi="Times New Roman" w:cs="Times New Roman"/>
          <w:b/>
          <w:bCs/>
          <w:kern w:val="0"/>
          <w:sz w:val="24"/>
          <w:szCs w:val="24"/>
          <w:lang w:eastAsia="en-IN"/>
          <w14:ligatures w14:val="none"/>
        </w:rPr>
        <w:t>A2.</w:t>
      </w:r>
      <w:r w:rsidRPr="00F44EB4">
        <w:rPr>
          <w:rFonts w:ascii="Times New Roman" w:eastAsia="Times New Roman" w:hAnsi="Times New Roman" w:cs="Times New Roman"/>
          <w:kern w:val="0"/>
          <w:sz w:val="24"/>
          <w:szCs w:val="24"/>
          <w:lang w:eastAsia="en-IN"/>
          <w14:ligatures w14:val="none"/>
        </w:rPr>
        <w:t xml:space="preserve"> The market is expected to expand at a </w:t>
      </w:r>
      <w:r w:rsidRPr="00F44EB4">
        <w:rPr>
          <w:rFonts w:ascii="Times New Roman" w:eastAsia="Times New Roman" w:hAnsi="Times New Roman" w:cs="Times New Roman"/>
          <w:b/>
          <w:bCs/>
          <w:kern w:val="0"/>
          <w:sz w:val="24"/>
          <w:szCs w:val="24"/>
          <w:lang w:eastAsia="en-IN"/>
          <w14:ligatures w14:val="none"/>
        </w:rPr>
        <w:t xml:space="preserve">CAGR of </w:t>
      </w:r>
      <w:r w:rsidR="00B5785F">
        <w:rPr>
          <w:rFonts w:ascii="Times New Roman" w:eastAsia="Times New Roman" w:hAnsi="Times New Roman" w:cs="Times New Roman"/>
          <w:b/>
          <w:bCs/>
          <w:kern w:val="0"/>
          <w:sz w:val="24"/>
          <w:szCs w:val="24"/>
          <w:lang w:eastAsia="en-IN"/>
          <w14:ligatures w14:val="none"/>
        </w:rPr>
        <w:t>5.3%</w:t>
      </w:r>
      <w:r w:rsidRPr="00F44EB4">
        <w:rPr>
          <w:rFonts w:ascii="Times New Roman" w:eastAsia="Times New Roman" w:hAnsi="Times New Roman" w:cs="Times New Roman"/>
          <w:kern w:val="0"/>
          <w:sz w:val="24"/>
          <w:szCs w:val="24"/>
          <w:lang w:eastAsia="en-IN"/>
          <w14:ligatures w14:val="none"/>
        </w:rPr>
        <w:t xml:space="preserve"> from 2024 to 2030, driven by the increasing adoption of bioavailable mineral forms in both animal and human nutrition.</w:t>
      </w:r>
    </w:p>
    <w:p w14:paraId="79E5DBAF"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b/>
          <w:bCs/>
          <w:kern w:val="0"/>
          <w:sz w:val="24"/>
          <w:szCs w:val="24"/>
          <w:lang w:eastAsia="en-IN"/>
          <w14:ligatures w14:val="none"/>
        </w:rPr>
        <w:t>Q3. Which regions lead the global glycinates market?</w:t>
      </w:r>
      <w:r w:rsidRPr="00F44EB4">
        <w:rPr>
          <w:rFonts w:ascii="Times New Roman" w:eastAsia="Times New Roman" w:hAnsi="Times New Roman" w:cs="Times New Roman"/>
          <w:kern w:val="0"/>
          <w:sz w:val="24"/>
          <w:szCs w:val="24"/>
          <w:lang w:eastAsia="en-IN"/>
          <w14:ligatures w14:val="none"/>
        </w:rPr>
        <w:br/>
      </w:r>
      <w:r w:rsidRPr="00F44EB4">
        <w:rPr>
          <w:rFonts w:ascii="Times New Roman" w:eastAsia="Times New Roman" w:hAnsi="Times New Roman" w:cs="Times New Roman"/>
          <w:b/>
          <w:bCs/>
          <w:kern w:val="0"/>
          <w:sz w:val="24"/>
          <w:szCs w:val="24"/>
          <w:lang w:eastAsia="en-IN"/>
          <w14:ligatures w14:val="none"/>
        </w:rPr>
        <w:t>A3.</w:t>
      </w:r>
      <w:r w:rsidRPr="00F44EB4">
        <w:rPr>
          <w:rFonts w:ascii="Times New Roman" w:eastAsia="Times New Roman" w:hAnsi="Times New Roman" w:cs="Times New Roman"/>
          <w:kern w:val="0"/>
          <w:sz w:val="24"/>
          <w:szCs w:val="24"/>
          <w:lang w:eastAsia="en-IN"/>
          <w14:ligatures w14:val="none"/>
        </w:rPr>
        <w:t xml:space="preserve"> </w:t>
      </w:r>
      <w:r w:rsidRPr="00F44EB4">
        <w:rPr>
          <w:rFonts w:ascii="Times New Roman" w:eastAsia="Times New Roman" w:hAnsi="Times New Roman" w:cs="Times New Roman"/>
          <w:b/>
          <w:bCs/>
          <w:kern w:val="0"/>
          <w:sz w:val="24"/>
          <w:szCs w:val="24"/>
          <w:lang w:eastAsia="en-IN"/>
          <w14:ligatures w14:val="none"/>
        </w:rPr>
        <w:t>Asia-Pacific</w:t>
      </w:r>
      <w:r w:rsidRPr="00F44EB4">
        <w:rPr>
          <w:rFonts w:ascii="Times New Roman" w:eastAsia="Times New Roman" w:hAnsi="Times New Roman" w:cs="Times New Roman"/>
          <w:kern w:val="0"/>
          <w:sz w:val="24"/>
          <w:szCs w:val="24"/>
          <w:lang w:eastAsia="en-IN"/>
          <w14:ligatures w14:val="none"/>
        </w:rPr>
        <w:t xml:space="preserve"> dominates in production and consumption, while </w:t>
      </w:r>
      <w:r w:rsidRPr="00F44EB4">
        <w:rPr>
          <w:rFonts w:ascii="Times New Roman" w:eastAsia="Times New Roman" w:hAnsi="Times New Roman" w:cs="Times New Roman"/>
          <w:b/>
          <w:bCs/>
          <w:kern w:val="0"/>
          <w:sz w:val="24"/>
          <w:szCs w:val="24"/>
          <w:lang w:eastAsia="en-IN"/>
          <w14:ligatures w14:val="none"/>
        </w:rPr>
        <w:t>Europe</w:t>
      </w:r>
      <w:r w:rsidRPr="00F44EB4">
        <w:rPr>
          <w:rFonts w:ascii="Times New Roman" w:eastAsia="Times New Roman" w:hAnsi="Times New Roman" w:cs="Times New Roman"/>
          <w:kern w:val="0"/>
          <w:sz w:val="24"/>
          <w:szCs w:val="24"/>
          <w:lang w:eastAsia="en-IN"/>
          <w14:ligatures w14:val="none"/>
        </w:rPr>
        <w:t xml:space="preserve"> and </w:t>
      </w:r>
      <w:r w:rsidRPr="00F44EB4">
        <w:rPr>
          <w:rFonts w:ascii="Times New Roman" w:eastAsia="Times New Roman" w:hAnsi="Times New Roman" w:cs="Times New Roman"/>
          <w:b/>
          <w:bCs/>
          <w:kern w:val="0"/>
          <w:sz w:val="24"/>
          <w:szCs w:val="24"/>
          <w:lang w:eastAsia="en-IN"/>
          <w14:ligatures w14:val="none"/>
        </w:rPr>
        <w:t>North America</w:t>
      </w:r>
      <w:r w:rsidRPr="00F44EB4">
        <w:rPr>
          <w:rFonts w:ascii="Times New Roman" w:eastAsia="Times New Roman" w:hAnsi="Times New Roman" w:cs="Times New Roman"/>
          <w:kern w:val="0"/>
          <w:sz w:val="24"/>
          <w:szCs w:val="24"/>
          <w:lang w:eastAsia="en-IN"/>
          <w14:ligatures w14:val="none"/>
        </w:rPr>
        <w:t xml:space="preserve"> lead in technology innovation and regulatory compliance.</w:t>
      </w:r>
    </w:p>
    <w:p w14:paraId="0229BF44"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b/>
          <w:bCs/>
          <w:kern w:val="0"/>
          <w:sz w:val="24"/>
          <w:szCs w:val="24"/>
          <w:lang w:eastAsia="en-IN"/>
          <w14:ligatures w14:val="none"/>
        </w:rPr>
        <w:t>Q4. Who are the key players operating in the glycinates market?</w:t>
      </w:r>
      <w:r w:rsidRPr="00F44EB4">
        <w:rPr>
          <w:rFonts w:ascii="Times New Roman" w:eastAsia="Times New Roman" w:hAnsi="Times New Roman" w:cs="Times New Roman"/>
          <w:kern w:val="0"/>
          <w:sz w:val="24"/>
          <w:szCs w:val="24"/>
          <w:lang w:eastAsia="en-IN"/>
          <w14:ligatures w14:val="none"/>
        </w:rPr>
        <w:br/>
      </w:r>
      <w:r w:rsidRPr="00F44EB4">
        <w:rPr>
          <w:rFonts w:ascii="Times New Roman" w:eastAsia="Times New Roman" w:hAnsi="Times New Roman" w:cs="Times New Roman"/>
          <w:b/>
          <w:bCs/>
          <w:kern w:val="0"/>
          <w:sz w:val="24"/>
          <w:szCs w:val="24"/>
          <w:lang w:eastAsia="en-IN"/>
          <w14:ligatures w14:val="none"/>
        </w:rPr>
        <w:t>A4.</w:t>
      </w:r>
      <w:r w:rsidRPr="00F44EB4">
        <w:rPr>
          <w:rFonts w:ascii="Times New Roman" w:eastAsia="Times New Roman" w:hAnsi="Times New Roman" w:cs="Times New Roman"/>
          <w:kern w:val="0"/>
          <w:sz w:val="24"/>
          <w:szCs w:val="24"/>
          <w:lang w:eastAsia="en-IN"/>
          <w14:ligatures w14:val="none"/>
        </w:rPr>
        <w:t xml:space="preserve"> Prominent participants include </w:t>
      </w:r>
      <w:r w:rsidRPr="00F44EB4">
        <w:rPr>
          <w:rFonts w:ascii="Times New Roman" w:eastAsia="Times New Roman" w:hAnsi="Times New Roman" w:cs="Times New Roman"/>
          <w:b/>
          <w:bCs/>
          <w:kern w:val="0"/>
          <w:sz w:val="24"/>
          <w:szCs w:val="24"/>
          <w:lang w:eastAsia="en-IN"/>
          <w14:ligatures w14:val="none"/>
        </w:rPr>
        <w:t xml:space="preserve">BASF SE, </w:t>
      </w:r>
      <w:proofErr w:type="spellStart"/>
      <w:r w:rsidRPr="00F44EB4">
        <w:rPr>
          <w:rFonts w:ascii="Times New Roman" w:eastAsia="Times New Roman" w:hAnsi="Times New Roman" w:cs="Times New Roman"/>
          <w:b/>
          <w:bCs/>
          <w:kern w:val="0"/>
          <w:sz w:val="24"/>
          <w:szCs w:val="24"/>
          <w:lang w:eastAsia="en-IN"/>
          <w14:ligatures w14:val="none"/>
        </w:rPr>
        <w:t>Balchem</w:t>
      </w:r>
      <w:proofErr w:type="spellEnd"/>
      <w:r w:rsidRPr="00F44EB4">
        <w:rPr>
          <w:rFonts w:ascii="Times New Roman" w:eastAsia="Times New Roman" w:hAnsi="Times New Roman" w:cs="Times New Roman"/>
          <w:b/>
          <w:bCs/>
          <w:kern w:val="0"/>
          <w:sz w:val="24"/>
          <w:szCs w:val="24"/>
          <w:lang w:eastAsia="en-IN"/>
          <w14:ligatures w14:val="none"/>
        </w:rPr>
        <w:t xml:space="preserve"> Corporation, Clariant AG, Solvay S.A., Yara International ASA</w:t>
      </w:r>
      <w:r w:rsidRPr="00F44EB4">
        <w:rPr>
          <w:rFonts w:ascii="Times New Roman" w:eastAsia="Times New Roman" w:hAnsi="Times New Roman" w:cs="Times New Roman"/>
          <w:kern w:val="0"/>
          <w:sz w:val="24"/>
          <w:szCs w:val="24"/>
          <w:lang w:eastAsia="en-IN"/>
          <w14:ligatures w14:val="none"/>
        </w:rPr>
        <w:t xml:space="preserve">, and leading Asian manufacturers such as </w:t>
      </w:r>
      <w:r w:rsidRPr="00F44EB4">
        <w:rPr>
          <w:rFonts w:ascii="Times New Roman" w:eastAsia="Times New Roman" w:hAnsi="Times New Roman" w:cs="Times New Roman"/>
          <w:b/>
          <w:bCs/>
          <w:kern w:val="0"/>
          <w:sz w:val="24"/>
          <w:szCs w:val="24"/>
          <w:lang w:eastAsia="en-IN"/>
          <w14:ligatures w14:val="none"/>
        </w:rPr>
        <w:t xml:space="preserve">Shijiazhuang </w:t>
      </w:r>
      <w:proofErr w:type="spellStart"/>
      <w:r w:rsidRPr="00F44EB4">
        <w:rPr>
          <w:rFonts w:ascii="Times New Roman" w:eastAsia="Times New Roman" w:hAnsi="Times New Roman" w:cs="Times New Roman"/>
          <w:b/>
          <w:bCs/>
          <w:kern w:val="0"/>
          <w:sz w:val="24"/>
          <w:szCs w:val="24"/>
          <w:lang w:eastAsia="en-IN"/>
          <w14:ligatures w14:val="none"/>
        </w:rPr>
        <w:t>Donghua</w:t>
      </w:r>
      <w:proofErr w:type="spellEnd"/>
      <w:r w:rsidRPr="00F44EB4">
        <w:rPr>
          <w:rFonts w:ascii="Times New Roman" w:eastAsia="Times New Roman" w:hAnsi="Times New Roman" w:cs="Times New Roman"/>
          <w:b/>
          <w:bCs/>
          <w:kern w:val="0"/>
          <w:sz w:val="24"/>
          <w:szCs w:val="24"/>
          <w:lang w:eastAsia="en-IN"/>
          <w14:ligatures w14:val="none"/>
        </w:rPr>
        <w:t xml:space="preserve"> </w:t>
      </w:r>
      <w:proofErr w:type="spellStart"/>
      <w:r w:rsidRPr="00F44EB4">
        <w:rPr>
          <w:rFonts w:ascii="Times New Roman" w:eastAsia="Times New Roman" w:hAnsi="Times New Roman" w:cs="Times New Roman"/>
          <w:b/>
          <w:bCs/>
          <w:kern w:val="0"/>
          <w:sz w:val="24"/>
          <w:szCs w:val="24"/>
          <w:lang w:eastAsia="en-IN"/>
          <w14:ligatures w14:val="none"/>
        </w:rPr>
        <w:t>Jinlong</w:t>
      </w:r>
      <w:proofErr w:type="spellEnd"/>
      <w:r w:rsidRPr="00F44EB4">
        <w:rPr>
          <w:rFonts w:ascii="Times New Roman" w:eastAsia="Times New Roman" w:hAnsi="Times New Roman" w:cs="Times New Roman"/>
          <w:b/>
          <w:bCs/>
          <w:kern w:val="0"/>
          <w:sz w:val="24"/>
          <w:szCs w:val="24"/>
          <w:lang w:eastAsia="en-IN"/>
          <w14:ligatures w14:val="none"/>
        </w:rPr>
        <w:t xml:space="preserve"> Chemical</w:t>
      </w:r>
      <w:r w:rsidRPr="00F44EB4">
        <w:rPr>
          <w:rFonts w:ascii="Times New Roman" w:eastAsia="Times New Roman" w:hAnsi="Times New Roman" w:cs="Times New Roman"/>
          <w:kern w:val="0"/>
          <w:sz w:val="24"/>
          <w:szCs w:val="24"/>
          <w:lang w:eastAsia="en-IN"/>
          <w14:ligatures w14:val="none"/>
        </w:rPr>
        <w:t xml:space="preserve"> and </w:t>
      </w:r>
      <w:r w:rsidRPr="00F44EB4">
        <w:rPr>
          <w:rFonts w:ascii="Times New Roman" w:eastAsia="Times New Roman" w:hAnsi="Times New Roman" w:cs="Times New Roman"/>
          <w:b/>
          <w:bCs/>
          <w:kern w:val="0"/>
          <w:sz w:val="24"/>
          <w:szCs w:val="24"/>
          <w:lang w:eastAsia="en-IN"/>
          <w14:ligatures w14:val="none"/>
        </w:rPr>
        <w:t>Chaitanya Chemicals</w:t>
      </w:r>
      <w:r w:rsidRPr="00F44EB4">
        <w:rPr>
          <w:rFonts w:ascii="Times New Roman" w:eastAsia="Times New Roman" w:hAnsi="Times New Roman" w:cs="Times New Roman"/>
          <w:kern w:val="0"/>
          <w:sz w:val="24"/>
          <w:szCs w:val="24"/>
          <w:lang w:eastAsia="en-IN"/>
          <w14:ligatures w14:val="none"/>
        </w:rPr>
        <w:t>.</w:t>
      </w:r>
    </w:p>
    <w:p w14:paraId="169B3C64" w14:textId="77777777" w:rsidR="00F44EB4" w:rsidRPr="00F44EB4" w:rsidRDefault="00F44EB4" w:rsidP="00F44E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b/>
          <w:bCs/>
          <w:kern w:val="0"/>
          <w:sz w:val="24"/>
          <w:szCs w:val="24"/>
          <w:lang w:eastAsia="en-IN"/>
          <w14:ligatures w14:val="none"/>
        </w:rPr>
        <w:t>Q5. What factors are driving market growth?</w:t>
      </w:r>
      <w:r w:rsidRPr="00F44EB4">
        <w:rPr>
          <w:rFonts w:ascii="Times New Roman" w:eastAsia="Times New Roman" w:hAnsi="Times New Roman" w:cs="Times New Roman"/>
          <w:kern w:val="0"/>
          <w:sz w:val="24"/>
          <w:szCs w:val="24"/>
          <w:lang w:eastAsia="en-IN"/>
          <w14:ligatures w14:val="none"/>
        </w:rPr>
        <w:br/>
      </w:r>
      <w:r w:rsidRPr="00F44EB4">
        <w:rPr>
          <w:rFonts w:ascii="Times New Roman" w:eastAsia="Times New Roman" w:hAnsi="Times New Roman" w:cs="Times New Roman"/>
          <w:b/>
          <w:bCs/>
          <w:kern w:val="0"/>
          <w:sz w:val="24"/>
          <w:szCs w:val="24"/>
          <w:lang w:eastAsia="en-IN"/>
          <w14:ligatures w14:val="none"/>
        </w:rPr>
        <w:t>A5.</w:t>
      </w:r>
      <w:r w:rsidRPr="00F44EB4">
        <w:rPr>
          <w:rFonts w:ascii="Times New Roman" w:eastAsia="Times New Roman" w:hAnsi="Times New Roman" w:cs="Times New Roman"/>
          <w:kern w:val="0"/>
          <w:sz w:val="24"/>
          <w:szCs w:val="24"/>
          <w:lang w:eastAsia="en-IN"/>
          <w14:ligatures w14:val="none"/>
        </w:rPr>
        <w:t xml:space="preserve"> Key growth drivers include rising demand for chelated minerals in dietary supplements, regulatory pushes for sustainable feed additives, and the expansion of clean-label consumer health products worldwide.</w:t>
      </w:r>
    </w:p>
    <w:p w14:paraId="5C689402" w14:textId="77777777" w:rsidR="00F44EB4" w:rsidRPr="00F44EB4" w:rsidRDefault="00000000" w:rsidP="00F44EB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A9875E9">
          <v:rect id="_x0000_i1032" style="width:0;height:1.5pt" o:hralign="center" o:hrstd="t" o:hr="t" fillcolor="#a0a0a0" stroked="f"/>
        </w:pict>
      </w:r>
    </w:p>
    <w:p w14:paraId="3302ECBD" w14:textId="77777777" w:rsidR="00F44EB4" w:rsidRPr="00F44EB4" w:rsidRDefault="00F44EB4" w:rsidP="00F44EB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44EB4">
        <w:rPr>
          <w:rFonts w:ascii="Times New Roman" w:eastAsia="Times New Roman" w:hAnsi="Times New Roman" w:cs="Times New Roman"/>
          <w:b/>
          <w:bCs/>
          <w:kern w:val="0"/>
          <w:sz w:val="36"/>
          <w:szCs w:val="36"/>
          <w:lang w:eastAsia="en-IN"/>
          <w14:ligatures w14:val="none"/>
        </w:rPr>
        <w:t>C. JSON-LD SEO Schema</w:t>
      </w:r>
    </w:p>
    <w:p w14:paraId="1240EA9A" w14:textId="77777777" w:rsidR="00F44EB4" w:rsidRPr="00F44EB4" w:rsidRDefault="00F44EB4" w:rsidP="00F44EB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4EB4">
        <w:rPr>
          <w:rFonts w:ascii="Times New Roman" w:eastAsia="Times New Roman" w:hAnsi="Times New Roman" w:cs="Times New Roman"/>
          <w:b/>
          <w:bCs/>
          <w:kern w:val="0"/>
          <w:sz w:val="27"/>
          <w:szCs w:val="27"/>
          <w:lang w:eastAsia="en-IN"/>
          <w14:ligatures w14:val="none"/>
        </w:rPr>
        <w:t>1. Breadcrumb Schema</w:t>
      </w:r>
    </w:p>
    <w:p w14:paraId="5F74C48D" w14:textId="77777777" w:rsidR="00F44EB4" w:rsidRPr="00F44EB4" w:rsidRDefault="00F44EB4" w:rsidP="00F44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4EB4">
        <w:rPr>
          <w:rFonts w:ascii="Courier New" w:eastAsia="Times New Roman" w:hAnsi="Courier New" w:cs="Courier New"/>
          <w:kern w:val="0"/>
          <w:sz w:val="20"/>
          <w:szCs w:val="20"/>
          <w:lang w:eastAsia="en-IN"/>
          <w14:ligatures w14:val="none"/>
        </w:rPr>
        <w:t>{</w:t>
      </w:r>
    </w:p>
    <w:p w14:paraId="1DA52E51" w14:textId="77777777" w:rsidR="00F44EB4" w:rsidRPr="00F44EB4" w:rsidRDefault="00F44EB4" w:rsidP="00F44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4EB4">
        <w:rPr>
          <w:rFonts w:ascii="Courier New" w:eastAsia="Times New Roman" w:hAnsi="Courier New" w:cs="Courier New"/>
          <w:kern w:val="0"/>
          <w:sz w:val="20"/>
          <w:szCs w:val="20"/>
          <w:lang w:eastAsia="en-IN"/>
          <w14:ligatures w14:val="none"/>
        </w:rPr>
        <w:t xml:space="preserve">  "@context": "https://schema.org",</w:t>
      </w:r>
    </w:p>
    <w:p w14:paraId="64EE8BC7" w14:textId="77777777" w:rsidR="00F44EB4" w:rsidRPr="00F44EB4" w:rsidRDefault="00F44EB4" w:rsidP="00F44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4EB4">
        <w:rPr>
          <w:rFonts w:ascii="Courier New" w:eastAsia="Times New Roman" w:hAnsi="Courier New" w:cs="Courier New"/>
          <w:kern w:val="0"/>
          <w:sz w:val="20"/>
          <w:szCs w:val="20"/>
          <w:lang w:eastAsia="en-IN"/>
          <w14:ligatures w14:val="none"/>
        </w:rPr>
        <w:lastRenderedPageBreak/>
        <w:t xml:space="preserve">  "@type": "</w:t>
      </w:r>
      <w:proofErr w:type="spellStart"/>
      <w:r w:rsidRPr="00F44EB4">
        <w:rPr>
          <w:rFonts w:ascii="Courier New" w:eastAsia="Times New Roman" w:hAnsi="Courier New" w:cs="Courier New"/>
          <w:kern w:val="0"/>
          <w:sz w:val="20"/>
          <w:szCs w:val="20"/>
          <w:lang w:eastAsia="en-IN"/>
          <w14:ligatures w14:val="none"/>
        </w:rPr>
        <w:t>BreadcrumbList</w:t>
      </w:r>
      <w:proofErr w:type="spellEnd"/>
      <w:r w:rsidRPr="00F44EB4">
        <w:rPr>
          <w:rFonts w:ascii="Courier New" w:eastAsia="Times New Roman" w:hAnsi="Courier New" w:cs="Courier New"/>
          <w:kern w:val="0"/>
          <w:sz w:val="20"/>
          <w:szCs w:val="20"/>
          <w:lang w:eastAsia="en-IN"/>
          <w14:ligatures w14:val="none"/>
        </w:rPr>
        <w:t>",</w:t>
      </w:r>
    </w:p>
    <w:p w14:paraId="2E752D88" w14:textId="77777777" w:rsidR="00F44EB4" w:rsidRPr="00F44EB4" w:rsidRDefault="00F44EB4" w:rsidP="00F44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4EB4">
        <w:rPr>
          <w:rFonts w:ascii="Courier New" w:eastAsia="Times New Roman" w:hAnsi="Courier New" w:cs="Courier New"/>
          <w:kern w:val="0"/>
          <w:sz w:val="20"/>
          <w:szCs w:val="20"/>
          <w:lang w:eastAsia="en-IN"/>
          <w14:ligatures w14:val="none"/>
        </w:rPr>
        <w:t xml:space="preserve">  "</w:t>
      </w:r>
      <w:proofErr w:type="spellStart"/>
      <w:r w:rsidRPr="00F44EB4">
        <w:rPr>
          <w:rFonts w:ascii="Courier New" w:eastAsia="Times New Roman" w:hAnsi="Courier New" w:cs="Courier New"/>
          <w:kern w:val="0"/>
          <w:sz w:val="20"/>
          <w:szCs w:val="20"/>
          <w:lang w:eastAsia="en-IN"/>
          <w14:ligatures w14:val="none"/>
        </w:rPr>
        <w:t>itemListElement</w:t>
      </w:r>
      <w:proofErr w:type="spellEnd"/>
      <w:r w:rsidRPr="00F44EB4">
        <w:rPr>
          <w:rFonts w:ascii="Courier New" w:eastAsia="Times New Roman" w:hAnsi="Courier New" w:cs="Courier New"/>
          <w:kern w:val="0"/>
          <w:sz w:val="20"/>
          <w:szCs w:val="20"/>
          <w:lang w:eastAsia="en-IN"/>
          <w14:ligatures w14:val="none"/>
        </w:rPr>
        <w:t>": [</w:t>
      </w:r>
    </w:p>
    <w:p w14:paraId="606084E2" w14:textId="77777777" w:rsidR="00F44EB4" w:rsidRPr="00F44EB4" w:rsidRDefault="00F44EB4" w:rsidP="00F44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4EB4">
        <w:rPr>
          <w:rFonts w:ascii="Courier New" w:eastAsia="Times New Roman" w:hAnsi="Courier New" w:cs="Courier New"/>
          <w:kern w:val="0"/>
          <w:sz w:val="20"/>
          <w:szCs w:val="20"/>
          <w:lang w:eastAsia="en-IN"/>
          <w14:ligatures w14:val="none"/>
        </w:rPr>
        <w:t xml:space="preserve">    {</w:t>
      </w:r>
    </w:p>
    <w:p w14:paraId="71D6C111" w14:textId="77777777" w:rsidR="00F44EB4" w:rsidRPr="00F44EB4" w:rsidRDefault="00F44EB4" w:rsidP="00F44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4EB4">
        <w:rPr>
          <w:rFonts w:ascii="Courier New" w:eastAsia="Times New Roman" w:hAnsi="Courier New" w:cs="Courier New"/>
          <w:kern w:val="0"/>
          <w:sz w:val="20"/>
          <w:szCs w:val="20"/>
          <w:lang w:eastAsia="en-IN"/>
          <w14:ligatures w14:val="none"/>
        </w:rPr>
        <w:t xml:space="preserve">      "@type": "</w:t>
      </w:r>
      <w:proofErr w:type="spellStart"/>
      <w:r w:rsidRPr="00F44EB4">
        <w:rPr>
          <w:rFonts w:ascii="Courier New" w:eastAsia="Times New Roman" w:hAnsi="Courier New" w:cs="Courier New"/>
          <w:kern w:val="0"/>
          <w:sz w:val="20"/>
          <w:szCs w:val="20"/>
          <w:lang w:eastAsia="en-IN"/>
          <w14:ligatures w14:val="none"/>
        </w:rPr>
        <w:t>ListItem</w:t>
      </w:r>
      <w:proofErr w:type="spellEnd"/>
      <w:r w:rsidRPr="00F44EB4">
        <w:rPr>
          <w:rFonts w:ascii="Courier New" w:eastAsia="Times New Roman" w:hAnsi="Courier New" w:cs="Courier New"/>
          <w:kern w:val="0"/>
          <w:sz w:val="20"/>
          <w:szCs w:val="20"/>
          <w:lang w:eastAsia="en-IN"/>
          <w14:ligatures w14:val="none"/>
        </w:rPr>
        <w:t>",</w:t>
      </w:r>
    </w:p>
    <w:p w14:paraId="56B9A9C0" w14:textId="77777777" w:rsidR="00F44EB4" w:rsidRPr="00F44EB4" w:rsidRDefault="00F44EB4" w:rsidP="00F44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4EB4">
        <w:rPr>
          <w:rFonts w:ascii="Courier New" w:eastAsia="Times New Roman" w:hAnsi="Courier New" w:cs="Courier New"/>
          <w:kern w:val="0"/>
          <w:sz w:val="20"/>
          <w:szCs w:val="20"/>
          <w:lang w:eastAsia="en-IN"/>
          <w14:ligatures w14:val="none"/>
        </w:rPr>
        <w:t xml:space="preserve">      "position": 1,</w:t>
      </w:r>
    </w:p>
    <w:p w14:paraId="2BB21F44" w14:textId="77777777" w:rsidR="00F44EB4" w:rsidRPr="00F44EB4" w:rsidRDefault="00F44EB4" w:rsidP="00F44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4EB4">
        <w:rPr>
          <w:rFonts w:ascii="Courier New" w:eastAsia="Times New Roman" w:hAnsi="Courier New" w:cs="Courier New"/>
          <w:kern w:val="0"/>
          <w:sz w:val="20"/>
          <w:szCs w:val="20"/>
          <w:lang w:eastAsia="en-IN"/>
          <w14:ligatures w14:val="none"/>
        </w:rPr>
        <w:t xml:space="preserve">      "name": "Home",</w:t>
      </w:r>
    </w:p>
    <w:p w14:paraId="6B66387C" w14:textId="77777777" w:rsidR="00F44EB4" w:rsidRPr="00F44EB4" w:rsidRDefault="00F44EB4" w:rsidP="00F44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4EB4">
        <w:rPr>
          <w:rFonts w:ascii="Courier New" w:eastAsia="Times New Roman" w:hAnsi="Courier New" w:cs="Courier New"/>
          <w:kern w:val="0"/>
          <w:sz w:val="20"/>
          <w:szCs w:val="20"/>
          <w:lang w:eastAsia="en-IN"/>
          <w14:ligatures w14:val="none"/>
        </w:rPr>
        <w:t xml:space="preserve">      "item": "https://www.strategicmarketresearch.com/"</w:t>
      </w:r>
    </w:p>
    <w:p w14:paraId="4B91E382" w14:textId="77777777" w:rsidR="00F44EB4" w:rsidRPr="00F44EB4" w:rsidRDefault="00F44EB4" w:rsidP="00F44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4EB4">
        <w:rPr>
          <w:rFonts w:ascii="Courier New" w:eastAsia="Times New Roman" w:hAnsi="Courier New" w:cs="Courier New"/>
          <w:kern w:val="0"/>
          <w:sz w:val="20"/>
          <w:szCs w:val="20"/>
          <w:lang w:eastAsia="en-IN"/>
          <w14:ligatures w14:val="none"/>
        </w:rPr>
        <w:t xml:space="preserve">    },</w:t>
      </w:r>
    </w:p>
    <w:p w14:paraId="36D1D2CF" w14:textId="77777777" w:rsidR="00F44EB4" w:rsidRPr="00F44EB4" w:rsidRDefault="00F44EB4" w:rsidP="00F44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4EB4">
        <w:rPr>
          <w:rFonts w:ascii="Courier New" w:eastAsia="Times New Roman" w:hAnsi="Courier New" w:cs="Courier New"/>
          <w:kern w:val="0"/>
          <w:sz w:val="20"/>
          <w:szCs w:val="20"/>
          <w:lang w:eastAsia="en-IN"/>
          <w14:ligatures w14:val="none"/>
        </w:rPr>
        <w:t xml:space="preserve">    {</w:t>
      </w:r>
    </w:p>
    <w:p w14:paraId="2A912E36" w14:textId="77777777" w:rsidR="00F44EB4" w:rsidRPr="00F44EB4" w:rsidRDefault="00F44EB4" w:rsidP="00F44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4EB4">
        <w:rPr>
          <w:rFonts w:ascii="Courier New" w:eastAsia="Times New Roman" w:hAnsi="Courier New" w:cs="Courier New"/>
          <w:kern w:val="0"/>
          <w:sz w:val="20"/>
          <w:szCs w:val="20"/>
          <w:lang w:eastAsia="en-IN"/>
          <w14:ligatures w14:val="none"/>
        </w:rPr>
        <w:t xml:space="preserve">      "@type": "</w:t>
      </w:r>
      <w:proofErr w:type="spellStart"/>
      <w:r w:rsidRPr="00F44EB4">
        <w:rPr>
          <w:rFonts w:ascii="Courier New" w:eastAsia="Times New Roman" w:hAnsi="Courier New" w:cs="Courier New"/>
          <w:kern w:val="0"/>
          <w:sz w:val="20"/>
          <w:szCs w:val="20"/>
          <w:lang w:eastAsia="en-IN"/>
          <w14:ligatures w14:val="none"/>
        </w:rPr>
        <w:t>ListItem</w:t>
      </w:r>
      <w:proofErr w:type="spellEnd"/>
      <w:r w:rsidRPr="00F44EB4">
        <w:rPr>
          <w:rFonts w:ascii="Courier New" w:eastAsia="Times New Roman" w:hAnsi="Courier New" w:cs="Courier New"/>
          <w:kern w:val="0"/>
          <w:sz w:val="20"/>
          <w:szCs w:val="20"/>
          <w:lang w:eastAsia="en-IN"/>
          <w14:ligatures w14:val="none"/>
        </w:rPr>
        <w:t>",</w:t>
      </w:r>
    </w:p>
    <w:p w14:paraId="1EA68D62" w14:textId="77777777" w:rsidR="00F44EB4" w:rsidRPr="00F44EB4" w:rsidRDefault="00F44EB4" w:rsidP="00F44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4EB4">
        <w:rPr>
          <w:rFonts w:ascii="Courier New" w:eastAsia="Times New Roman" w:hAnsi="Courier New" w:cs="Courier New"/>
          <w:kern w:val="0"/>
          <w:sz w:val="20"/>
          <w:szCs w:val="20"/>
          <w:lang w:eastAsia="en-IN"/>
          <w14:ligatures w14:val="none"/>
        </w:rPr>
        <w:t xml:space="preserve">      "position": 2,</w:t>
      </w:r>
    </w:p>
    <w:p w14:paraId="768AB22E" w14:textId="1BF7474C" w:rsidR="00F44EB4" w:rsidRPr="00F44EB4" w:rsidRDefault="00F44EB4" w:rsidP="00F44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4EB4">
        <w:rPr>
          <w:rFonts w:ascii="Courier New" w:eastAsia="Times New Roman" w:hAnsi="Courier New" w:cs="Courier New"/>
          <w:kern w:val="0"/>
          <w:sz w:val="20"/>
          <w:szCs w:val="20"/>
          <w:lang w:eastAsia="en-IN"/>
          <w14:ligatures w14:val="none"/>
        </w:rPr>
        <w:t xml:space="preserve">      "name": "Specialty </w:t>
      </w:r>
      <w:proofErr w:type="gramStart"/>
      <w:r w:rsidRPr="00F44EB4">
        <w:rPr>
          <w:rFonts w:ascii="Courier New" w:eastAsia="Times New Roman" w:hAnsi="Courier New" w:cs="Courier New"/>
          <w:kern w:val="0"/>
          <w:sz w:val="20"/>
          <w:szCs w:val="20"/>
          <w:lang w:eastAsia="en-IN"/>
          <w14:ligatures w14:val="none"/>
        </w:rPr>
        <w:t>And</w:t>
      </w:r>
      <w:proofErr w:type="gramEnd"/>
      <w:r w:rsidRPr="00F44EB4">
        <w:rPr>
          <w:rFonts w:ascii="Courier New" w:eastAsia="Times New Roman" w:hAnsi="Courier New" w:cs="Courier New"/>
          <w:kern w:val="0"/>
          <w:sz w:val="20"/>
          <w:szCs w:val="20"/>
          <w:lang w:eastAsia="en-IN"/>
          <w14:ligatures w14:val="none"/>
        </w:rPr>
        <w:t xml:space="preserve"> Bio-based Polymers",</w:t>
      </w:r>
    </w:p>
    <w:p w14:paraId="41E276C9" w14:textId="1CC72BF8" w:rsidR="00F44EB4" w:rsidRPr="00F44EB4" w:rsidRDefault="00F44EB4" w:rsidP="00F44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4EB4">
        <w:rPr>
          <w:rFonts w:ascii="Courier New" w:eastAsia="Times New Roman" w:hAnsi="Courier New" w:cs="Courier New"/>
          <w:kern w:val="0"/>
          <w:sz w:val="20"/>
          <w:szCs w:val="20"/>
          <w:lang w:eastAsia="en-IN"/>
          <w14:ligatures w14:val="none"/>
        </w:rPr>
        <w:t xml:space="preserve">      "item": "https://www.strategicmarketresearch.com/report/specialty-and-bio-based-polymers"</w:t>
      </w:r>
    </w:p>
    <w:p w14:paraId="27F3E266" w14:textId="77777777" w:rsidR="00F44EB4" w:rsidRPr="00F44EB4" w:rsidRDefault="00F44EB4" w:rsidP="00F44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4EB4">
        <w:rPr>
          <w:rFonts w:ascii="Courier New" w:eastAsia="Times New Roman" w:hAnsi="Courier New" w:cs="Courier New"/>
          <w:kern w:val="0"/>
          <w:sz w:val="20"/>
          <w:szCs w:val="20"/>
          <w:lang w:eastAsia="en-IN"/>
          <w14:ligatures w14:val="none"/>
        </w:rPr>
        <w:t xml:space="preserve">    },</w:t>
      </w:r>
    </w:p>
    <w:p w14:paraId="524133AD" w14:textId="77777777" w:rsidR="00F44EB4" w:rsidRPr="00F44EB4" w:rsidRDefault="00F44EB4" w:rsidP="00F44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4EB4">
        <w:rPr>
          <w:rFonts w:ascii="Courier New" w:eastAsia="Times New Roman" w:hAnsi="Courier New" w:cs="Courier New"/>
          <w:kern w:val="0"/>
          <w:sz w:val="20"/>
          <w:szCs w:val="20"/>
          <w:lang w:eastAsia="en-IN"/>
          <w14:ligatures w14:val="none"/>
        </w:rPr>
        <w:t xml:space="preserve">    {</w:t>
      </w:r>
    </w:p>
    <w:p w14:paraId="2A685EC6" w14:textId="77777777" w:rsidR="00F44EB4" w:rsidRPr="00F44EB4" w:rsidRDefault="00F44EB4" w:rsidP="00F44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4EB4">
        <w:rPr>
          <w:rFonts w:ascii="Courier New" w:eastAsia="Times New Roman" w:hAnsi="Courier New" w:cs="Courier New"/>
          <w:kern w:val="0"/>
          <w:sz w:val="20"/>
          <w:szCs w:val="20"/>
          <w:lang w:eastAsia="en-IN"/>
          <w14:ligatures w14:val="none"/>
        </w:rPr>
        <w:t xml:space="preserve">      "@type": "</w:t>
      </w:r>
      <w:proofErr w:type="spellStart"/>
      <w:r w:rsidRPr="00F44EB4">
        <w:rPr>
          <w:rFonts w:ascii="Courier New" w:eastAsia="Times New Roman" w:hAnsi="Courier New" w:cs="Courier New"/>
          <w:kern w:val="0"/>
          <w:sz w:val="20"/>
          <w:szCs w:val="20"/>
          <w:lang w:eastAsia="en-IN"/>
          <w14:ligatures w14:val="none"/>
        </w:rPr>
        <w:t>ListItem</w:t>
      </w:r>
      <w:proofErr w:type="spellEnd"/>
      <w:r w:rsidRPr="00F44EB4">
        <w:rPr>
          <w:rFonts w:ascii="Courier New" w:eastAsia="Times New Roman" w:hAnsi="Courier New" w:cs="Courier New"/>
          <w:kern w:val="0"/>
          <w:sz w:val="20"/>
          <w:szCs w:val="20"/>
          <w:lang w:eastAsia="en-IN"/>
          <w14:ligatures w14:val="none"/>
        </w:rPr>
        <w:t>",</w:t>
      </w:r>
    </w:p>
    <w:p w14:paraId="01088D21" w14:textId="77777777" w:rsidR="00F44EB4" w:rsidRPr="00F44EB4" w:rsidRDefault="00F44EB4" w:rsidP="00F44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4EB4">
        <w:rPr>
          <w:rFonts w:ascii="Courier New" w:eastAsia="Times New Roman" w:hAnsi="Courier New" w:cs="Courier New"/>
          <w:kern w:val="0"/>
          <w:sz w:val="20"/>
          <w:szCs w:val="20"/>
          <w:lang w:eastAsia="en-IN"/>
          <w14:ligatures w14:val="none"/>
        </w:rPr>
        <w:t xml:space="preserve">      "position": 3,</w:t>
      </w:r>
    </w:p>
    <w:p w14:paraId="401ACB22" w14:textId="77777777" w:rsidR="00F44EB4" w:rsidRPr="00F44EB4" w:rsidRDefault="00F44EB4" w:rsidP="00F44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4EB4">
        <w:rPr>
          <w:rFonts w:ascii="Courier New" w:eastAsia="Times New Roman" w:hAnsi="Courier New" w:cs="Courier New"/>
          <w:kern w:val="0"/>
          <w:sz w:val="20"/>
          <w:szCs w:val="20"/>
          <w:lang w:eastAsia="en-IN"/>
          <w14:ligatures w14:val="none"/>
        </w:rPr>
        <w:t xml:space="preserve">      "name": "Glycinates Market Report 2030",</w:t>
      </w:r>
    </w:p>
    <w:p w14:paraId="5EEFAE45" w14:textId="77777777" w:rsidR="00F44EB4" w:rsidRPr="00F44EB4" w:rsidRDefault="00F44EB4" w:rsidP="00F44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4EB4">
        <w:rPr>
          <w:rFonts w:ascii="Courier New" w:eastAsia="Times New Roman" w:hAnsi="Courier New" w:cs="Courier New"/>
          <w:kern w:val="0"/>
          <w:sz w:val="20"/>
          <w:szCs w:val="20"/>
          <w:lang w:eastAsia="en-IN"/>
          <w14:ligatures w14:val="none"/>
        </w:rPr>
        <w:t xml:space="preserve">      "item": "https://www.strategicmarketresearch.com/market-report/glycinates-market"</w:t>
      </w:r>
    </w:p>
    <w:p w14:paraId="2BFD66FB" w14:textId="77777777" w:rsidR="00F44EB4" w:rsidRPr="00F44EB4" w:rsidRDefault="00F44EB4" w:rsidP="00F44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4EB4">
        <w:rPr>
          <w:rFonts w:ascii="Courier New" w:eastAsia="Times New Roman" w:hAnsi="Courier New" w:cs="Courier New"/>
          <w:kern w:val="0"/>
          <w:sz w:val="20"/>
          <w:szCs w:val="20"/>
          <w:lang w:eastAsia="en-IN"/>
          <w14:ligatures w14:val="none"/>
        </w:rPr>
        <w:t xml:space="preserve">    }</w:t>
      </w:r>
    </w:p>
    <w:p w14:paraId="336483D3" w14:textId="77777777" w:rsidR="00F44EB4" w:rsidRPr="00F44EB4" w:rsidRDefault="00F44EB4" w:rsidP="00F44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4EB4">
        <w:rPr>
          <w:rFonts w:ascii="Courier New" w:eastAsia="Times New Roman" w:hAnsi="Courier New" w:cs="Courier New"/>
          <w:kern w:val="0"/>
          <w:sz w:val="20"/>
          <w:szCs w:val="20"/>
          <w:lang w:eastAsia="en-IN"/>
          <w14:ligatures w14:val="none"/>
        </w:rPr>
        <w:t xml:space="preserve">  ]</w:t>
      </w:r>
    </w:p>
    <w:p w14:paraId="32220AEC" w14:textId="77777777" w:rsidR="00F44EB4" w:rsidRPr="00F44EB4" w:rsidRDefault="00F44EB4" w:rsidP="00F44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4EB4">
        <w:rPr>
          <w:rFonts w:ascii="Courier New" w:eastAsia="Times New Roman" w:hAnsi="Courier New" w:cs="Courier New"/>
          <w:kern w:val="0"/>
          <w:sz w:val="20"/>
          <w:szCs w:val="20"/>
          <w:lang w:eastAsia="en-IN"/>
          <w14:ligatures w14:val="none"/>
        </w:rPr>
        <w:t>}</w:t>
      </w:r>
    </w:p>
    <w:p w14:paraId="5F09CE55" w14:textId="77777777" w:rsidR="00F44EB4" w:rsidRPr="00F44EB4" w:rsidRDefault="00000000" w:rsidP="00F44EB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5F01D2C">
          <v:rect id="_x0000_i1033" style="width:0;height:1.5pt" o:hralign="center" o:hrstd="t" o:hr="t" fillcolor="#a0a0a0" stroked="f"/>
        </w:pict>
      </w:r>
    </w:p>
    <w:p w14:paraId="163D817A" w14:textId="77777777" w:rsidR="00F44EB4" w:rsidRPr="00F44EB4" w:rsidRDefault="00F44EB4" w:rsidP="00F44EB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4EB4">
        <w:rPr>
          <w:rFonts w:ascii="Times New Roman" w:eastAsia="Times New Roman" w:hAnsi="Times New Roman" w:cs="Times New Roman"/>
          <w:b/>
          <w:bCs/>
          <w:kern w:val="0"/>
          <w:sz w:val="27"/>
          <w:szCs w:val="27"/>
          <w:lang w:eastAsia="en-IN"/>
          <w14:ligatures w14:val="none"/>
        </w:rPr>
        <w:t>2. FAQ Schema</w:t>
      </w:r>
    </w:p>
    <w:p w14:paraId="509CDCB1" w14:textId="77777777" w:rsidR="00F44EB4" w:rsidRPr="00F44EB4" w:rsidRDefault="00F44EB4" w:rsidP="00F44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4EB4">
        <w:rPr>
          <w:rFonts w:ascii="Courier New" w:eastAsia="Times New Roman" w:hAnsi="Courier New" w:cs="Courier New"/>
          <w:kern w:val="0"/>
          <w:sz w:val="20"/>
          <w:szCs w:val="20"/>
          <w:lang w:eastAsia="en-IN"/>
          <w14:ligatures w14:val="none"/>
        </w:rPr>
        <w:t>{</w:t>
      </w:r>
    </w:p>
    <w:p w14:paraId="2CCB550F" w14:textId="77777777" w:rsidR="00F44EB4" w:rsidRPr="00F44EB4" w:rsidRDefault="00F44EB4" w:rsidP="00F44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4EB4">
        <w:rPr>
          <w:rFonts w:ascii="Courier New" w:eastAsia="Times New Roman" w:hAnsi="Courier New" w:cs="Courier New"/>
          <w:kern w:val="0"/>
          <w:sz w:val="20"/>
          <w:szCs w:val="20"/>
          <w:lang w:eastAsia="en-IN"/>
          <w14:ligatures w14:val="none"/>
        </w:rPr>
        <w:t xml:space="preserve">  "@context": "https://schema.org",</w:t>
      </w:r>
    </w:p>
    <w:p w14:paraId="0F8AE35D" w14:textId="77777777" w:rsidR="00F44EB4" w:rsidRPr="00F44EB4" w:rsidRDefault="00F44EB4" w:rsidP="00F44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4EB4">
        <w:rPr>
          <w:rFonts w:ascii="Courier New" w:eastAsia="Times New Roman" w:hAnsi="Courier New" w:cs="Courier New"/>
          <w:kern w:val="0"/>
          <w:sz w:val="20"/>
          <w:szCs w:val="20"/>
          <w:lang w:eastAsia="en-IN"/>
          <w14:ligatures w14:val="none"/>
        </w:rPr>
        <w:t xml:space="preserve">  "@type": "</w:t>
      </w:r>
      <w:proofErr w:type="spellStart"/>
      <w:r w:rsidRPr="00F44EB4">
        <w:rPr>
          <w:rFonts w:ascii="Courier New" w:eastAsia="Times New Roman" w:hAnsi="Courier New" w:cs="Courier New"/>
          <w:kern w:val="0"/>
          <w:sz w:val="20"/>
          <w:szCs w:val="20"/>
          <w:lang w:eastAsia="en-IN"/>
          <w14:ligatures w14:val="none"/>
        </w:rPr>
        <w:t>FAQPage</w:t>
      </w:r>
      <w:proofErr w:type="spellEnd"/>
      <w:r w:rsidRPr="00F44EB4">
        <w:rPr>
          <w:rFonts w:ascii="Courier New" w:eastAsia="Times New Roman" w:hAnsi="Courier New" w:cs="Courier New"/>
          <w:kern w:val="0"/>
          <w:sz w:val="20"/>
          <w:szCs w:val="20"/>
          <w:lang w:eastAsia="en-IN"/>
          <w14:ligatures w14:val="none"/>
        </w:rPr>
        <w:t>",</w:t>
      </w:r>
    </w:p>
    <w:p w14:paraId="5E412220" w14:textId="77777777" w:rsidR="00F44EB4" w:rsidRPr="00F44EB4" w:rsidRDefault="00F44EB4" w:rsidP="00F44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4EB4">
        <w:rPr>
          <w:rFonts w:ascii="Courier New" w:eastAsia="Times New Roman" w:hAnsi="Courier New" w:cs="Courier New"/>
          <w:kern w:val="0"/>
          <w:sz w:val="20"/>
          <w:szCs w:val="20"/>
          <w:lang w:eastAsia="en-IN"/>
          <w14:ligatures w14:val="none"/>
        </w:rPr>
        <w:t xml:space="preserve">  "</w:t>
      </w:r>
      <w:proofErr w:type="spellStart"/>
      <w:r w:rsidRPr="00F44EB4">
        <w:rPr>
          <w:rFonts w:ascii="Courier New" w:eastAsia="Times New Roman" w:hAnsi="Courier New" w:cs="Courier New"/>
          <w:kern w:val="0"/>
          <w:sz w:val="20"/>
          <w:szCs w:val="20"/>
          <w:lang w:eastAsia="en-IN"/>
          <w14:ligatures w14:val="none"/>
        </w:rPr>
        <w:t>mainEntity</w:t>
      </w:r>
      <w:proofErr w:type="spellEnd"/>
      <w:r w:rsidRPr="00F44EB4">
        <w:rPr>
          <w:rFonts w:ascii="Courier New" w:eastAsia="Times New Roman" w:hAnsi="Courier New" w:cs="Courier New"/>
          <w:kern w:val="0"/>
          <w:sz w:val="20"/>
          <w:szCs w:val="20"/>
          <w:lang w:eastAsia="en-IN"/>
          <w14:ligatures w14:val="none"/>
        </w:rPr>
        <w:t>": [</w:t>
      </w:r>
    </w:p>
    <w:p w14:paraId="03C72070" w14:textId="77777777" w:rsidR="00F44EB4" w:rsidRPr="00F44EB4" w:rsidRDefault="00F44EB4" w:rsidP="00F44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4EB4">
        <w:rPr>
          <w:rFonts w:ascii="Courier New" w:eastAsia="Times New Roman" w:hAnsi="Courier New" w:cs="Courier New"/>
          <w:kern w:val="0"/>
          <w:sz w:val="20"/>
          <w:szCs w:val="20"/>
          <w:lang w:eastAsia="en-IN"/>
          <w14:ligatures w14:val="none"/>
        </w:rPr>
        <w:t xml:space="preserve">    {</w:t>
      </w:r>
    </w:p>
    <w:p w14:paraId="09341101" w14:textId="77777777" w:rsidR="00F44EB4" w:rsidRPr="00F44EB4" w:rsidRDefault="00F44EB4" w:rsidP="00F44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4EB4">
        <w:rPr>
          <w:rFonts w:ascii="Courier New" w:eastAsia="Times New Roman" w:hAnsi="Courier New" w:cs="Courier New"/>
          <w:kern w:val="0"/>
          <w:sz w:val="20"/>
          <w:szCs w:val="20"/>
          <w:lang w:eastAsia="en-IN"/>
          <w14:ligatures w14:val="none"/>
        </w:rPr>
        <w:t xml:space="preserve">      "@type": "Question",</w:t>
      </w:r>
    </w:p>
    <w:p w14:paraId="2D7CFC33" w14:textId="77777777" w:rsidR="00F44EB4" w:rsidRPr="00F44EB4" w:rsidRDefault="00F44EB4" w:rsidP="00F44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4EB4">
        <w:rPr>
          <w:rFonts w:ascii="Courier New" w:eastAsia="Times New Roman" w:hAnsi="Courier New" w:cs="Courier New"/>
          <w:kern w:val="0"/>
          <w:sz w:val="20"/>
          <w:szCs w:val="20"/>
          <w:lang w:eastAsia="en-IN"/>
          <w14:ligatures w14:val="none"/>
        </w:rPr>
        <w:t xml:space="preserve">      "name": "How big is the glycinates market in 2024?",</w:t>
      </w:r>
    </w:p>
    <w:p w14:paraId="2EE40A25" w14:textId="77777777" w:rsidR="00F44EB4" w:rsidRPr="00F44EB4" w:rsidRDefault="00F44EB4" w:rsidP="00F44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4EB4">
        <w:rPr>
          <w:rFonts w:ascii="Courier New" w:eastAsia="Times New Roman" w:hAnsi="Courier New" w:cs="Courier New"/>
          <w:kern w:val="0"/>
          <w:sz w:val="20"/>
          <w:szCs w:val="20"/>
          <w:lang w:eastAsia="en-IN"/>
          <w14:ligatures w14:val="none"/>
        </w:rPr>
        <w:t xml:space="preserve">      "</w:t>
      </w:r>
      <w:proofErr w:type="spellStart"/>
      <w:r w:rsidRPr="00F44EB4">
        <w:rPr>
          <w:rFonts w:ascii="Courier New" w:eastAsia="Times New Roman" w:hAnsi="Courier New" w:cs="Courier New"/>
          <w:kern w:val="0"/>
          <w:sz w:val="20"/>
          <w:szCs w:val="20"/>
          <w:lang w:eastAsia="en-IN"/>
          <w14:ligatures w14:val="none"/>
        </w:rPr>
        <w:t>acceptedAnswer</w:t>
      </w:r>
      <w:proofErr w:type="spellEnd"/>
      <w:r w:rsidRPr="00F44EB4">
        <w:rPr>
          <w:rFonts w:ascii="Courier New" w:eastAsia="Times New Roman" w:hAnsi="Courier New" w:cs="Courier New"/>
          <w:kern w:val="0"/>
          <w:sz w:val="20"/>
          <w:szCs w:val="20"/>
          <w:lang w:eastAsia="en-IN"/>
          <w14:ligatures w14:val="none"/>
        </w:rPr>
        <w:t>": {</w:t>
      </w:r>
    </w:p>
    <w:p w14:paraId="7D65EA34" w14:textId="77777777" w:rsidR="00F44EB4" w:rsidRPr="00F44EB4" w:rsidRDefault="00F44EB4" w:rsidP="00F44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4EB4">
        <w:rPr>
          <w:rFonts w:ascii="Courier New" w:eastAsia="Times New Roman" w:hAnsi="Courier New" w:cs="Courier New"/>
          <w:kern w:val="0"/>
          <w:sz w:val="20"/>
          <w:szCs w:val="20"/>
          <w:lang w:eastAsia="en-IN"/>
          <w14:ligatures w14:val="none"/>
        </w:rPr>
        <w:t xml:space="preserve">        "@type": "Answer",</w:t>
      </w:r>
    </w:p>
    <w:p w14:paraId="49D6D902" w14:textId="2BB70B42" w:rsidR="00F44EB4" w:rsidRPr="00F44EB4" w:rsidRDefault="00F44EB4" w:rsidP="00F44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4EB4">
        <w:rPr>
          <w:rFonts w:ascii="Courier New" w:eastAsia="Times New Roman" w:hAnsi="Courier New" w:cs="Courier New"/>
          <w:kern w:val="0"/>
          <w:sz w:val="20"/>
          <w:szCs w:val="20"/>
          <w:lang w:eastAsia="en-IN"/>
          <w14:ligatures w14:val="none"/>
        </w:rPr>
        <w:t xml:space="preserve">        "text": "The global glycinates market is valued at USD 987 million in 2024, reflecting its growing importance across nutrition, feed, and wellness industries."</w:t>
      </w:r>
    </w:p>
    <w:p w14:paraId="524FEEFA" w14:textId="77777777" w:rsidR="00F44EB4" w:rsidRPr="00F44EB4" w:rsidRDefault="00F44EB4" w:rsidP="00F44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4EB4">
        <w:rPr>
          <w:rFonts w:ascii="Courier New" w:eastAsia="Times New Roman" w:hAnsi="Courier New" w:cs="Courier New"/>
          <w:kern w:val="0"/>
          <w:sz w:val="20"/>
          <w:szCs w:val="20"/>
          <w:lang w:eastAsia="en-IN"/>
          <w14:ligatures w14:val="none"/>
        </w:rPr>
        <w:t xml:space="preserve">      }</w:t>
      </w:r>
    </w:p>
    <w:p w14:paraId="5F8FD113" w14:textId="77777777" w:rsidR="00F44EB4" w:rsidRPr="00F44EB4" w:rsidRDefault="00F44EB4" w:rsidP="00F44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4EB4">
        <w:rPr>
          <w:rFonts w:ascii="Courier New" w:eastAsia="Times New Roman" w:hAnsi="Courier New" w:cs="Courier New"/>
          <w:kern w:val="0"/>
          <w:sz w:val="20"/>
          <w:szCs w:val="20"/>
          <w:lang w:eastAsia="en-IN"/>
          <w14:ligatures w14:val="none"/>
        </w:rPr>
        <w:t xml:space="preserve">    },</w:t>
      </w:r>
    </w:p>
    <w:p w14:paraId="2B54A117" w14:textId="77777777" w:rsidR="00F44EB4" w:rsidRPr="00F44EB4" w:rsidRDefault="00F44EB4" w:rsidP="00F44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4EB4">
        <w:rPr>
          <w:rFonts w:ascii="Courier New" w:eastAsia="Times New Roman" w:hAnsi="Courier New" w:cs="Courier New"/>
          <w:kern w:val="0"/>
          <w:sz w:val="20"/>
          <w:szCs w:val="20"/>
          <w:lang w:eastAsia="en-IN"/>
          <w14:ligatures w14:val="none"/>
        </w:rPr>
        <w:t xml:space="preserve">    {</w:t>
      </w:r>
    </w:p>
    <w:p w14:paraId="68B4CB5E" w14:textId="77777777" w:rsidR="00F44EB4" w:rsidRPr="00F44EB4" w:rsidRDefault="00F44EB4" w:rsidP="00F44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4EB4">
        <w:rPr>
          <w:rFonts w:ascii="Courier New" w:eastAsia="Times New Roman" w:hAnsi="Courier New" w:cs="Courier New"/>
          <w:kern w:val="0"/>
          <w:sz w:val="20"/>
          <w:szCs w:val="20"/>
          <w:lang w:eastAsia="en-IN"/>
          <w14:ligatures w14:val="none"/>
        </w:rPr>
        <w:t xml:space="preserve">      "@type": "Question",</w:t>
      </w:r>
    </w:p>
    <w:p w14:paraId="7AEAB115" w14:textId="77777777" w:rsidR="00F44EB4" w:rsidRPr="00F44EB4" w:rsidRDefault="00F44EB4" w:rsidP="00F44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4EB4">
        <w:rPr>
          <w:rFonts w:ascii="Courier New" w:eastAsia="Times New Roman" w:hAnsi="Courier New" w:cs="Courier New"/>
          <w:kern w:val="0"/>
          <w:sz w:val="20"/>
          <w:szCs w:val="20"/>
          <w:lang w:eastAsia="en-IN"/>
          <w14:ligatures w14:val="none"/>
        </w:rPr>
        <w:t xml:space="preserve">      "name": "What is the projected CAGR for the glycinates market during 2024–2030?",</w:t>
      </w:r>
    </w:p>
    <w:p w14:paraId="18986DF7" w14:textId="77777777" w:rsidR="00F44EB4" w:rsidRPr="00F44EB4" w:rsidRDefault="00F44EB4" w:rsidP="00F44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4EB4">
        <w:rPr>
          <w:rFonts w:ascii="Courier New" w:eastAsia="Times New Roman" w:hAnsi="Courier New" w:cs="Courier New"/>
          <w:kern w:val="0"/>
          <w:sz w:val="20"/>
          <w:szCs w:val="20"/>
          <w:lang w:eastAsia="en-IN"/>
          <w14:ligatures w14:val="none"/>
        </w:rPr>
        <w:t xml:space="preserve">      "</w:t>
      </w:r>
      <w:proofErr w:type="spellStart"/>
      <w:r w:rsidRPr="00F44EB4">
        <w:rPr>
          <w:rFonts w:ascii="Courier New" w:eastAsia="Times New Roman" w:hAnsi="Courier New" w:cs="Courier New"/>
          <w:kern w:val="0"/>
          <w:sz w:val="20"/>
          <w:szCs w:val="20"/>
          <w:lang w:eastAsia="en-IN"/>
          <w14:ligatures w14:val="none"/>
        </w:rPr>
        <w:t>acceptedAnswer</w:t>
      </w:r>
      <w:proofErr w:type="spellEnd"/>
      <w:r w:rsidRPr="00F44EB4">
        <w:rPr>
          <w:rFonts w:ascii="Courier New" w:eastAsia="Times New Roman" w:hAnsi="Courier New" w:cs="Courier New"/>
          <w:kern w:val="0"/>
          <w:sz w:val="20"/>
          <w:szCs w:val="20"/>
          <w:lang w:eastAsia="en-IN"/>
          <w14:ligatures w14:val="none"/>
        </w:rPr>
        <w:t>": {</w:t>
      </w:r>
    </w:p>
    <w:p w14:paraId="2ABF4F9C" w14:textId="77777777" w:rsidR="00F44EB4" w:rsidRPr="00F44EB4" w:rsidRDefault="00F44EB4" w:rsidP="00F44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4EB4">
        <w:rPr>
          <w:rFonts w:ascii="Courier New" w:eastAsia="Times New Roman" w:hAnsi="Courier New" w:cs="Courier New"/>
          <w:kern w:val="0"/>
          <w:sz w:val="20"/>
          <w:szCs w:val="20"/>
          <w:lang w:eastAsia="en-IN"/>
          <w14:ligatures w14:val="none"/>
        </w:rPr>
        <w:t xml:space="preserve">        "@type": "Answer",</w:t>
      </w:r>
    </w:p>
    <w:p w14:paraId="085DD3F7" w14:textId="5950F71A" w:rsidR="00F44EB4" w:rsidRPr="00F44EB4" w:rsidRDefault="00F44EB4" w:rsidP="00F44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4EB4">
        <w:rPr>
          <w:rFonts w:ascii="Courier New" w:eastAsia="Times New Roman" w:hAnsi="Courier New" w:cs="Courier New"/>
          <w:kern w:val="0"/>
          <w:sz w:val="20"/>
          <w:szCs w:val="20"/>
          <w:lang w:eastAsia="en-IN"/>
          <w14:ligatures w14:val="none"/>
        </w:rPr>
        <w:t xml:space="preserve">        "text": "The market is expected to expand at a CAGR of </w:t>
      </w:r>
      <w:r w:rsidR="00B5785F">
        <w:rPr>
          <w:rFonts w:ascii="Courier New" w:eastAsia="Times New Roman" w:hAnsi="Courier New" w:cs="Courier New"/>
          <w:kern w:val="0"/>
          <w:sz w:val="20"/>
          <w:szCs w:val="20"/>
          <w:lang w:eastAsia="en-IN"/>
          <w14:ligatures w14:val="none"/>
        </w:rPr>
        <w:t>5.3%</w:t>
      </w:r>
      <w:r w:rsidRPr="00F44EB4">
        <w:rPr>
          <w:rFonts w:ascii="Courier New" w:eastAsia="Times New Roman" w:hAnsi="Courier New" w:cs="Courier New"/>
          <w:kern w:val="0"/>
          <w:sz w:val="20"/>
          <w:szCs w:val="20"/>
          <w:lang w:eastAsia="en-IN"/>
          <w14:ligatures w14:val="none"/>
        </w:rPr>
        <w:t xml:space="preserve"> from 2024 to 2030, driven by the increasing adoption of bioavailable mineral forms in both animal and human nutrition."</w:t>
      </w:r>
    </w:p>
    <w:p w14:paraId="1299585D" w14:textId="77777777" w:rsidR="00F44EB4" w:rsidRPr="00F44EB4" w:rsidRDefault="00F44EB4" w:rsidP="00F44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4EB4">
        <w:rPr>
          <w:rFonts w:ascii="Courier New" w:eastAsia="Times New Roman" w:hAnsi="Courier New" w:cs="Courier New"/>
          <w:kern w:val="0"/>
          <w:sz w:val="20"/>
          <w:szCs w:val="20"/>
          <w:lang w:eastAsia="en-IN"/>
          <w14:ligatures w14:val="none"/>
        </w:rPr>
        <w:t xml:space="preserve">      }</w:t>
      </w:r>
    </w:p>
    <w:p w14:paraId="1FDFB304" w14:textId="77777777" w:rsidR="00F44EB4" w:rsidRPr="00F44EB4" w:rsidRDefault="00F44EB4" w:rsidP="00F44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4EB4">
        <w:rPr>
          <w:rFonts w:ascii="Courier New" w:eastAsia="Times New Roman" w:hAnsi="Courier New" w:cs="Courier New"/>
          <w:kern w:val="0"/>
          <w:sz w:val="20"/>
          <w:szCs w:val="20"/>
          <w:lang w:eastAsia="en-IN"/>
          <w14:ligatures w14:val="none"/>
        </w:rPr>
        <w:t xml:space="preserve">    },</w:t>
      </w:r>
    </w:p>
    <w:p w14:paraId="63E36203" w14:textId="77777777" w:rsidR="00F44EB4" w:rsidRPr="00F44EB4" w:rsidRDefault="00F44EB4" w:rsidP="00F44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4EB4">
        <w:rPr>
          <w:rFonts w:ascii="Courier New" w:eastAsia="Times New Roman" w:hAnsi="Courier New" w:cs="Courier New"/>
          <w:kern w:val="0"/>
          <w:sz w:val="20"/>
          <w:szCs w:val="20"/>
          <w:lang w:eastAsia="en-IN"/>
          <w14:ligatures w14:val="none"/>
        </w:rPr>
        <w:t xml:space="preserve">    {</w:t>
      </w:r>
    </w:p>
    <w:p w14:paraId="25340AD2" w14:textId="77777777" w:rsidR="00F44EB4" w:rsidRPr="00F44EB4" w:rsidRDefault="00F44EB4" w:rsidP="00F44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4EB4">
        <w:rPr>
          <w:rFonts w:ascii="Courier New" w:eastAsia="Times New Roman" w:hAnsi="Courier New" w:cs="Courier New"/>
          <w:kern w:val="0"/>
          <w:sz w:val="20"/>
          <w:szCs w:val="20"/>
          <w:lang w:eastAsia="en-IN"/>
          <w14:ligatures w14:val="none"/>
        </w:rPr>
        <w:t xml:space="preserve">      "@type": "Question",</w:t>
      </w:r>
    </w:p>
    <w:p w14:paraId="588FEC2F" w14:textId="77777777" w:rsidR="00F44EB4" w:rsidRPr="00F44EB4" w:rsidRDefault="00F44EB4" w:rsidP="00F44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4EB4">
        <w:rPr>
          <w:rFonts w:ascii="Courier New" w:eastAsia="Times New Roman" w:hAnsi="Courier New" w:cs="Courier New"/>
          <w:kern w:val="0"/>
          <w:sz w:val="20"/>
          <w:szCs w:val="20"/>
          <w:lang w:eastAsia="en-IN"/>
          <w14:ligatures w14:val="none"/>
        </w:rPr>
        <w:t xml:space="preserve">      "name": "Which regions lead the global glycinates market?",</w:t>
      </w:r>
    </w:p>
    <w:p w14:paraId="2464B55F" w14:textId="77777777" w:rsidR="00F44EB4" w:rsidRPr="00F44EB4" w:rsidRDefault="00F44EB4" w:rsidP="00F44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4EB4">
        <w:rPr>
          <w:rFonts w:ascii="Courier New" w:eastAsia="Times New Roman" w:hAnsi="Courier New" w:cs="Courier New"/>
          <w:kern w:val="0"/>
          <w:sz w:val="20"/>
          <w:szCs w:val="20"/>
          <w:lang w:eastAsia="en-IN"/>
          <w14:ligatures w14:val="none"/>
        </w:rPr>
        <w:t xml:space="preserve">      "</w:t>
      </w:r>
      <w:proofErr w:type="spellStart"/>
      <w:r w:rsidRPr="00F44EB4">
        <w:rPr>
          <w:rFonts w:ascii="Courier New" w:eastAsia="Times New Roman" w:hAnsi="Courier New" w:cs="Courier New"/>
          <w:kern w:val="0"/>
          <w:sz w:val="20"/>
          <w:szCs w:val="20"/>
          <w:lang w:eastAsia="en-IN"/>
          <w14:ligatures w14:val="none"/>
        </w:rPr>
        <w:t>acceptedAnswer</w:t>
      </w:r>
      <w:proofErr w:type="spellEnd"/>
      <w:r w:rsidRPr="00F44EB4">
        <w:rPr>
          <w:rFonts w:ascii="Courier New" w:eastAsia="Times New Roman" w:hAnsi="Courier New" w:cs="Courier New"/>
          <w:kern w:val="0"/>
          <w:sz w:val="20"/>
          <w:szCs w:val="20"/>
          <w:lang w:eastAsia="en-IN"/>
          <w14:ligatures w14:val="none"/>
        </w:rPr>
        <w:t>": {</w:t>
      </w:r>
    </w:p>
    <w:p w14:paraId="468EBF60" w14:textId="77777777" w:rsidR="00F44EB4" w:rsidRPr="00F44EB4" w:rsidRDefault="00F44EB4" w:rsidP="00F44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4EB4">
        <w:rPr>
          <w:rFonts w:ascii="Courier New" w:eastAsia="Times New Roman" w:hAnsi="Courier New" w:cs="Courier New"/>
          <w:kern w:val="0"/>
          <w:sz w:val="20"/>
          <w:szCs w:val="20"/>
          <w:lang w:eastAsia="en-IN"/>
          <w14:ligatures w14:val="none"/>
        </w:rPr>
        <w:t xml:space="preserve">        "@type": "Answer",</w:t>
      </w:r>
    </w:p>
    <w:p w14:paraId="6D5092C0" w14:textId="77777777" w:rsidR="00F44EB4" w:rsidRPr="00F44EB4" w:rsidRDefault="00F44EB4" w:rsidP="00F44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4EB4">
        <w:rPr>
          <w:rFonts w:ascii="Courier New" w:eastAsia="Times New Roman" w:hAnsi="Courier New" w:cs="Courier New"/>
          <w:kern w:val="0"/>
          <w:sz w:val="20"/>
          <w:szCs w:val="20"/>
          <w:lang w:eastAsia="en-IN"/>
          <w14:ligatures w14:val="none"/>
        </w:rPr>
        <w:lastRenderedPageBreak/>
        <w:t xml:space="preserve">        "text": "Asia-Pacific dominates in production and consumption, while Europe and North America lead in technology innovation and regulatory compliance."</w:t>
      </w:r>
    </w:p>
    <w:p w14:paraId="471AB787" w14:textId="77777777" w:rsidR="00F44EB4" w:rsidRPr="00F44EB4" w:rsidRDefault="00F44EB4" w:rsidP="00F44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4EB4">
        <w:rPr>
          <w:rFonts w:ascii="Courier New" w:eastAsia="Times New Roman" w:hAnsi="Courier New" w:cs="Courier New"/>
          <w:kern w:val="0"/>
          <w:sz w:val="20"/>
          <w:szCs w:val="20"/>
          <w:lang w:eastAsia="en-IN"/>
          <w14:ligatures w14:val="none"/>
        </w:rPr>
        <w:t xml:space="preserve">      }</w:t>
      </w:r>
    </w:p>
    <w:p w14:paraId="66FF7F8C" w14:textId="77777777" w:rsidR="00F44EB4" w:rsidRPr="00F44EB4" w:rsidRDefault="00F44EB4" w:rsidP="00F44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4EB4">
        <w:rPr>
          <w:rFonts w:ascii="Courier New" w:eastAsia="Times New Roman" w:hAnsi="Courier New" w:cs="Courier New"/>
          <w:kern w:val="0"/>
          <w:sz w:val="20"/>
          <w:szCs w:val="20"/>
          <w:lang w:eastAsia="en-IN"/>
          <w14:ligatures w14:val="none"/>
        </w:rPr>
        <w:t xml:space="preserve">    },</w:t>
      </w:r>
    </w:p>
    <w:p w14:paraId="72CCFEF7" w14:textId="77777777" w:rsidR="00F44EB4" w:rsidRPr="00F44EB4" w:rsidRDefault="00F44EB4" w:rsidP="00F44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4EB4">
        <w:rPr>
          <w:rFonts w:ascii="Courier New" w:eastAsia="Times New Roman" w:hAnsi="Courier New" w:cs="Courier New"/>
          <w:kern w:val="0"/>
          <w:sz w:val="20"/>
          <w:szCs w:val="20"/>
          <w:lang w:eastAsia="en-IN"/>
          <w14:ligatures w14:val="none"/>
        </w:rPr>
        <w:t xml:space="preserve">    {</w:t>
      </w:r>
    </w:p>
    <w:p w14:paraId="3D5E3328" w14:textId="77777777" w:rsidR="00F44EB4" w:rsidRPr="00F44EB4" w:rsidRDefault="00F44EB4" w:rsidP="00F44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4EB4">
        <w:rPr>
          <w:rFonts w:ascii="Courier New" w:eastAsia="Times New Roman" w:hAnsi="Courier New" w:cs="Courier New"/>
          <w:kern w:val="0"/>
          <w:sz w:val="20"/>
          <w:szCs w:val="20"/>
          <w:lang w:eastAsia="en-IN"/>
          <w14:ligatures w14:val="none"/>
        </w:rPr>
        <w:t xml:space="preserve">      "@type": "Question",</w:t>
      </w:r>
    </w:p>
    <w:p w14:paraId="61DD4EE2" w14:textId="77777777" w:rsidR="00F44EB4" w:rsidRPr="00F44EB4" w:rsidRDefault="00F44EB4" w:rsidP="00F44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4EB4">
        <w:rPr>
          <w:rFonts w:ascii="Courier New" w:eastAsia="Times New Roman" w:hAnsi="Courier New" w:cs="Courier New"/>
          <w:kern w:val="0"/>
          <w:sz w:val="20"/>
          <w:szCs w:val="20"/>
          <w:lang w:eastAsia="en-IN"/>
          <w14:ligatures w14:val="none"/>
        </w:rPr>
        <w:t xml:space="preserve">      "name": "Who are the key players operating in the glycinates market?",</w:t>
      </w:r>
    </w:p>
    <w:p w14:paraId="02282DA4" w14:textId="77777777" w:rsidR="00F44EB4" w:rsidRPr="00F44EB4" w:rsidRDefault="00F44EB4" w:rsidP="00F44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4EB4">
        <w:rPr>
          <w:rFonts w:ascii="Courier New" w:eastAsia="Times New Roman" w:hAnsi="Courier New" w:cs="Courier New"/>
          <w:kern w:val="0"/>
          <w:sz w:val="20"/>
          <w:szCs w:val="20"/>
          <w:lang w:eastAsia="en-IN"/>
          <w14:ligatures w14:val="none"/>
        </w:rPr>
        <w:t xml:space="preserve">      "</w:t>
      </w:r>
      <w:proofErr w:type="spellStart"/>
      <w:r w:rsidRPr="00F44EB4">
        <w:rPr>
          <w:rFonts w:ascii="Courier New" w:eastAsia="Times New Roman" w:hAnsi="Courier New" w:cs="Courier New"/>
          <w:kern w:val="0"/>
          <w:sz w:val="20"/>
          <w:szCs w:val="20"/>
          <w:lang w:eastAsia="en-IN"/>
          <w14:ligatures w14:val="none"/>
        </w:rPr>
        <w:t>acceptedAnswer</w:t>
      </w:r>
      <w:proofErr w:type="spellEnd"/>
      <w:r w:rsidRPr="00F44EB4">
        <w:rPr>
          <w:rFonts w:ascii="Courier New" w:eastAsia="Times New Roman" w:hAnsi="Courier New" w:cs="Courier New"/>
          <w:kern w:val="0"/>
          <w:sz w:val="20"/>
          <w:szCs w:val="20"/>
          <w:lang w:eastAsia="en-IN"/>
          <w14:ligatures w14:val="none"/>
        </w:rPr>
        <w:t>": {</w:t>
      </w:r>
    </w:p>
    <w:p w14:paraId="5A6B9184" w14:textId="77777777" w:rsidR="00F44EB4" w:rsidRPr="00F44EB4" w:rsidRDefault="00F44EB4" w:rsidP="00F44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4EB4">
        <w:rPr>
          <w:rFonts w:ascii="Courier New" w:eastAsia="Times New Roman" w:hAnsi="Courier New" w:cs="Courier New"/>
          <w:kern w:val="0"/>
          <w:sz w:val="20"/>
          <w:szCs w:val="20"/>
          <w:lang w:eastAsia="en-IN"/>
          <w14:ligatures w14:val="none"/>
        </w:rPr>
        <w:t xml:space="preserve">        "@type": "Answer",</w:t>
      </w:r>
    </w:p>
    <w:p w14:paraId="6BBA63D9" w14:textId="77777777" w:rsidR="00F44EB4" w:rsidRPr="00F44EB4" w:rsidRDefault="00F44EB4" w:rsidP="00F44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4EB4">
        <w:rPr>
          <w:rFonts w:ascii="Courier New" w:eastAsia="Times New Roman" w:hAnsi="Courier New" w:cs="Courier New"/>
          <w:kern w:val="0"/>
          <w:sz w:val="20"/>
          <w:szCs w:val="20"/>
          <w:lang w:eastAsia="en-IN"/>
          <w14:ligatures w14:val="none"/>
        </w:rPr>
        <w:t xml:space="preserve">        "text": "Prominent participants include BASF SE, </w:t>
      </w:r>
      <w:proofErr w:type="spellStart"/>
      <w:r w:rsidRPr="00F44EB4">
        <w:rPr>
          <w:rFonts w:ascii="Courier New" w:eastAsia="Times New Roman" w:hAnsi="Courier New" w:cs="Courier New"/>
          <w:kern w:val="0"/>
          <w:sz w:val="20"/>
          <w:szCs w:val="20"/>
          <w:lang w:eastAsia="en-IN"/>
          <w14:ligatures w14:val="none"/>
        </w:rPr>
        <w:t>Balchem</w:t>
      </w:r>
      <w:proofErr w:type="spellEnd"/>
      <w:r w:rsidRPr="00F44EB4">
        <w:rPr>
          <w:rFonts w:ascii="Courier New" w:eastAsia="Times New Roman" w:hAnsi="Courier New" w:cs="Courier New"/>
          <w:kern w:val="0"/>
          <w:sz w:val="20"/>
          <w:szCs w:val="20"/>
          <w:lang w:eastAsia="en-IN"/>
          <w14:ligatures w14:val="none"/>
        </w:rPr>
        <w:t xml:space="preserve"> Corporation, Clariant AG, Solvay S.A., Yara International ASA, and leading Asian manufacturers such as Shijiazhuang </w:t>
      </w:r>
      <w:proofErr w:type="spellStart"/>
      <w:r w:rsidRPr="00F44EB4">
        <w:rPr>
          <w:rFonts w:ascii="Courier New" w:eastAsia="Times New Roman" w:hAnsi="Courier New" w:cs="Courier New"/>
          <w:kern w:val="0"/>
          <w:sz w:val="20"/>
          <w:szCs w:val="20"/>
          <w:lang w:eastAsia="en-IN"/>
          <w14:ligatures w14:val="none"/>
        </w:rPr>
        <w:t>Donghua</w:t>
      </w:r>
      <w:proofErr w:type="spellEnd"/>
      <w:r w:rsidRPr="00F44EB4">
        <w:rPr>
          <w:rFonts w:ascii="Courier New" w:eastAsia="Times New Roman" w:hAnsi="Courier New" w:cs="Courier New"/>
          <w:kern w:val="0"/>
          <w:sz w:val="20"/>
          <w:szCs w:val="20"/>
          <w:lang w:eastAsia="en-IN"/>
          <w14:ligatures w14:val="none"/>
        </w:rPr>
        <w:t xml:space="preserve"> </w:t>
      </w:r>
      <w:proofErr w:type="spellStart"/>
      <w:r w:rsidRPr="00F44EB4">
        <w:rPr>
          <w:rFonts w:ascii="Courier New" w:eastAsia="Times New Roman" w:hAnsi="Courier New" w:cs="Courier New"/>
          <w:kern w:val="0"/>
          <w:sz w:val="20"/>
          <w:szCs w:val="20"/>
          <w:lang w:eastAsia="en-IN"/>
          <w14:ligatures w14:val="none"/>
        </w:rPr>
        <w:t>Jinlong</w:t>
      </w:r>
      <w:proofErr w:type="spellEnd"/>
      <w:r w:rsidRPr="00F44EB4">
        <w:rPr>
          <w:rFonts w:ascii="Courier New" w:eastAsia="Times New Roman" w:hAnsi="Courier New" w:cs="Courier New"/>
          <w:kern w:val="0"/>
          <w:sz w:val="20"/>
          <w:szCs w:val="20"/>
          <w:lang w:eastAsia="en-IN"/>
          <w14:ligatures w14:val="none"/>
        </w:rPr>
        <w:t xml:space="preserve"> Chemical and Chaitanya Chemicals."</w:t>
      </w:r>
    </w:p>
    <w:p w14:paraId="68956614" w14:textId="77777777" w:rsidR="00F44EB4" w:rsidRPr="00F44EB4" w:rsidRDefault="00F44EB4" w:rsidP="00F44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4EB4">
        <w:rPr>
          <w:rFonts w:ascii="Courier New" w:eastAsia="Times New Roman" w:hAnsi="Courier New" w:cs="Courier New"/>
          <w:kern w:val="0"/>
          <w:sz w:val="20"/>
          <w:szCs w:val="20"/>
          <w:lang w:eastAsia="en-IN"/>
          <w14:ligatures w14:val="none"/>
        </w:rPr>
        <w:t xml:space="preserve">      }</w:t>
      </w:r>
    </w:p>
    <w:p w14:paraId="4679FCFC" w14:textId="77777777" w:rsidR="00F44EB4" w:rsidRPr="00F44EB4" w:rsidRDefault="00F44EB4" w:rsidP="00F44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4EB4">
        <w:rPr>
          <w:rFonts w:ascii="Courier New" w:eastAsia="Times New Roman" w:hAnsi="Courier New" w:cs="Courier New"/>
          <w:kern w:val="0"/>
          <w:sz w:val="20"/>
          <w:szCs w:val="20"/>
          <w:lang w:eastAsia="en-IN"/>
          <w14:ligatures w14:val="none"/>
        </w:rPr>
        <w:t xml:space="preserve">    },</w:t>
      </w:r>
    </w:p>
    <w:p w14:paraId="50EB22B7" w14:textId="77777777" w:rsidR="00F44EB4" w:rsidRPr="00F44EB4" w:rsidRDefault="00F44EB4" w:rsidP="00F44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4EB4">
        <w:rPr>
          <w:rFonts w:ascii="Courier New" w:eastAsia="Times New Roman" w:hAnsi="Courier New" w:cs="Courier New"/>
          <w:kern w:val="0"/>
          <w:sz w:val="20"/>
          <w:szCs w:val="20"/>
          <w:lang w:eastAsia="en-IN"/>
          <w14:ligatures w14:val="none"/>
        </w:rPr>
        <w:t xml:space="preserve">    {</w:t>
      </w:r>
    </w:p>
    <w:p w14:paraId="679FB825" w14:textId="77777777" w:rsidR="00F44EB4" w:rsidRPr="00F44EB4" w:rsidRDefault="00F44EB4" w:rsidP="00F44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4EB4">
        <w:rPr>
          <w:rFonts w:ascii="Courier New" w:eastAsia="Times New Roman" w:hAnsi="Courier New" w:cs="Courier New"/>
          <w:kern w:val="0"/>
          <w:sz w:val="20"/>
          <w:szCs w:val="20"/>
          <w:lang w:eastAsia="en-IN"/>
          <w14:ligatures w14:val="none"/>
        </w:rPr>
        <w:t xml:space="preserve">      "@type": "Question",</w:t>
      </w:r>
    </w:p>
    <w:p w14:paraId="75685255" w14:textId="77777777" w:rsidR="00F44EB4" w:rsidRPr="00F44EB4" w:rsidRDefault="00F44EB4" w:rsidP="00F44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4EB4">
        <w:rPr>
          <w:rFonts w:ascii="Courier New" w:eastAsia="Times New Roman" w:hAnsi="Courier New" w:cs="Courier New"/>
          <w:kern w:val="0"/>
          <w:sz w:val="20"/>
          <w:szCs w:val="20"/>
          <w:lang w:eastAsia="en-IN"/>
          <w14:ligatures w14:val="none"/>
        </w:rPr>
        <w:t xml:space="preserve">      "name": "What factors are driving market growth?",</w:t>
      </w:r>
    </w:p>
    <w:p w14:paraId="3E2B807D" w14:textId="77777777" w:rsidR="00F44EB4" w:rsidRPr="00F44EB4" w:rsidRDefault="00F44EB4" w:rsidP="00F44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4EB4">
        <w:rPr>
          <w:rFonts w:ascii="Courier New" w:eastAsia="Times New Roman" w:hAnsi="Courier New" w:cs="Courier New"/>
          <w:kern w:val="0"/>
          <w:sz w:val="20"/>
          <w:szCs w:val="20"/>
          <w:lang w:eastAsia="en-IN"/>
          <w14:ligatures w14:val="none"/>
        </w:rPr>
        <w:t xml:space="preserve">      "</w:t>
      </w:r>
      <w:proofErr w:type="spellStart"/>
      <w:r w:rsidRPr="00F44EB4">
        <w:rPr>
          <w:rFonts w:ascii="Courier New" w:eastAsia="Times New Roman" w:hAnsi="Courier New" w:cs="Courier New"/>
          <w:kern w:val="0"/>
          <w:sz w:val="20"/>
          <w:szCs w:val="20"/>
          <w:lang w:eastAsia="en-IN"/>
          <w14:ligatures w14:val="none"/>
        </w:rPr>
        <w:t>acceptedAnswer</w:t>
      </w:r>
      <w:proofErr w:type="spellEnd"/>
      <w:r w:rsidRPr="00F44EB4">
        <w:rPr>
          <w:rFonts w:ascii="Courier New" w:eastAsia="Times New Roman" w:hAnsi="Courier New" w:cs="Courier New"/>
          <w:kern w:val="0"/>
          <w:sz w:val="20"/>
          <w:szCs w:val="20"/>
          <w:lang w:eastAsia="en-IN"/>
          <w14:ligatures w14:val="none"/>
        </w:rPr>
        <w:t>": {</w:t>
      </w:r>
    </w:p>
    <w:p w14:paraId="25ED0DC2" w14:textId="77777777" w:rsidR="00F44EB4" w:rsidRPr="00F44EB4" w:rsidRDefault="00F44EB4" w:rsidP="00F44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4EB4">
        <w:rPr>
          <w:rFonts w:ascii="Courier New" w:eastAsia="Times New Roman" w:hAnsi="Courier New" w:cs="Courier New"/>
          <w:kern w:val="0"/>
          <w:sz w:val="20"/>
          <w:szCs w:val="20"/>
          <w:lang w:eastAsia="en-IN"/>
          <w14:ligatures w14:val="none"/>
        </w:rPr>
        <w:t xml:space="preserve">        "@type": "Answer",</w:t>
      </w:r>
    </w:p>
    <w:p w14:paraId="123596DC" w14:textId="77777777" w:rsidR="00F44EB4" w:rsidRPr="00F44EB4" w:rsidRDefault="00F44EB4" w:rsidP="00F44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4EB4">
        <w:rPr>
          <w:rFonts w:ascii="Courier New" w:eastAsia="Times New Roman" w:hAnsi="Courier New" w:cs="Courier New"/>
          <w:kern w:val="0"/>
          <w:sz w:val="20"/>
          <w:szCs w:val="20"/>
          <w:lang w:eastAsia="en-IN"/>
          <w14:ligatures w14:val="none"/>
        </w:rPr>
        <w:t xml:space="preserve">        "text": "Key growth drivers include rising demand for chelated minerals in dietary supplements, regulatory pushes for sustainable feed additives, and the expansion of clean-label consumer health products worldwide."</w:t>
      </w:r>
    </w:p>
    <w:p w14:paraId="2CE91F0F" w14:textId="77777777" w:rsidR="00F44EB4" w:rsidRPr="00F44EB4" w:rsidRDefault="00F44EB4" w:rsidP="00F44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4EB4">
        <w:rPr>
          <w:rFonts w:ascii="Courier New" w:eastAsia="Times New Roman" w:hAnsi="Courier New" w:cs="Courier New"/>
          <w:kern w:val="0"/>
          <w:sz w:val="20"/>
          <w:szCs w:val="20"/>
          <w:lang w:eastAsia="en-IN"/>
          <w14:ligatures w14:val="none"/>
        </w:rPr>
        <w:t xml:space="preserve">      }</w:t>
      </w:r>
    </w:p>
    <w:p w14:paraId="06595194" w14:textId="77777777" w:rsidR="00F44EB4" w:rsidRPr="00F44EB4" w:rsidRDefault="00F44EB4" w:rsidP="00F44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4EB4">
        <w:rPr>
          <w:rFonts w:ascii="Courier New" w:eastAsia="Times New Roman" w:hAnsi="Courier New" w:cs="Courier New"/>
          <w:kern w:val="0"/>
          <w:sz w:val="20"/>
          <w:szCs w:val="20"/>
          <w:lang w:eastAsia="en-IN"/>
          <w14:ligatures w14:val="none"/>
        </w:rPr>
        <w:t xml:space="preserve">    }</w:t>
      </w:r>
    </w:p>
    <w:p w14:paraId="2B9B470D" w14:textId="77777777" w:rsidR="00F44EB4" w:rsidRPr="00F44EB4" w:rsidRDefault="00F44EB4" w:rsidP="00F44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4EB4">
        <w:rPr>
          <w:rFonts w:ascii="Courier New" w:eastAsia="Times New Roman" w:hAnsi="Courier New" w:cs="Courier New"/>
          <w:kern w:val="0"/>
          <w:sz w:val="20"/>
          <w:szCs w:val="20"/>
          <w:lang w:eastAsia="en-IN"/>
          <w14:ligatures w14:val="none"/>
        </w:rPr>
        <w:t xml:space="preserve">  ]</w:t>
      </w:r>
    </w:p>
    <w:p w14:paraId="7F017E9B" w14:textId="77777777" w:rsidR="00F44EB4" w:rsidRPr="00F44EB4" w:rsidRDefault="00F44EB4" w:rsidP="00F44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4EB4">
        <w:rPr>
          <w:rFonts w:ascii="Courier New" w:eastAsia="Times New Roman" w:hAnsi="Courier New" w:cs="Courier New"/>
          <w:kern w:val="0"/>
          <w:sz w:val="20"/>
          <w:szCs w:val="20"/>
          <w:lang w:eastAsia="en-IN"/>
          <w14:ligatures w14:val="none"/>
        </w:rPr>
        <w:t>}</w:t>
      </w:r>
    </w:p>
    <w:p w14:paraId="102D775D" w14:textId="77777777" w:rsidR="00F44EB4" w:rsidRDefault="00F44EB4">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4BDF0985" w14:textId="3A7E0909" w:rsidR="00F44EB4" w:rsidRPr="00F44EB4" w:rsidRDefault="00F44EB4" w:rsidP="00F44EB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44EB4">
        <w:rPr>
          <w:rFonts w:ascii="Times New Roman" w:eastAsia="Times New Roman" w:hAnsi="Times New Roman" w:cs="Times New Roman"/>
          <w:b/>
          <w:bCs/>
          <w:kern w:val="36"/>
          <w:sz w:val="48"/>
          <w:szCs w:val="48"/>
          <w:lang w:eastAsia="en-IN"/>
          <w14:ligatures w14:val="none"/>
        </w:rPr>
        <w:lastRenderedPageBreak/>
        <w:t>9. Table of Contents</w:t>
      </w:r>
    </w:p>
    <w:p w14:paraId="467D170C" w14:textId="77777777" w:rsidR="00F44EB4" w:rsidRPr="00F44EB4" w:rsidRDefault="00000000" w:rsidP="00F44EB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6511E0E">
          <v:rect id="_x0000_i1034" style="width:0;height:1.5pt" o:hralign="center" o:hrstd="t" o:hr="t" fillcolor="#a0a0a0" stroked="f"/>
        </w:pict>
      </w:r>
    </w:p>
    <w:p w14:paraId="47E9F822" w14:textId="77777777" w:rsidR="00F44EB4" w:rsidRPr="00F44EB4" w:rsidRDefault="00F44EB4" w:rsidP="00F44EB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44EB4">
        <w:rPr>
          <w:rFonts w:ascii="Times New Roman" w:eastAsia="Times New Roman" w:hAnsi="Times New Roman" w:cs="Times New Roman"/>
          <w:b/>
          <w:bCs/>
          <w:kern w:val="0"/>
          <w:sz w:val="36"/>
          <w:szCs w:val="36"/>
          <w:lang w:eastAsia="en-IN"/>
          <w14:ligatures w14:val="none"/>
        </w:rPr>
        <w:t>Table of Contents for Glycinates Market Report (2024–2030)</w:t>
      </w:r>
    </w:p>
    <w:p w14:paraId="75E102D8" w14:textId="77777777" w:rsidR="00F44EB4" w:rsidRPr="00F44EB4" w:rsidRDefault="00000000" w:rsidP="00F44EB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0FAE9EF">
          <v:rect id="_x0000_i1035" style="width:0;height:1.5pt" o:hralign="center" o:hrstd="t" o:hr="t" fillcolor="#a0a0a0" stroked="f"/>
        </w:pict>
      </w:r>
    </w:p>
    <w:p w14:paraId="54371825" w14:textId="77777777" w:rsidR="00F44EB4" w:rsidRPr="00F44EB4" w:rsidRDefault="00F44EB4" w:rsidP="00F44EB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4EB4">
        <w:rPr>
          <w:rFonts w:ascii="Times New Roman" w:eastAsia="Times New Roman" w:hAnsi="Times New Roman" w:cs="Times New Roman"/>
          <w:b/>
          <w:bCs/>
          <w:kern w:val="0"/>
          <w:sz w:val="27"/>
          <w:szCs w:val="27"/>
          <w:lang w:eastAsia="en-IN"/>
          <w14:ligatures w14:val="none"/>
        </w:rPr>
        <w:t>Executive Summary</w:t>
      </w:r>
    </w:p>
    <w:p w14:paraId="60A6310F" w14:textId="77777777" w:rsidR="00F44EB4" w:rsidRPr="00F44EB4" w:rsidRDefault="00F44EB4" w:rsidP="00F44EB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Market Overview</w:t>
      </w:r>
    </w:p>
    <w:p w14:paraId="62B502AF" w14:textId="77777777" w:rsidR="00F44EB4" w:rsidRPr="00F44EB4" w:rsidRDefault="00F44EB4" w:rsidP="00F44EB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Market Attractiveness by Product Type, Application, End User, and Region</w:t>
      </w:r>
    </w:p>
    <w:p w14:paraId="5534E58A" w14:textId="77777777" w:rsidR="00F44EB4" w:rsidRPr="00F44EB4" w:rsidRDefault="00F44EB4" w:rsidP="00F44EB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Strategic Insights from Key Executives (CXO Perspective)</w:t>
      </w:r>
    </w:p>
    <w:p w14:paraId="6956C389" w14:textId="77777777" w:rsidR="00F44EB4" w:rsidRPr="00F44EB4" w:rsidRDefault="00F44EB4" w:rsidP="00F44EB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Historical Market Size and Future Projections (2019–2030)</w:t>
      </w:r>
    </w:p>
    <w:p w14:paraId="409847E5" w14:textId="77777777" w:rsidR="00F44EB4" w:rsidRPr="00F44EB4" w:rsidRDefault="00F44EB4" w:rsidP="00F44EB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Summary of Market Segmentation by Product Type, Application, End User, and Region</w:t>
      </w:r>
    </w:p>
    <w:p w14:paraId="2D0AEFF6" w14:textId="77777777" w:rsidR="00F44EB4" w:rsidRPr="00F44EB4" w:rsidRDefault="00000000" w:rsidP="00F44EB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4ED506A">
          <v:rect id="_x0000_i1036" style="width:0;height:1.5pt" o:hralign="center" o:hrstd="t" o:hr="t" fillcolor="#a0a0a0" stroked="f"/>
        </w:pict>
      </w:r>
    </w:p>
    <w:p w14:paraId="17A48D0E" w14:textId="77777777" w:rsidR="00F44EB4" w:rsidRPr="00F44EB4" w:rsidRDefault="00F44EB4" w:rsidP="00F44EB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4EB4">
        <w:rPr>
          <w:rFonts w:ascii="Times New Roman" w:eastAsia="Times New Roman" w:hAnsi="Times New Roman" w:cs="Times New Roman"/>
          <w:b/>
          <w:bCs/>
          <w:kern w:val="0"/>
          <w:sz w:val="27"/>
          <w:szCs w:val="27"/>
          <w:lang w:eastAsia="en-IN"/>
          <w14:ligatures w14:val="none"/>
        </w:rPr>
        <w:t>Market Share Analysis</w:t>
      </w:r>
    </w:p>
    <w:p w14:paraId="1EC42004" w14:textId="77777777" w:rsidR="00F44EB4" w:rsidRPr="00F44EB4" w:rsidRDefault="00F44EB4" w:rsidP="00F44EB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Leading Players by Revenue and Market Share</w:t>
      </w:r>
    </w:p>
    <w:p w14:paraId="650CE955" w14:textId="77777777" w:rsidR="00F44EB4" w:rsidRPr="00F44EB4" w:rsidRDefault="00F44EB4" w:rsidP="00F44EB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Market Share Analysis by Product Type, Application, and End User</w:t>
      </w:r>
    </w:p>
    <w:p w14:paraId="3B603E57" w14:textId="77777777" w:rsidR="00F44EB4" w:rsidRPr="00F44EB4" w:rsidRDefault="00000000" w:rsidP="00F44EB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F32BD23">
          <v:rect id="_x0000_i1037" style="width:0;height:1.5pt" o:hralign="center" o:hrstd="t" o:hr="t" fillcolor="#a0a0a0" stroked="f"/>
        </w:pict>
      </w:r>
    </w:p>
    <w:p w14:paraId="76446EFC" w14:textId="77777777" w:rsidR="00F44EB4" w:rsidRPr="00F44EB4" w:rsidRDefault="00F44EB4" w:rsidP="00F44EB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4EB4">
        <w:rPr>
          <w:rFonts w:ascii="Times New Roman" w:eastAsia="Times New Roman" w:hAnsi="Times New Roman" w:cs="Times New Roman"/>
          <w:b/>
          <w:bCs/>
          <w:kern w:val="0"/>
          <w:sz w:val="27"/>
          <w:szCs w:val="27"/>
          <w:lang w:eastAsia="en-IN"/>
          <w14:ligatures w14:val="none"/>
        </w:rPr>
        <w:t>Investment Opportunities in the Glycinates Market</w:t>
      </w:r>
    </w:p>
    <w:p w14:paraId="3A62C284" w14:textId="77777777" w:rsidR="00F44EB4" w:rsidRPr="00F44EB4" w:rsidRDefault="00F44EB4" w:rsidP="00F44EB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Key Developments and Innovations</w:t>
      </w:r>
    </w:p>
    <w:p w14:paraId="79CD1D4A" w14:textId="77777777" w:rsidR="00F44EB4" w:rsidRPr="00F44EB4" w:rsidRDefault="00F44EB4" w:rsidP="00F44EB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Mergers, Acquisitions, and Strategic Partnerships</w:t>
      </w:r>
    </w:p>
    <w:p w14:paraId="4CE989D5" w14:textId="77777777" w:rsidR="00F44EB4" w:rsidRPr="00F44EB4" w:rsidRDefault="00F44EB4" w:rsidP="00F44EB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High-Growth Segments for Investment</w:t>
      </w:r>
    </w:p>
    <w:p w14:paraId="36598439" w14:textId="77777777" w:rsidR="00F44EB4" w:rsidRPr="00F44EB4" w:rsidRDefault="00000000" w:rsidP="00F44EB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88EBE42">
          <v:rect id="_x0000_i1038" style="width:0;height:1.5pt" o:hralign="center" o:hrstd="t" o:hr="t" fillcolor="#a0a0a0" stroked="f"/>
        </w:pict>
      </w:r>
    </w:p>
    <w:p w14:paraId="2332625D" w14:textId="77777777" w:rsidR="00F44EB4" w:rsidRPr="00F44EB4" w:rsidRDefault="00F44EB4" w:rsidP="00F44EB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4EB4">
        <w:rPr>
          <w:rFonts w:ascii="Times New Roman" w:eastAsia="Times New Roman" w:hAnsi="Times New Roman" w:cs="Times New Roman"/>
          <w:b/>
          <w:bCs/>
          <w:kern w:val="0"/>
          <w:sz w:val="27"/>
          <w:szCs w:val="27"/>
          <w:lang w:eastAsia="en-IN"/>
          <w14:ligatures w14:val="none"/>
        </w:rPr>
        <w:t>Market Introduction</w:t>
      </w:r>
    </w:p>
    <w:p w14:paraId="5EF45397" w14:textId="77777777" w:rsidR="00F44EB4" w:rsidRPr="00F44EB4" w:rsidRDefault="00F44EB4" w:rsidP="00F44EB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Definition and Scope of the Study</w:t>
      </w:r>
    </w:p>
    <w:p w14:paraId="5E379E79" w14:textId="77777777" w:rsidR="00F44EB4" w:rsidRPr="00F44EB4" w:rsidRDefault="00F44EB4" w:rsidP="00F44EB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Market Structure and Key Findings</w:t>
      </w:r>
    </w:p>
    <w:p w14:paraId="16C760E6" w14:textId="77777777" w:rsidR="00F44EB4" w:rsidRPr="00F44EB4" w:rsidRDefault="00F44EB4" w:rsidP="00F44EB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Overview of Top Investment Pockets</w:t>
      </w:r>
    </w:p>
    <w:p w14:paraId="79DD2254" w14:textId="77777777" w:rsidR="00F44EB4" w:rsidRPr="00F44EB4" w:rsidRDefault="00000000" w:rsidP="00F44EB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725BBF3">
          <v:rect id="_x0000_i1039" style="width:0;height:1.5pt" o:hralign="center" o:hrstd="t" o:hr="t" fillcolor="#a0a0a0" stroked="f"/>
        </w:pict>
      </w:r>
    </w:p>
    <w:p w14:paraId="337AFB5C" w14:textId="77777777" w:rsidR="00F44EB4" w:rsidRPr="00F44EB4" w:rsidRDefault="00F44EB4" w:rsidP="00F44EB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4EB4">
        <w:rPr>
          <w:rFonts w:ascii="Times New Roman" w:eastAsia="Times New Roman" w:hAnsi="Times New Roman" w:cs="Times New Roman"/>
          <w:b/>
          <w:bCs/>
          <w:kern w:val="0"/>
          <w:sz w:val="27"/>
          <w:szCs w:val="27"/>
          <w:lang w:eastAsia="en-IN"/>
          <w14:ligatures w14:val="none"/>
        </w:rPr>
        <w:t>Research Methodology</w:t>
      </w:r>
    </w:p>
    <w:p w14:paraId="1009C23B" w14:textId="77777777" w:rsidR="00F44EB4" w:rsidRPr="00F44EB4" w:rsidRDefault="00F44EB4" w:rsidP="00F44EB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Research Process Overview</w:t>
      </w:r>
    </w:p>
    <w:p w14:paraId="616D01B0" w14:textId="77777777" w:rsidR="00F44EB4" w:rsidRPr="00F44EB4" w:rsidRDefault="00F44EB4" w:rsidP="00F44EB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Primary and Secondary Research Approaches</w:t>
      </w:r>
    </w:p>
    <w:p w14:paraId="2DE695E1" w14:textId="77777777" w:rsidR="00F44EB4" w:rsidRPr="00F44EB4" w:rsidRDefault="00F44EB4" w:rsidP="00F44EB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lastRenderedPageBreak/>
        <w:t>Market Size Estimation and Forecasting Techniques</w:t>
      </w:r>
    </w:p>
    <w:p w14:paraId="0210A385" w14:textId="77777777" w:rsidR="00F44EB4" w:rsidRPr="00F44EB4" w:rsidRDefault="00000000" w:rsidP="00F44EB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DA8282D">
          <v:rect id="_x0000_i1040" style="width:0;height:1.5pt" o:hralign="center" o:hrstd="t" o:hr="t" fillcolor="#a0a0a0" stroked="f"/>
        </w:pict>
      </w:r>
    </w:p>
    <w:p w14:paraId="535DE36E" w14:textId="77777777" w:rsidR="00F44EB4" w:rsidRPr="00F44EB4" w:rsidRDefault="00F44EB4" w:rsidP="00F44EB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4EB4">
        <w:rPr>
          <w:rFonts w:ascii="Times New Roman" w:eastAsia="Times New Roman" w:hAnsi="Times New Roman" w:cs="Times New Roman"/>
          <w:b/>
          <w:bCs/>
          <w:kern w:val="0"/>
          <w:sz w:val="27"/>
          <w:szCs w:val="27"/>
          <w:lang w:eastAsia="en-IN"/>
          <w14:ligatures w14:val="none"/>
        </w:rPr>
        <w:t>Market Dynamics</w:t>
      </w:r>
    </w:p>
    <w:p w14:paraId="53EAE30E" w14:textId="77777777" w:rsidR="00F44EB4" w:rsidRPr="00F44EB4" w:rsidRDefault="00F44EB4" w:rsidP="00F44EB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Key Market Drivers</w:t>
      </w:r>
    </w:p>
    <w:p w14:paraId="751576BC" w14:textId="77777777" w:rsidR="00F44EB4" w:rsidRPr="00F44EB4" w:rsidRDefault="00F44EB4" w:rsidP="00F44EB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Challenges and Restraints Impacting Growth</w:t>
      </w:r>
    </w:p>
    <w:p w14:paraId="537904A7" w14:textId="77777777" w:rsidR="00F44EB4" w:rsidRPr="00F44EB4" w:rsidRDefault="00F44EB4" w:rsidP="00F44EB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Emerging Opportunities for Stakeholders</w:t>
      </w:r>
    </w:p>
    <w:p w14:paraId="64B46C55" w14:textId="77777777" w:rsidR="00F44EB4" w:rsidRPr="00F44EB4" w:rsidRDefault="00F44EB4" w:rsidP="00F44EB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Impact of Regulatory and Sustainability Factors</w:t>
      </w:r>
    </w:p>
    <w:p w14:paraId="78ACE7C5" w14:textId="77777777" w:rsidR="00F44EB4" w:rsidRPr="00F44EB4" w:rsidRDefault="00F44EB4" w:rsidP="00F44EB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Technological Advancements in Chelated Mineral Production</w:t>
      </w:r>
    </w:p>
    <w:p w14:paraId="1C446A2D" w14:textId="77777777" w:rsidR="00F44EB4" w:rsidRPr="00F44EB4" w:rsidRDefault="00000000" w:rsidP="00F44EB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71A2A73">
          <v:rect id="_x0000_i1041" style="width:0;height:1.5pt" o:hralign="center" o:hrstd="t" o:hr="t" fillcolor="#a0a0a0" stroked="f"/>
        </w:pict>
      </w:r>
    </w:p>
    <w:p w14:paraId="07AA12B3" w14:textId="77777777" w:rsidR="00F44EB4" w:rsidRPr="00F44EB4" w:rsidRDefault="00F44EB4" w:rsidP="00F44EB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4EB4">
        <w:rPr>
          <w:rFonts w:ascii="Times New Roman" w:eastAsia="Times New Roman" w:hAnsi="Times New Roman" w:cs="Times New Roman"/>
          <w:b/>
          <w:bCs/>
          <w:kern w:val="0"/>
          <w:sz w:val="27"/>
          <w:szCs w:val="27"/>
          <w:lang w:eastAsia="en-IN"/>
          <w14:ligatures w14:val="none"/>
        </w:rPr>
        <w:t>Global Glycinates Market Analysis</w:t>
      </w:r>
    </w:p>
    <w:p w14:paraId="229C020B" w14:textId="77777777" w:rsidR="00F44EB4" w:rsidRPr="00F44EB4" w:rsidRDefault="00F44EB4" w:rsidP="00F44EB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Historical Market Size and Volume (2019–2023)</w:t>
      </w:r>
    </w:p>
    <w:p w14:paraId="56072F7E" w14:textId="77777777" w:rsidR="00F44EB4" w:rsidRPr="00F44EB4" w:rsidRDefault="00F44EB4" w:rsidP="00F44EB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Market Size and Volume Forecasts (2024–2030)</w:t>
      </w:r>
    </w:p>
    <w:p w14:paraId="6CB5EA42" w14:textId="77777777" w:rsidR="00F44EB4" w:rsidRPr="00F44EB4" w:rsidRDefault="00F44EB4" w:rsidP="00F44EB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44EB4">
        <w:rPr>
          <w:rFonts w:ascii="Times New Roman" w:eastAsia="Times New Roman" w:hAnsi="Times New Roman" w:cs="Times New Roman"/>
          <w:b/>
          <w:bCs/>
          <w:kern w:val="0"/>
          <w:sz w:val="24"/>
          <w:szCs w:val="24"/>
          <w:lang w:eastAsia="en-IN"/>
          <w14:ligatures w14:val="none"/>
        </w:rPr>
        <w:t>Market Analysis by Product Type:</w:t>
      </w:r>
    </w:p>
    <w:p w14:paraId="19E8DEFD" w14:textId="77777777" w:rsidR="00F44EB4" w:rsidRPr="00F44EB4" w:rsidRDefault="00F44EB4" w:rsidP="00F44EB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Magnesium Glycinate</w:t>
      </w:r>
    </w:p>
    <w:p w14:paraId="15BF50E0" w14:textId="77777777" w:rsidR="00F44EB4" w:rsidRPr="00F44EB4" w:rsidRDefault="00F44EB4" w:rsidP="00F44EB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Zinc Glycinate</w:t>
      </w:r>
    </w:p>
    <w:p w14:paraId="678E675B" w14:textId="77777777" w:rsidR="00F44EB4" w:rsidRPr="00F44EB4" w:rsidRDefault="00F44EB4" w:rsidP="00F44EB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Calcium Glycinate</w:t>
      </w:r>
    </w:p>
    <w:p w14:paraId="5D2000EC" w14:textId="77777777" w:rsidR="00F44EB4" w:rsidRPr="00F44EB4" w:rsidRDefault="00F44EB4" w:rsidP="00F44EB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Iron Glycinate</w:t>
      </w:r>
    </w:p>
    <w:p w14:paraId="2FD04908" w14:textId="77777777" w:rsidR="00F44EB4" w:rsidRPr="00F44EB4" w:rsidRDefault="00F44EB4" w:rsidP="00F44EB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Copper Glycinate</w:t>
      </w:r>
    </w:p>
    <w:p w14:paraId="648E95F0" w14:textId="77777777" w:rsidR="00F44EB4" w:rsidRPr="00F44EB4" w:rsidRDefault="00F44EB4" w:rsidP="00F44EB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Manganese Glycinate</w:t>
      </w:r>
    </w:p>
    <w:p w14:paraId="4D1B16D1" w14:textId="77777777" w:rsidR="00F44EB4" w:rsidRPr="00F44EB4" w:rsidRDefault="00F44EB4" w:rsidP="00F44EB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44EB4">
        <w:rPr>
          <w:rFonts w:ascii="Times New Roman" w:eastAsia="Times New Roman" w:hAnsi="Times New Roman" w:cs="Times New Roman"/>
          <w:b/>
          <w:bCs/>
          <w:kern w:val="0"/>
          <w:sz w:val="24"/>
          <w:szCs w:val="24"/>
          <w:lang w:eastAsia="en-IN"/>
          <w14:ligatures w14:val="none"/>
        </w:rPr>
        <w:t>Market Analysis by Application:</w:t>
      </w:r>
    </w:p>
    <w:p w14:paraId="234728B8" w14:textId="77777777" w:rsidR="00F44EB4" w:rsidRPr="00F44EB4" w:rsidRDefault="00F44EB4" w:rsidP="00F44EB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Animal Feed</w:t>
      </w:r>
    </w:p>
    <w:p w14:paraId="7BF1D7AF" w14:textId="77777777" w:rsidR="00F44EB4" w:rsidRPr="00F44EB4" w:rsidRDefault="00F44EB4" w:rsidP="00F44EB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Dietary Supplements</w:t>
      </w:r>
    </w:p>
    <w:p w14:paraId="07EC414D" w14:textId="77777777" w:rsidR="00F44EB4" w:rsidRPr="00F44EB4" w:rsidRDefault="00F44EB4" w:rsidP="00F44EB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Pharmaceuticals</w:t>
      </w:r>
    </w:p>
    <w:p w14:paraId="0D91C9AB" w14:textId="77777777" w:rsidR="00F44EB4" w:rsidRPr="00F44EB4" w:rsidRDefault="00F44EB4" w:rsidP="00F44EB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Personal Care</w:t>
      </w:r>
    </w:p>
    <w:p w14:paraId="2CF25C6B" w14:textId="77777777" w:rsidR="00F44EB4" w:rsidRPr="00F44EB4" w:rsidRDefault="00F44EB4" w:rsidP="00F44EB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44EB4">
        <w:rPr>
          <w:rFonts w:ascii="Times New Roman" w:eastAsia="Times New Roman" w:hAnsi="Times New Roman" w:cs="Times New Roman"/>
          <w:b/>
          <w:bCs/>
          <w:kern w:val="0"/>
          <w:sz w:val="24"/>
          <w:szCs w:val="24"/>
          <w:lang w:eastAsia="en-IN"/>
          <w14:ligatures w14:val="none"/>
        </w:rPr>
        <w:t>Market Analysis by End User:</w:t>
      </w:r>
    </w:p>
    <w:p w14:paraId="68D050A8" w14:textId="77777777" w:rsidR="00F44EB4" w:rsidRPr="00F44EB4" w:rsidRDefault="00F44EB4" w:rsidP="00F44EB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Feed Manufacturers</w:t>
      </w:r>
    </w:p>
    <w:p w14:paraId="1AB32A6E" w14:textId="77777777" w:rsidR="00F44EB4" w:rsidRPr="00F44EB4" w:rsidRDefault="00F44EB4" w:rsidP="00F44EB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Nutraceutical Companies</w:t>
      </w:r>
    </w:p>
    <w:p w14:paraId="666F78ED" w14:textId="77777777" w:rsidR="00F44EB4" w:rsidRPr="00F44EB4" w:rsidRDefault="00F44EB4" w:rsidP="00F44EB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Pharmaceutical Companies</w:t>
      </w:r>
    </w:p>
    <w:p w14:paraId="5D7F1A6D" w14:textId="77777777" w:rsidR="00F44EB4" w:rsidRPr="00F44EB4" w:rsidRDefault="00F44EB4" w:rsidP="00F44EB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Cosmetic Brands</w:t>
      </w:r>
    </w:p>
    <w:p w14:paraId="7025AAE0" w14:textId="77777777" w:rsidR="00F44EB4" w:rsidRPr="00F44EB4" w:rsidRDefault="00F44EB4" w:rsidP="00F44EB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44EB4">
        <w:rPr>
          <w:rFonts w:ascii="Times New Roman" w:eastAsia="Times New Roman" w:hAnsi="Times New Roman" w:cs="Times New Roman"/>
          <w:b/>
          <w:bCs/>
          <w:kern w:val="0"/>
          <w:sz w:val="24"/>
          <w:szCs w:val="24"/>
          <w:lang w:eastAsia="en-IN"/>
          <w14:ligatures w14:val="none"/>
        </w:rPr>
        <w:t>Market Analysis by Region:</w:t>
      </w:r>
    </w:p>
    <w:p w14:paraId="70194710" w14:textId="77777777" w:rsidR="00F44EB4" w:rsidRPr="00F44EB4" w:rsidRDefault="00F44EB4" w:rsidP="00F44EB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North America</w:t>
      </w:r>
    </w:p>
    <w:p w14:paraId="14C81C0A" w14:textId="77777777" w:rsidR="00F44EB4" w:rsidRPr="00F44EB4" w:rsidRDefault="00F44EB4" w:rsidP="00F44EB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Europe</w:t>
      </w:r>
    </w:p>
    <w:p w14:paraId="5BE85C69" w14:textId="77777777" w:rsidR="00F44EB4" w:rsidRPr="00F44EB4" w:rsidRDefault="00F44EB4" w:rsidP="00F44EB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Asia-Pacific</w:t>
      </w:r>
    </w:p>
    <w:p w14:paraId="7C2E0B7F" w14:textId="77777777" w:rsidR="00F44EB4" w:rsidRPr="00F44EB4" w:rsidRDefault="00F44EB4" w:rsidP="00F44EB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Latin America</w:t>
      </w:r>
    </w:p>
    <w:p w14:paraId="0D7C01CC" w14:textId="77777777" w:rsidR="00F44EB4" w:rsidRPr="00F44EB4" w:rsidRDefault="00F44EB4" w:rsidP="00F44EB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Middle East &amp; Africa</w:t>
      </w:r>
    </w:p>
    <w:p w14:paraId="695DAFEC" w14:textId="77777777" w:rsidR="00F44EB4" w:rsidRPr="00F44EB4" w:rsidRDefault="00000000" w:rsidP="00F44EB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41DB7164">
          <v:rect id="_x0000_i1042" style="width:0;height:1.5pt" o:hralign="center" o:hrstd="t" o:hr="t" fillcolor="#a0a0a0" stroked="f"/>
        </w:pict>
      </w:r>
    </w:p>
    <w:p w14:paraId="4A32CF25" w14:textId="77777777" w:rsidR="00F44EB4" w:rsidRPr="00F44EB4" w:rsidRDefault="00F44EB4" w:rsidP="00F44EB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4EB4">
        <w:rPr>
          <w:rFonts w:ascii="Times New Roman" w:eastAsia="Times New Roman" w:hAnsi="Times New Roman" w:cs="Times New Roman"/>
          <w:b/>
          <w:bCs/>
          <w:kern w:val="0"/>
          <w:sz w:val="27"/>
          <w:szCs w:val="27"/>
          <w:lang w:eastAsia="en-IN"/>
          <w14:ligatures w14:val="none"/>
        </w:rPr>
        <w:t>Regional Market Analysis</w:t>
      </w:r>
    </w:p>
    <w:p w14:paraId="1A419330" w14:textId="77777777" w:rsidR="00F44EB4" w:rsidRPr="00F44EB4" w:rsidRDefault="00F44EB4" w:rsidP="00F44EB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44EB4">
        <w:rPr>
          <w:rFonts w:ascii="Times New Roman" w:eastAsia="Times New Roman" w:hAnsi="Times New Roman" w:cs="Times New Roman"/>
          <w:b/>
          <w:bCs/>
          <w:kern w:val="0"/>
          <w:sz w:val="24"/>
          <w:szCs w:val="24"/>
          <w:lang w:eastAsia="en-IN"/>
          <w14:ligatures w14:val="none"/>
        </w:rPr>
        <w:t>North America Glycinates Market</w:t>
      </w:r>
    </w:p>
    <w:p w14:paraId="60B85C9F" w14:textId="77777777" w:rsidR="00F44EB4" w:rsidRPr="00F44EB4" w:rsidRDefault="00F44EB4" w:rsidP="00F44EB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Historical Market Size and Volume (2019–2023)</w:t>
      </w:r>
    </w:p>
    <w:p w14:paraId="1BC624D8" w14:textId="77777777" w:rsidR="00F44EB4" w:rsidRPr="00F44EB4" w:rsidRDefault="00F44EB4" w:rsidP="00F44EB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Market Size and Volume Forecasts (2024–2030)</w:t>
      </w:r>
    </w:p>
    <w:p w14:paraId="1B802739" w14:textId="77777777" w:rsidR="00F44EB4" w:rsidRPr="00F44EB4" w:rsidRDefault="00F44EB4" w:rsidP="00F44EB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Market Analysis by Product Type, Application, and End User</w:t>
      </w:r>
    </w:p>
    <w:p w14:paraId="1E6D6464" w14:textId="77777777" w:rsidR="00F44EB4" w:rsidRPr="00F44EB4" w:rsidRDefault="00F44EB4" w:rsidP="00F44EB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Country-Level Breakdown: United States, Canada, Mexico</w:t>
      </w:r>
    </w:p>
    <w:p w14:paraId="65B10A05" w14:textId="77777777" w:rsidR="00F44EB4" w:rsidRPr="00F44EB4" w:rsidRDefault="00F44EB4" w:rsidP="00F44EB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44EB4">
        <w:rPr>
          <w:rFonts w:ascii="Times New Roman" w:eastAsia="Times New Roman" w:hAnsi="Times New Roman" w:cs="Times New Roman"/>
          <w:b/>
          <w:bCs/>
          <w:kern w:val="0"/>
          <w:sz w:val="24"/>
          <w:szCs w:val="24"/>
          <w:lang w:eastAsia="en-IN"/>
          <w14:ligatures w14:val="none"/>
        </w:rPr>
        <w:t>Europe Glycinates Market</w:t>
      </w:r>
    </w:p>
    <w:p w14:paraId="53DA5CC6" w14:textId="77777777" w:rsidR="00F44EB4" w:rsidRPr="00F44EB4" w:rsidRDefault="00F44EB4" w:rsidP="00F44EB4">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Historical Market Size and Volume (2019–2023)</w:t>
      </w:r>
    </w:p>
    <w:p w14:paraId="7B25F48A" w14:textId="77777777" w:rsidR="00F44EB4" w:rsidRPr="00F44EB4" w:rsidRDefault="00F44EB4" w:rsidP="00F44EB4">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Market Size and Volume Forecasts (2024–2030)</w:t>
      </w:r>
    </w:p>
    <w:p w14:paraId="7A233F73" w14:textId="77777777" w:rsidR="00F44EB4" w:rsidRPr="00F44EB4" w:rsidRDefault="00F44EB4" w:rsidP="00F44EB4">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Market Analysis by Product Type, Application, and End User</w:t>
      </w:r>
    </w:p>
    <w:p w14:paraId="35461F94" w14:textId="77777777" w:rsidR="00F44EB4" w:rsidRPr="00F44EB4" w:rsidRDefault="00F44EB4" w:rsidP="00F44EB4">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Country-Level Breakdown: Germany, France, United Kingdom, Italy, Spain, Rest of Europe</w:t>
      </w:r>
    </w:p>
    <w:p w14:paraId="5E3653E5" w14:textId="77777777" w:rsidR="00F44EB4" w:rsidRPr="00F44EB4" w:rsidRDefault="00F44EB4" w:rsidP="00F44EB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44EB4">
        <w:rPr>
          <w:rFonts w:ascii="Times New Roman" w:eastAsia="Times New Roman" w:hAnsi="Times New Roman" w:cs="Times New Roman"/>
          <w:b/>
          <w:bCs/>
          <w:kern w:val="0"/>
          <w:sz w:val="24"/>
          <w:szCs w:val="24"/>
          <w:lang w:eastAsia="en-IN"/>
          <w14:ligatures w14:val="none"/>
        </w:rPr>
        <w:t>Asia-Pacific Glycinates Market</w:t>
      </w:r>
    </w:p>
    <w:p w14:paraId="653D5DF1" w14:textId="77777777" w:rsidR="00F44EB4" w:rsidRPr="00F44EB4" w:rsidRDefault="00F44EB4" w:rsidP="00F44EB4">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Historical Market Size and Volume (2019–2023)</w:t>
      </w:r>
    </w:p>
    <w:p w14:paraId="7E49DA03" w14:textId="77777777" w:rsidR="00F44EB4" w:rsidRPr="00F44EB4" w:rsidRDefault="00F44EB4" w:rsidP="00F44EB4">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Market Size and Volume Forecasts (2024–2030)</w:t>
      </w:r>
    </w:p>
    <w:p w14:paraId="723DA1C5" w14:textId="77777777" w:rsidR="00F44EB4" w:rsidRPr="00F44EB4" w:rsidRDefault="00F44EB4" w:rsidP="00F44EB4">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Market Analysis by Product Type, Application, and End User</w:t>
      </w:r>
    </w:p>
    <w:p w14:paraId="4173E5FF" w14:textId="77777777" w:rsidR="00F44EB4" w:rsidRPr="00F44EB4" w:rsidRDefault="00F44EB4" w:rsidP="00F44EB4">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Country-Level Breakdown: China, India, Japan, South Korea, Rest of Asia-Pacific</w:t>
      </w:r>
    </w:p>
    <w:p w14:paraId="164B42FA" w14:textId="77777777" w:rsidR="00F44EB4" w:rsidRPr="00F44EB4" w:rsidRDefault="00F44EB4" w:rsidP="00F44EB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44EB4">
        <w:rPr>
          <w:rFonts w:ascii="Times New Roman" w:eastAsia="Times New Roman" w:hAnsi="Times New Roman" w:cs="Times New Roman"/>
          <w:b/>
          <w:bCs/>
          <w:kern w:val="0"/>
          <w:sz w:val="24"/>
          <w:szCs w:val="24"/>
          <w:lang w:eastAsia="en-IN"/>
          <w14:ligatures w14:val="none"/>
        </w:rPr>
        <w:t>Latin America Glycinates Market</w:t>
      </w:r>
    </w:p>
    <w:p w14:paraId="60553467" w14:textId="77777777" w:rsidR="00F44EB4" w:rsidRPr="00F44EB4" w:rsidRDefault="00F44EB4" w:rsidP="00F44EB4">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Historical Market Size and Volume (2019–2023)</w:t>
      </w:r>
    </w:p>
    <w:p w14:paraId="3FC84D7A" w14:textId="77777777" w:rsidR="00F44EB4" w:rsidRPr="00F44EB4" w:rsidRDefault="00F44EB4" w:rsidP="00F44EB4">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Market Size and Volume Forecasts (2024–2030)</w:t>
      </w:r>
    </w:p>
    <w:p w14:paraId="0251170B" w14:textId="77777777" w:rsidR="00F44EB4" w:rsidRPr="00F44EB4" w:rsidRDefault="00F44EB4" w:rsidP="00F44EB4">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Market Analysis by Product Type, Application, and End User</w:t>
      </w:r>
    </w:p>
    <w:p w14:paraId="7BEDACAD" w14:textId="77777777" w:rsidR="00F44EB4" w:rsidRPr="00F44EB4" w:rsidRDefault="00F44EB4" w:rsidP="00F44EB4">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Country-Level Breakdown: Brazil, Argentina, Rest of Latin America</w:t>
      </w:r>
    </w:p>
    <w:p w14:paraId="68066514" w14:textId="77777777" w:rsidR="00F44EB4" w:rsidRPr="00F44EB4" w:rsidRDefault="00F44EB4" w:rsidP="00F44EB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44EB4">
        <w:rPr>
          <w:rFonts w:ascii="Times New Roman" w:eastAsia="Times New Roman" w:hAnsi="Times New Roman" w:cs="Times New Roman"/>
          <w:b/>
          <w:bCs/>
          <w:kern w:val="0"/>
          <w:sz w:val="24"/>
          <w:szCs w:val="24"/>
          <w:lang w:eastAsia="en-IN"/>
          <w14:ligatures w14:val="none"/>
        </w:rPr>
        <w:t>Middle East &amp; Africa Glycinates Market</w:t>
      </w:r>
    </w:p>
    <w:p w14:paraId="5860A753" w14:textId="77777777" w:rsidR="00F44EB4" w:rsidRPr="00F44EB4" w:rsidRDefault="00F44EB4" w:rsidP="00F44EB4">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Historical Market Size and Volume (2019–2023)</w:t>
      </w:r>
    </w:p>
    <w:p w14:paraId="0F000D0C" w14:textId="77777777" w:rsidR="00F44EB4" w:rsidRPr="00F44EB4" w:rsidRDefault="00F44EB4" w:rsidP="00F44EB4">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Market Size and Volume Forecasts (2024–2030)</w:t>
      </w:r>
    </w:p>
    <w:p w14:paraId="10013C6F" w14:textId="77777777" w:rsidR="00F44EB4" w:rsidRPr="00F44EB4" w:rsidRDefault="00F44EB4" w:rsidP="00F44EB4">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Market Analysis by Product Type, Application, and End User</w:t>
      </w:r>
    </w:p>
    <w:p w14:paraId="1A783536" w14:textId="77777777" w:rsidR="00F44EB4" w:rsidRPr="00F44EB4" w:rsidRDefault="00F44EB4" w:rsidP="00F44EB4">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Country-Level Breakdown: Saudi Arabia, United Arab Emirates, South Africa, Rest of Middle East &amp; Africa</w:t>
      </w:r>
    </w:p>
    <w:p w14:paraId="109E05A7" w14:textId="77777777" w:rsidR="00F44EB4" w:rsidRPr="00F44EB4" w:rsidRDefault="00000000" w:rsidP="00F44EB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A99EDA9">
          <v:rect id="_x0000_i1043" style="width:0;height:1.5pt" o:hralign="center" o:hrstd="t" o:hr="t" fillcolor="#a0a0a0" stroked="f"/>
        </w:pict>
      </w:r>
    </w:p>
    <w:p w14:paraId="194B9184" w14:textId="77777777" w:rsidR="00F44EB4" w:rsidRPr="00F44EB4" w:rsidRDefault="00F44EB4" w:rsidP="00F44EB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4EB4">
        <w:rPr>
          <w:rFonts w:ascii="Times New Roman" w:eastAsia="Times New Roman" w:hAnsi="Times New Roman" w:cs="Times New Roman"/>
          <w:b/>
          <w:bCs/>
          <w:kern w:val="0"/>
          <w:sz w:val="27"/>
          <w:szCs w:val="27"/>
          <w:lang w:eastAsia="en-IN"/>
          <w14:ligatures w14:val="none"/>
        </w:rPr>
        <w:t>Key Players and Competitive Analysis</w:t>
      </w:r>
    </w:p>
    <w:p w14:paraId="031A3120" w14:textId="77777777" w:rsidR="00F44EB4" w:rsidRPr="00F44EB4" w:rsidRDefault="00F44EB4" w:rsidP="00F44EB4">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BASF SE – Global Leader in High-Purity Mineral Chelates</w:t>
      </w:r>
    </w:p>
    <w:p w14:paraId="1EDB46A2" w14:textId="77777777" w:rsidR="00F44EB4" w:rsidRPr="00F44EB4" w:rsidRDefault="00F44EB4" w:rsidP="00F44EB4">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F44EB4">
        <w:rPr>
          <w:rFonts w:ascii="Times New Roman" w:eastAsia="Times New Roman" w:hAnsi="Times New Roman" w:cs="Times New Roman"/>
          <w:kern w:val="0"/>
          <w:sz w:val="24"/>
          <w:szCs w:val="24"/>
          <w:lang w:eastAsia="en-IN"/>
          <w14:ligatures w14:val="none"/>
        </w:rPr>
        <w:t>Balchem</w:t>
      </w:r>
      <w:proofErr w:type="spellEnd"/>
      <w:r w:rsidRPr="00F44EB4">
        <w:rPr>
          <w:rFonts w:ascii="Times New Roman" w:eastAsia="Times New Roman" w:hAnsi="Times New Roman" w:cs="Times New Roman"/>
          <w:kern w:val="0"/>
          <w:sz w:val="24"/>
          <w:szCs w:val="24"/>
          <w:lang w:eastAsia="en-IN"/>
          <w14:ligatures w14:val="none"/>
        </w:rPr>
        <w:t xml:space="preserve"> Corporation (Albion Minerals) – Pioneer in Amino Acid Chelates</w:t>
      </w:r>
    </w:p>
    <w:p w14:paraId="5D317C8F" w14:textId="77777777" w:rsidR="00F44EB4" w:rsidRPr="00F44EB4" w:rsidRDefault="00F44EB4" w:rsidP="00F44EB4">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Clariant AG – Developer of Eco-Efficient Glycinate Formulations</w:t>
      </w:r>
    </w:p>
    <w:p w14:paraId="4E846446" w14:textId="77777777" w:rsidR="00F44EB4" w:rsidRPr="00F44EB4" w:rsidRDefault="00F44EB4" w:rsidP="00F44EB4">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Solvay S.A. – Innovator in Process Automation and Purity Optimization</w:t>
      </w:r>
    </w:p>
    <w:p w14:paraId="4807A19A" w14:textId="77777777" w:rsidR="00F44EB4" w:rsidRPr="00F44EB4" w:rsidRDefault="00F44EB4" w:rsidP="00F44EB4">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Yara International ASA – Advancing Feed-Grade Glycinates in Emerging Markets</w:t>
      </w:r>
    </w:p>
    <w:p w14:paraId="67CF786B" w14:textId="77777777" w:rsidR="00F44EB4" w:rsidRPr="00F44EB4" w:rsidRDefault="00F44EB4" w:rsidP="00F44EB4">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lastRenderedPageBreak/>
        <w:t xml:space="preserve">Shijiazhuang </w:t>
      </w:r>
      <w:proofErr w:type="spellStart"/>
      <w:r w:rsidRPr="00F44EB4">
        <w:rPr>
          <w:rFonts w:ascii="Times New Roman" w:eastAsia="Times New Roman" w:hAnsi="Times New Roman" w:cs="Times New Roman"/>
          <w:kern w:val="0"/>
          <w:sz w:val="24"/>
          <w:szCs w:val="24"/>
          <w:lang w:eastAsia="en-IN"/>
          <w14:ligatures w14:val="none"/>
        </w:rPr>
        <w:t>Donghua</w:t>
      </w:r>
      <w:proofErr w:type="spellEnd"/>
      <w:r w:rsidRPr="00F44EB4">
        <w:rPr>
          <w:rFonts w:ascii="Times New Roman" w:eastAsia="Times New Roman" w:hAnsi="Times New Roman" w:cs="Times New Roman"/>
          <w:kern w:val="0"/>
          <w:sz w:val="24"/>
          <w:szCs w:val="24"/>
          <w:lang w:eastAsia="en-IN"/>
          <w14:ligatures w14:val="none"/>
        </w:rPr>
        <w:t xml:space="preserve"> </w:t>
      </w:r>
      <w:proofErr w:type="spellStart"/>
      <w:r w:rsidRPr="00F44EB4">
        <w:rPr>
          <w:rFonts w:ascii="Times New Roman" w:eastAsia="Times New Roman" w:hAnsi="Times New Roman" w:cs="Times New Roman"/>
          <w:kern w:val="0"/>
          <w:sz w:val="24"/>
          <w:szCs w:val="24"/>
          <w:lang w:eastAsia="en-IN"/>
          <w14:ligatures w14:val="none"/>
        </w:rPr>
        <w:t>Jinlong</w:t>
      </w:r>
      <w:proofErr w:type="spellEnd"/>
      <w:r w:rsidRPr="00F44EB4">
        <w:rPr>
          <w:rFonts w:ascii="Times New Roman" w:eastAsia="Times New Roman" w:hAnsi="Times New Roman" w:cs="Times New Roman"/>
          <w:kern w:val="0"/>
          <w:sz w:val="24"/>
          <w:szCs w:val="24"/>
          <w:lang w:eastAsia="en-IN"/>
          <w14:ligatures w14:val="none"/>
        </w:rPr>
        <w:t xml:space="preserve"> Chemical – High-Volume Chinese Supplier</w:t>
      </w:r>
    </w:p>
    <w:p w14:paraId="1D4B9B28" w14:textId="77777777" w:rsidR="00F44EB4" w:rsidRPr="00F44EB4" w:rsidRDefault="00F44EB4" w:rsidP="00F44EB4">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Chaitanya Chemicals – Indian Exporter of Feed and Nutraceutical Glycinates</w:t>
      </w:r>
    </w:p>
    <w:p w14:paraId="788C11CA" w14:textId="77777777" w:rsidR="00F44EB4" w:rsidRPr="00F44EB4" w:rsidRDefault="00000000" w:rsidP="00F44EB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E3F2831">
          <v:rect id="_x0000_i1044" style="width:0;height:1.5pt" o:hralign="center" o:hrstd="t" o:hr="t" fillcolor="#a0a0a0" stroked="f"/>
        </w:pict>
      </w:r>
    </w:p>
    <w:p w14:paraId="30935E6E" w14:textId="77777777" w:rsidR="00F44EB4" w:rsidRPr="00F44EB4" w:rsidRDefault="00F44EB4" w:rsidP="00F44EB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4EB4">
        <w:rPr>
          <w:rFonts w:ascii="Times New Roman" w:eastAsia="Times New Roman" w:hAnsi="Times New Roman" w:cs="Times New Roman"/>
          <w:b/>
          <w:bCs/>
          <w:kern w:val="0"/>
          <w:sz w:val="27"/>
          <w:szCs w:val="27"/>
          <w:lang w:eastAsia="en-IN"/>
          <w14:ligatures w14:val="none"/>
        </w:rPr>
        <w:t>Appendix</w:t>
      </w:r>
    </w:p>
    <w:p w14:paraId="209A791B" w14:textId="77777777" w:rsidR="00F44EB4" w:rsidRPr="00F44EB4" w:rsidRDefault="00F44EB4" w:rsidP="00F44EB4">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Abbreviations and Terminologies Used in the Report</w:t>
      </w:r>
    </w:p>
    <w:p w14:paraId="6124BDCC" w14:textId="77777777" w:rsidR="00F44EB4" w:rsidRPr="00F44EB4" w:rsidRDefault="00F44EB4" w:rsidP="00F44EB4">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References and Data Sources</w:t>
      </w:r>
    </w:p>
    <w:p w14:paraId="599235C4" w14:textId="77777777" w:rsidR="00F44EB4" w:rsidRPr="00F44EB4" w:rsidRDefault="00000000" w:rsidP="00F44EB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7F59153">
          <v:rect id="_x0000_i1045" style="width:0;height:1.5pt" o:hralign="center" o:hrstd="t" o:hr="t" fillcolor="#a0a0a0" stroked="f"/>
        </w:pict>
      </w:r>
    </w:p>
    <w:p w14:paraId="5925874E" w14:textId="77777777" w:rsidR="00F44EB4" w:rsidRPr="00F44EB4" w:rsidRDefault="00F44EB4" w:rsidP="00F44EB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4EB4">
        <w:rPr>
          <w:rFonts w:ascii="Times New Roman" w:eastAsia="Times New Roman" w:hAnsi="Times New Roman" w:cs="Times New Roman"/>
          <w:b/>
          <w:bCs/>
          <w:kern w:val="0"/>
          <w:sz w:val="27"/>
          <w:szCs w:val="27"/>
          <w:lang w:eastAsia="en-IN"/>
          <w14:ligatures w14:val="none"/>
        </w:rPr>
        <w:t>List of Tables</w:t>
      </w:r>
    </w:p>
    <w:p w14:paraId="0FC492C8" w14:textId="77777777" w:rsidR="00F44EB4" w:rsidRPr="00F44EB4" w:rsidRDefault="00F44EB4" w:rsidP="00F44EB4">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Global Glycinates Market Size by Product Type, Application, End User, and Region (2024–2030)</w:t>
      </w:r>
    </w:p>
    <w:p w14:paraId="033FB529" w14:textId="77777777" w:rsidR="00F44EB4" w:rsidRPr="00F44EB4" w:rsidRDefault="00F44EB4" w:rsidP="00F44EB4">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Regional Market Breakdown by Product Type and End User (2024–2030)</w:t>
      </w:r>
    </w:p>
    <w:p w14:paraId="3E15A9B5" w14:textId="77777777" w:rsidR="00F44EB4" w:rsidRPr="00F44EB4" w:rsidRDefault="00F44EB4" w:rsidP="00F44EB4">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Comparison of Chelated vs. Inorganic Mineral Efficiency by Region</w:t>
      </w:r>
    </w:p>
    <w:p w14:paraId="601C46FE" w14:textId="77777777" w:rsidR="00F44EB4" w:rsidRPr="00F44EB4" w:rsidRDefault="00F44EB4" w:rsidP="00F44EB4">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Key Strategic Developments by Major Players (2022–2024)</w:t>
      </w:r>
    </w:p>
    <w:p w14:paraId="37DC5EA2" w14:textId="77777777" w:rsidR="00F44EB4" w:rsidRPr="00F44EB4" w:rsidRDefault="00000000" w:rsidP="00F44EB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2D51FD4">
          <v:rect id="_x0000_i1046" style="width:0;height:1.5pt" o:hralign="center" o:hrstd="t" o:hr="t" fillcolor="#a0a0a0" stroked="f"/>
        </w:pict>
      </w:r>
    </w:p>
    <w:p w14:paraId="1C2736F5" w14:textId="77777777" w:rsidR="00F44EB4" w:rsidRPr="00F44EB4" w:rsidRDefault="00F44EB4" w:rsidP="00F44EB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4EB4">
        <w:rPr>
          <w:rFonts w:ascii="Times New Roman" w:eastAsia="Times New Roman" w:hAnsi="Times New Roman" w:cs="Times New Roman"/>
          <w:b/>
          <w:bCs/>
          <w:kern w:val="0"/>
          <w:sz w:val="27"/>
          <w:szCs w:val="27"/>
          <w:lang w:eastAsia="en-IN"/>
          <w14:ligatures w14:val="none"/>
        </w:rPr>
        <w:t>List of Figures</w:t>
      </w:r>
    </w:p>
    <w:p w14:paraId="27742122" w14:textId="77777777" w:rsidR="00F44EB4" w:rsidRPr="00F44EB4" w:rsidRDefault="00F44EB4" w:rsidP="00F44EB4">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Market Dynamics: Drivers, Restraints, and Opportunities</w:t>
      </w:r>
    </w:p>
    <w:p w14:paraId="2D27DDCF" w14:textId="77777777" w:rsidR="00F44EB4" w:rsidRPr="00F44EB4" w:rsidRDefault="00F44EB4" w:rsidP="00F44EB4">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Regional Market Snapshot for Key Geographies</w:t>
      </w:r>
    </w:p>
    <w:p w14:paraId="6D751A79" w14:textId="77777777" w:rsidR="00F44EB4" w:rsidRPr="00F44EB4" w:rsidRDefault="00F44EB4" w:rsidP="00F44EB4">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Competitive Landscape and Market Share by Company (2024)</w:t>
      </w:r>
    </w:p>
    <w:p w14:paraId="408590B7" w14:textId="77777777" w:rsidR="00F44EB4" w:rsidRPr="00F44EB4" w:rsidRDefault="00F44EB4" w:rsidP="00F44EB4">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Growth Strategies and Partnership Trends among Key Players</w:t>
      </w:r>
    </w:p>
    <w:p w14:paraId="2D446D6D" w14:textId="74109055" w:rsidR="00FC77B6" w:rsidRPr="00F44EB4" w:rsidRDefault="00F44EB4" w:rsidP="00F44EB4">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EB4">
        <w:rPr>
          <w:rFonts w:ascii="Times New Roman" w:eastAsia="Times New Roman" w:hAnsi="Times New Roman" w:cs="Times New Roman"/>
          <w:kern w:val="0"/>
          <w:sz w:val="24"/>
          <w:szCs w:val="24"/>
          <w:lang w:eastAsia="en-IN"/>
          <w14:ligatures w14:val="none"/>
        </w:rPr>
        <w:t>Global Glycinates Market Share by Product Type and Application (2024 vs. 2030)</w:t>
      </w:r>
    </w:p>
    <w:sectPr w:rsidR="00FC77B6" w:rsidRPr="00F44E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774A3"/>
    <w:multiLevelType w:val="multilevel"/>
    <w:tmpl w:val="A454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73FB4"/>
    <w:multiLevelType w:val="multilevel"/>
    <w:tmpl w:val="3B14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57882"/>
    <w:multiLevelType w:val="multilevel"/>
    <w:tmpl w:val="B136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AF3189"/>
    <w:multiLevelType w:val="multilevel"/>
    <w:tmpl w:val="02E08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CB0FA5"/>
    <w:multiLevelType w:val="multilevel"/>
    <w:tmpl w:val="DBF0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AA3E1F"/>
    <w:multiLevelType w:val="multilevel"/>
    <w:tmpl w:val="F684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B06040"/>
    <w:multiLevelType w:val="multilevel"/>
    <w:tmpl w:val="6CF0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0B1BF3"/>
    <w:multiLevelType w:val="multilevel"/>
    <w:tmpl w:val="D42A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4F2E33"/>
    <w:multiLevelType w:val="multilevel"/>
    <w:tmpl w:val="40E6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C02968"/>
    <w:multiLevelType w:val="multilevel"/>
    <w:tmpl w:val="55A07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EB1C42"/>
    <w:multiLevelType w:val="multilevel"/>
    <w:tmpl w:val="7E44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604027"/>
    <w:multiLevelType w:val="multilevel"/>
    <w:tmpl w:val="986C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153E25"/>
    <w:multiLevelType w:val="multilevel"/>
    <w:tmpl w:val="81F4F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036639"/>
    <w:multiLevelType w:val="multilevel"/>
    <w:tmpl w:val="C99C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CD0F7B"/>
    <w:multiLevelType w:val="multilevel"/>
    <w:tmpl w:val="4C4EB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2705DB"/>
    <w:multiLevelType w:val="multilevel"/>
    <w:tmpl w:val="BB9A8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A835CB"/>
    <w:multiLevelType w:val="multilevel"/>
    <w:tmpl w:val="F41A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F505DB"/>
    <w:multiLevelType w:val="multilevel"/>
    <w:tmpl w:val="84CC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F82054"/>
    <w:multiLevelType w:val="multilevel"/>
    <w:tmpl w:val="FEE2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9102A1"/>
    <w:multiLevelType w:val="multilevel"/>
    <w:tmpl w:val="13FA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2923D6"/>
    <w:multiLevelType w:val="multilevel"/>
    <w:tmpl w:val="09E6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8759CE"/>
    <w:multiLevelType w:val="multilevel"/>
    <w:tmpl w:val="D526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F338DC"/>
    <w:multiLevelType w:val="multilevel"/>
    <w:tmpl w:val="2CBC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F85536"/>
    <w:multiLevelType w:val="multilevel"/>
    <w:tmpl w:val="8FBE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BA6469"/>
    <w:multiLevelType w:val="multilevel"/>
    <w:tmpl w:val="96F85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765423">
    <w:abstractNumId w:val="4"/>
  </w:num>
  <w:num w:numId="2" w16cid:durableId="1764915113">
    <w:abstractNumId w:val="7"/>
  </w:num>
  <w:num w:numId="3" w16cid:durableId="1929537390">
    <w:abstractNumId w:val="2"/>
  </w:num>
  <w:num w:numId="4" w16cid:durableId="963997619">
    <w:abstractNumId w:val="16"/>
  </w:num>
  <w:num w:numId="5" w16cid:durableId="1176533274">
    <w:abstractNumId w:val="23"/>
  </w:num>
  <w:num w:numId="6" w16cid:durableId="883567956">
    <w:abstractNumId w:val="5"/>
  </w:num>
  <w:num w:numId="7" w16cid:durableId="54163719">
    <w:abstractNumId w:val="9"/>
  </w:num>
  <w:num w:numId="8" w16cid:durableId="2079859149">
    <w:abstractNumId w:val="14"/>
  </w:num>
  <w:num w:numId="9" w16cid:durableId="2077314787">
    <w:abstractNumId w:val="0"/>
  </w:num>
  <w:num w:numId="10" w16cid:durableId="879631951">
    <w:abstractNumId w:val="8"/>
  </w:num>
  <w:num w:numId="11" w16cid:durableId="539513157">
    <w:abstractNumId w:val="24"/>
  </w:num>
  <w:num w:numId="12" w16cid:durableId="198661686">
    <w:abstractNumId w:val="3"/>
  </w:num>
  <w:num w:numId="13" w16cid:durableId="1590045384">
    <w:abstractNumId w:val="6"/>
  </w:num>
  <w:num w:numId="14" w16cid:durableId="1950894739">
    <w:abstractNumId w:val="1"/>
  </w:num>
  <w:num w:numId="15" w16cid:durableId="184750426">
    <w:abstractNumId w:val="13"/>
  </w:num>
  <w:num w:numId="16" w16cid:durableId="2108192614">
    <w:abstractNumId w:val="17"/>
  </w:num>
  <w:num w:numId="17" w16cid:durableId="19090408">
    <w:abstractNumId w:val="20"/>
  </w:num>
  <w:num w:numId="18" w16cid:durableId="158205020">
    <w:abstractNumId w:val="11"/>
  </w:num>
  <w:num w:numId="19" w16cid:durableId="1786578229">
    <w:abstractNumId w:val="21"/>
  </w:num>
  <w:num w:numId="20" w16cid:durableId="1995983271">
    <w:abstractNumId w:val="18"/>
  </w:num>
  <w:num w:numId="21" w16cid:durableId="1336684314">
    <w:abstractNumId w:val="15"/>
  </w:num>
  <w:num w:numId="22" w16cid:durableId="933634492">
    <w:abstractNumId w:val="10"/>
  </w:num>
  <w:num w:numId="23" w16cid:durableId="788283125">
    <w:abstractNumId w:val="19"/>
  </w:num>
  <w:num w:numId="24" w16cid:durableId="1024556595">
    <w:abstractNumId w:val="22"/>
  </w:num>
  <w:num w:numId="25" w16cid:durableId="168011365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EB4"/>
    <w:rsid w:val="0013754B"/>
    <w:rsid w:val="00203001"/>
    <w:rsid w:val="00344AB7"/>
    <w:rsid w:val="0095754B"/>
    <w:rsid w:val="009D6496"/>
    <w:rsid w:val="00B5785F"/>
    <w:rsid w:val="00DE711D"/>
    <w:rsid w:val="00F44EB4"/>
    <w:rsid w:val="00FC77B6"/>
    <w:rsid w:val="00FE7D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3779E"/>
  <w15:chartTrackingRefBased/>
  <w15:docId w15:val="{C5060883-ECA8-4928-8497-63A471140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4E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4E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4E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4E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4E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4E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4E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4E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4E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1">
    <w:name w:val="Grid Table 4 Accent 1"/>
    <w:basedOn w:val="TableNormal"/>
    <w:uiPriority w:val="49"/>
    <w:rsid w:val="00DE711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F44E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4E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4E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4E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4E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4E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4E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4E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4EB4"/>
    <w:rPr>
      <w:rFonts w:eastAsiaTheme="majorEastAsia" w:cstheme="majorBidi"/>
      <w:color w:val="272727" w:themeColor="text1" w:themeTint="D8"/>
    </w:rPr>
  </w:style>
  <w:style w:type="paragraph" w:styleId="Title">
    <w:name w:val="Title"/>
    <w:basedOn w:val="Normal"/>
    <w:next w:val="Normal"/>
    <w:link w:val="TitleChar"/>
    <w:uiPriority w:val="10"/>
    <w:qFormat/>
    <w:rsid w:val="00F44E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E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E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E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4EB4"/>
    <w:pPr>
      <w:spacing w:before="160"/>
      <w:jc w:val="center"/>
    </w:pPr>
    <w:rPr>
      <w:i/>
      <w:iCs/>
      <w:color w:val="404040" w:themeColor="text1" w:themeTint="BF"/>
    </w:rPr>
  </w:style>
  <w:style w:type="character" w:customStyle="1" w:styleId="QuoteChar">
    <w:name w:val="Quote Char"/>
    <w:basedOn w:val="DefaultParagraphFont"/>
    <w:link w:val="Quote"/>
    <w:uiPriority w:val="29"/>
    <w:rsid w:val="00F44EB4"/>
    <w:rPr>
      <w:i/>
      <w:iCs/>
      <w:color w:val="404040" w:themeColor="text1" w:themeTint="BF"/>
    </w:rPr>
  </w:style>
  <w:style w:type="paragraph" w:styleId="ListParagraph">
    <w:name w:val="List Paragraph"/>
    <w:basedOn w:val="Normal"/>
    <w:uiPriority w:val="34"/>
    <w:qFormat/>
    <w:rsid w:val="00F44EB4"/>
    <w:pPr>
      <w:ind w:left="720"/>
      <w:contextualSpacing/>
    </w:pPr>
  </w:style>
  <w:style w:type="character" w:styleId="IntenseEmphasis">
    <w:name w:val="Intense Emphasis"/>
    <w:basedOn w:val="DefaultParagraphFont"/>
    <w:uiPriority w:val="21"/>
    <w:qFormat/>
    <w:rsid w:val="00F44EB4"/>
    <w:rPr>
      <w:i/>
      <w:iCs/>
      <w:color w:val="2F5496" w:themeColor="accent1" w:themeShade="BF"/>
    </w:rPr>
  </w:style>
  <w:style w:type="paragraph" w:styleId="IntenseQuote">
    <w:name w:val="Intense Quote"/>
    <w:basedOn w:val="Normal"/>
    <w:next w:val="Normal"/>
    <w:link w:val="IntenseQuoteChar"/>
    <w:uiPriority w:val="30"/>
    <w:qFormat/>
    <w:rsid w:val="00F44E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4EB4"/>
    <w:rPr>
      <w:i/>
      <w:iCs/>
      <w:color w:val="2F5496" w:themeColor="accent1" w:themeShade="BF"/>
    </w:rPr>
  </w:style>
  <w:style w:type="character" w:styleId="IntenseReference">
    <w:name w:val="Intense Reference"/>
    <w:basedOn w:val="DefaultParagraphFont"/>
    <w:uiPriority w:val="32"/>
    <w:qFormat/>
    <w:rsid w:val="00F44EB4"/>
    <w:rPr>
      <w:b/>
      <w:bCs/>
      <w:smallCaps/>
      <w:color w:val="2F5496" w:themeColor="accent1" w:themeShade="BF"/>
      <w:spacing w:val="5"/>
    </w:rPr>
  </w:style>
  <w:style w:type="table" w:styleId="GridTable5Dark-Accent1">
    <w:name w:val="Grid Table 5 Dark Accent 1"/>
    <w:basedOn w:val="TableNormal"/>
    <w:uiPriority w:val="50"/>
    <w:rsid w:val="00F44EB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9474793">
      <w:bodyDiv w:val="1"/>
      <w:marLeft w:val="0"/>
      <w:marRight w:val="0"/>
      <w:marTop w:val="0"/>
      <w:marBottom w:val="0"/>
      <w:divBdr>
        <w:top w:val="none" w:sz="0" w:space="0" w:color="auto"/>
        <w:left w:val="none" w:sz="0" w:space="0" w:color="auto"/>
        <w:bottom w:val="none" w:sz="0" w:space="0" w:color="auto"/>
        <w:right w:val="none" w:sz="0" w:space="0" w:color="auto"/>
      </w:divBdr>
      <w:divsChild>
        <w:div w:id="1864316525">
          <w:marLeft w:val="0"/>
          <w:marRight w:val="0"/>
          <w:marTop w:val="0"/>
          <w:marBottom w:val="0"/>
          <w:divBdr>
            <w:top w:val="none" w:sz="0" w:space="0" w:color="auto"/>
            <w:left w:val="none" w:sz="0" w:space="0" w:color="auto"/>
            <w:bottom w:val="none" w:sz="0" w:space="0" w:color="auto"/>
            <w:right w:val="none" w:sz="0" w:space="0" w:color="auto"/>
          </w:divBdr>
          <w:divsChild>
            <w:div w:id="601643391">
              <w:marLeft w:val="0"/>
              <w:marRight w:val="0"/>
              <w:marTop w:val="0"/>
              <w:marBottom w:val="0"/>
              <w:divBdr>
                <w:top w:val="none" w:sz="0" w:space="0" w:color="auto"/>
                <w:left w:val="none" w:sz="0" w:space="0" w:color="auto"/>
                <w:bottom w:val="none" w:sz="0" w:space="0" w:color="auto"/>
                <w:right w:val="none" w:sz="0" w:space="0" w:color="auto"/>
              </w:divBdr>
              <w:divsChild>
                <w:div w:id="1707952104">
                  <w:marLeft w:val="0"/>
                  <w:marRight w:val="0"/>
                  <w:marTop w:val="0"/>
                  <w:marBottom w:val="0"/>
                  <w:divBdr>
                    <w:top w:val="none" w:sz="0" w:space="0" w:color="auto"/>
                    <w:left w:val="none" w:sz="0" w:space="0" w:color="auto"/>
                    <w:bottom w:val="none" w:sz="0" w:space="0" w:color="auto"/>
                    <w:right w:val="none" w:sz="0" w:space="0" w:color="auto"/>
                  </w:divBdr>
                  <w:divsChild>
                    <w:div w:id="1279066471">
                      <w:marLeft w:val="0"/>
                      <w:marRight w:val="0"/>
                      <w:marTop w:val="0"/>
                      <w:marBottom w:val="0"/>
                      <w:divBdr>
                        <w:top w:val="none" w:sz="0" w:space="0" w:color="auto"/>
                        <w:left w:val="none" w:sz="0" w:space="0" w:color="auto"/>
                        <w:bottom w:val="none" w:sz="0" w:space="0" w:color="auto"/>
                        <w:right w:val="none" w:sz="0" w:space="0" w:color="auto"/>
                      </w:divBdr>
                      <w:divsChild>
                        <w:div w:id="2026586896">
                          <w:marLeft w:val="0"/>
                          <w:marRight w:val="0"/>
                          <w:marTop w:val="0"/>
                          <w:marBottom w:val="0"/>
                          <w:divBdr>
                            <w:top w:val="none" w:sz="0" w:space="0" w:color="auto"/>
                            <w:left w:val="none" w:sz="0" w:space="0" w:color="auto"/>
                            <w:bottom w:val="none" w:sz="0" w:space="0" w:color="auto"/>
                            <w:right w:val="none" w:sz="0" w:space="0" w:color="auto"/>
                          </w:divBdr>
                          <w:divsChild>
                            <w:div w:id="173574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9340228">
          <w:marLeft w:val="0"/>
          <w:marRight w:val="0"/>
          <w:marTop w:val="0"/>
          <w:marBottom w:val="0"/>
          <w:divBdr>
            <w:top w:val="none" w:sz="0" w:space="0" w:color="auto"/>
            <w:left w:val="none" w:sz="0" w:space="0" w:color="auto"/>
            <w:bottom w:val="none" w:sz="0" w:space="0" w:color="auto"/>
            <w:right w:val="none" w:sz="0" w:space="0" w:color="auto"/>
          </w:divBdr>
          <w:divsChild>
            <w:div w:id="1511869628">
              <w:marLeft w:val="0"/>
              <w:marRight w:val="0"/>
              <w:marTop w:val="0"/>
              <w:marBottom w:val="0"/>
              <w:divBdr>
                <w:top w:val="none" w:sz="0" w:space="0" w:color="auto"/>
                <w:left w:val="none" w:sz="0" w:space="0" w:color="auto"/>
                <w:bottom w:val="none" w:sz="0" w:space="0" w:color="auto"/>
                <w:right w:val="none" w:sz="0" w:space="0" w:color="auto"/>
              </w:divBdr>
              <w:divsChild>
                <w:div w:id="228269457">
                  <w:marLeft w:val="0"/>
                  <w:marRight w:val="0"/>
                  <w:marTop w:val="0"/>
                  <w:marBottom w:val="0"/>
                  <w:divBdr>
                    <w:top w:val="none" w:sz="0" w:space="0" w:color="auto"/>
                    <w:left w:val="none" w:sz="0" w:space="0" w:color="auto"/>
                    <w:bottom w:val="none" w:sz="0" w:space="0" w:color="auto"/>
                    <w:right w:val="none" w:sz="0" w:space="0" w:color="auto"/>
                  </w:divBdr>
                  <w:divsChild>
                    <w:div w:id="263196643">
                      <w:marLeft w:val="0"/>
                      <w:marRight w:val="0"/>
                      <w:marTop w:val="0"/>
                      <w:marBottom w:val="0"/>
                      <w:divBdr>
                        <w:top w:val="none" w:sz="0" w:space="0" w:color="auto"/>
                        <w:left w:val="none" w:sz="0" w:space="0" w:color="auto"/>
                        <w:bottom w:val="none" w:sz="0" w:space="0" w:color="auto"/>
                        <w:right w:val="none" w:sz="0" w:space="0" w:color="auto"/>
                      </w:divBdr>
                      <w:divsChild>
                        <w:div w:id="190993127">
                          <w:marLeft w:val="0"/>
                          <w:marRight w:val="0"/>
                          <w:marTop w:val="0"/>
                          <w:marBottom w:val="0"/>
                          <w:divBdr>
                            <w:top w:val="none" w:sz="0" w:space="0" w:color="auto"/>
                            <w:left w:val="none" w:sz="0" w:space="0" w:color="auto"/>
                            <w:bottom w:val="none" w:sz="0" w:space="0" w:color="auto"/>
                            <w:right w:val="none" w:sz="0" w:space="0" w:color="auto"/>
                          </w:divBdr>
                          <w:divsChild>
                            <w:div w:id="832599976">
                              <w:marLeft w:val="0"/>
                              <w:marRight w:val="0"/>
                              <w:marTop w:val="0"/>
                              <w:marBottom w:val="0"/>
                              <w:divBdr>
                                <w:top w:val="none" w:sz="0" w:space="0" w:color="auto"/>
                                <w:left w:val="none" w:sz="0" w:space="0" w:color="auto"/>
                                <w:bottom w:val="none" w:sz="0" w:space="0" w:color="auto"/>
                                <w:right w:val="none" w:sz="0" w:space="0" w:color="auto"/>
                              </w:divBdr>
                              <w:divsChild>
                                <w:div w:id="4831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0797078">
          <w:marLeft w:val="0"/>
          <w:marRight w:val="0"/>
          <w:marTop w:val="0"/>
          <w:marBottom w:val="0"/>
          <w:divBdr>
            <w:top w:val="none" w:sz="0" w:space="0" w:color="auto"/>
            <w:left w:val="none" w:sz="0" w:space="0" w:color="auto"/>
            <w:bottom w:val="none" w:sz="0" w:space="0" w:color="auto"/>
            <w:right w:val="none" w:sz="0" w:space="0" w:color="auto"/>
          </w:divBdr>
          <w:divsChild>
            <w:div w:id="322703514">
              <w:marLeft w:val="0"/>
              <w:marRight w:val="0"/>
              <w:marTop w:val="0"/>
              <w:marBottom w:val="0"/>
              <w:divBdr>
                <w:top w:val="none" w:sz="0" w:space="0" w:color="auto"/>
                <w:left w:val="none" w:sz="0" w:space="0" w:color="auto"/>
                <w:bottom w:val="none" w:sz="0" w:space="0" w:color="auto"/>
                <w:right w:val="none" w:sz="0" w:space="0" w:color="auto"/>
              </w:divBdr>
              <w:divsChild>
                <w:div w:id="1367094890">
                  <w:marLeft w:val="0"/>
                  <w:marRight w:val="0"/>
                  <w:marTop w:val="0"/>
                  <w:marBottom w:val="0"/>
                  <w:divBdr>
                    <w:top w:val="none" w:sz="0" w:space="0" w:color="auto"/>
                    <w:left w:val="none" w:sz="0" w:space="0" w:color="auto"/>
                    <w:bottom w:val="none" w:sz="0" w:space="0" w:color="auto"/>
                    <w:right w:val="none" w:sz="0" w:space="0" w:color="auto"/>
                  </w:divBdr>
                  <w:divsChild>
                    <w:div w:id="163980596">
                      <w:marLeft w:val="0"/>
                      <w:marRight w:val="0"/>
                      <w:marTop w:val="0"/>
                      <w:marBottom w:val="0"/>
                      <w:divBdr>
                        <w:top w:val="none" w:sz="0" w:space="0" w:color="auto"/>
                        <w:left w:val="none" w:sz="0" w:space="0" w:color="auto"/>
                        <w:bottom w:val="none" w:sz="0" w:space="0" w:color="auto"/>
                        <w:right w:val="none" w:sz="0" w:space="0" w:color="auto"/>
                      </w:divBdr>
                      <w:divsChild>
                        <w:div w:id="725876753">
                          <w:marLeft w:val="0"/>
                          <w:marRight w:val="0"/>
                          <w:marTop w:val="0"/>
                          <w:marBottom w:val="0"/>
                          <w:divBdr>
                            <w:top w:val="none" w:sz="0" w:space="0" w:color="auto"/>
                            <w:left w:val="none" w:sz="0" w:space="0" w:color="auto"/>
                            <w:bottom w:val="none" w:sz="0" w:space="0" w:color="auto"/>
                            <w:right w:val="none" w:sz="0" w:space="0" w:color="auto"/>
                          </w:divBdr>
                          <w:divsChild>
                            <w:div w:id="82998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355856">
          <w:marLeft w:val="0"/>
          <w:marRight w:val="0"/>
          <w:marTop w:val="0"/>
          <w:marBottom w:val="0"/>
          <w:divBdr>
            <w:top w:val="none" w:sz="0" w:space="0" w:color="auto"/>
            <w:left w:val="none" w:sz="0" w:space="0" w:color="auto"/>
            <w:bottom w:val="none" w:sz="0" w:space="0" w:color="auto"/>
            <w:right w:val="none" w:sz="0" w:space="0" w:color="auto"/>
          </w:divBdr>
          <w:divsChild>
            <w:div w:id="1681008549">
              <w:marLeft w:val="0"/>
              <w:marRight w:val="0"/>
              <w:marTop w:val="0"/>
              <w:marBottom w:val="0"/>
              <w:divBdr>
                <w:top w:val="none" w:sz="0" w:space="0" w:color="auto"/>
                <w:left w:val="none" w:sz="0" w:space="0" w:color="auto"/>
                <w:bottom w:val="none" w:sz="0" w:space="0" w:color="auto"/>
                <w:right w:val="none" w:sz="0" w:space="0" w:color="auto"/>
              </w:divBdr>
              <w:divsChild>
                <w:div w:id="240255265">
                  <w:marLeft w:val="0"/>
                  <w:marRight w:val="0"/>
                  <w:marTop w:val="0"/>
                  <w:marBottom w:val="0"/>
                  <w:divBdr>
                    <w:top w:val="none" w:sz="0" w:space="0" w:color="auto"/>
                    <w:left w:val="none" w:sz="0" w:space="0" w:color="auto"/>
                    <w:bottom w:val="none" w:sz="0" w:space="0" w:color="auto"/>
                    <w:right w:val="none" w:sz="0" w:space="0" w:color="auto"/>
                  </w:divBdr>
                  <w:divsChild>
                    <w:div w:id="370376313">
                      <w:marLeft w:val="0"/>
                      <w:marRight w:val="0"/>
                      <w:marTop w:val="0"/>
                      <w:marBottom w:val="0"/>
                      <w:divBdr>
                        <w:top w:val="none" w:sz="0" w:space="0" w:color="auto"/>
                        <w:left w:val="none" w:sz="0" w:space="0" w:color="auto"/>
                        <w:bottom w:val="none" w:sz="0" w:space="0" w:color="auto"/>
                        <w:right w:val="none" w:sz="0" w:space="0" w:color="auto"/>
                      </w:divBdr>
                      <w:divsChild>
                        <w:div w:id="1488403888">
                          <w:marLeft w:val="0"/>
                          <w:marRight w:val="0"/>
                          <w:marTop w:val="0"/>
                          <w:marBottom w:val="0"/>
                          <w:divBdr>
                            <w:top w:val="none" w:sz="0" w:space="0" w:color="auto"/>
                            <w:left w:val="none" w:sz="0" w:space="0" w:color="auto"/>
                            <w:bottom w:val="none" w:sz="0" w:space="0" w:color="auto"/>
                            <w:right w:val="none" w:sz="0" w:space="0" w:color="auto"/>
                          </w:divBdr>
                          <w:divsChild>
                            <w:div w:id="756826255">
                              <w:marLeft w:val="0"/>
                              <w:marRight w:val="0"/>
                              <w:marTop w:val="0"/>
                              <w:marBottom w:val="0"/>
                              <w:divBdr>
                                <w:top w:val="none" w:sz="0" w:space="0" w:color="auto"/>
                                <w:left w:val="none" w:sz="0" w:space="0" w:color="auto"/>
                                <w:bottom w:val="none" w:sz="0" w:space="0" w:color="auto"/>
                                <w:right w:val="none" w:sz="0" w:space="0" w:color="auto"/>
                              </w:divBdr>
                              <w:divsChild>
                                <w:div w:id="111070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0531714">
          <w:marLeft w:val="0"/>
          <w:marRight w:val="0"/>
          <w:marTop w:val="0"/>
          <w:marBottom w:val="0"/>
          <w:divBdr>
            <w:top w:val="none" w:sz="0" w:space="0" w:color="auto"/>
            <w:left w:val="none" w:sz="0" w:space="0" w:color="auto"/>
            <w:bottom w:val="none" w:sz="0" w:space="0" w:color="auto"/>
            <w:right w:val="none" w:sz="0" w:space="0" w:color="auto"/>
          </w:divBdr>
          <w:divsChild>
            <w:div w:id="1817602859">
              <w:marLeft w:val="0"/>
              <w:marRight w:val="0"/>
              <w:marTop w:val="0"/>
              <w:marBottom w:val="0"/>
              <w:divBdr>
                <w:top w:val="none" w:sz="0" w:space="0" w:color="auto"/>
                <w:left w:val="none" w:sz="0" w:space="0" w:color="auto"/>
                <w:bottom w:val="none" w:sz="0" w:space="0" w:color="auto"/>
                <w:right w:val="none" w:sz="0" w:space="0" w:color="auto"/>
              </w:divBdr>
              <w:divsChild>
                <w:div w:id="1680887099">
                  <w:marLeft w:val="0"/>
                  <w:marRight w:val="0"/>
                  <w:marTop w:val="0"/>
                  <w:marBottom w:val="0"/>
                  <w:divBdr>
                    <w:top w:val="none" w:sz="0" w:space="0" w:color="auto"/>
                    <w:left w:val="none" w:sz="0" w:space="0" w:color="auto"/>
                    <w:bottom w:val="none" w:sz="0" w:space="0" w:color="auto"/>
                    <w:right w:val="none" w:sz="0" w:space="0" w:color="auto"/>
                  </w:divBdr>
                  <w:divsChild>
                    <w:div w:id="258219263">
                      <w:marLeft w:val="0"/>
                      <w:marRight w:val="0"/>
                      <w:marTop w:val="0"/>
                      <w:marBottom w:val="0"/>
                      <w:divBdr>
                        <w:top w:val="none" w:sz="0" w:space="0" w:color="auto"/>
                        <w:left w:val="none" w:sz="0" w:space="0" w:color="auto"/>
                        <w:bottom w:val="none" w:sz="0" w:space="0" w:color="auto"/>
                        <w:right w:val="none" w:sz="0" w:space="0" w:color="auto"/>
                      </w:divBdr>
                      <w:divsChild>
                        <w:div w:id="623537293">
                          <w:marLeft w:val="0"/>
                          <w:marRight w:val="0"/>
                          <w:marTop w:val="0"/>
                          <w:marBottom w:val="0"/>
                          <w:divBdr>
                            <w:top w:val="none" w:sz="0" w:space="0" w:color="auto"/>
                            <w:left w:val="none" w:sz="0" w:space="0" w:color="auto"/>
                            <w:bottom w:val="none" w:sz="0" w:space="0" w:color="auto"/>
                            <w:right w:val="none" w:sz="0" w:space="0" w:color="auto"/>
                          </w:divBdr>
                          <w:divsChild>
                            <w:div w:id="14640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0390759">
          <w:marLeft w:val="0"/>
          <w:marRight w:val="0"/>
          <w:marTop w:val="0"/>
          <w:marBottom w:val="0"/>
          <w:divBdr>
            <w:top w:val="none" w:sz="0" w:space="0" w:color="auto"/>
            <w:left w:val="none" w:sz="0" w:space="0" w:color="auto"/>
            <w:bottom w:val="none" w:sz="0" w:space="0" w:color="auto"/>
            <w:right w:val="none" w:sz="0" w:space="0" w:color="auto"/>
          </w:divBdr>
          <w:divsChild>
            <w:div w:id="480468304">
              <w:marLeft w:val="0"/>
              <w:marRight w:val="0"/>
              <w:marTop w:val="0"/>
              <w:marBottom w:val="0"/>
              <w:divBdr>
                <w:top w:val="none" w:sz="0" w:space="0" w:color="auto"/>
                <w:left w:val="none" w:sz="0" w:space="0" w:color="auto"/>
                <w:bottom w:val="none" w:sz="0" w:space="0" w:color="auto"/>
                <w:right w:val="none" w:sz="0" w:space="0" w:color="auto"/>
              </w:divBdr>
              <w:divsChild>
                <w:div w:id="112944890">
                  <w:marLeft w:val="0"/>
                  <w:marRight w:val="0"/>
                  <w:marTop w:val="0"/>
                  <w:marBottom w:val="0"/>
                  <w:divBdr>
                    <w:top w:val="none" w:sz="0" w:space="0" w:color="auto"/>
                    <w:left w:val="none" w:sz="0" w:space="0" w:color="auto"/>
                    <w:bottom w:val="none" w:sz="0" w:space="0" w:color="auto"/>
                    <w:right w:val="none" w:sz="0" w:space="0" w:color="auto"/>
                  </w:divBdr>
                  <w:divsChild>
                    <w:div w:id="2145540499">
                      <w:marLeft w:val="0"/>
                      <w:marRight w:val="0"/>
                      <w:marTop w:val="0"/>
                      <w:marBottom w:val="0"/>
                      <w:divBdr>
                        <w:top w:val="none" w:sz="0" w:space="0" w:color="auto"/>
                        <w:left w:val="none" w:sz="0" w:space="0" w:color="auto"/>
                        <w:bottom w:val="none" w:sz="0" w:space="0" w:color="auto"/>
                        <w:right w:val="none" w:sz="0" w:space="0" w:color="auto"/>
                      </w:divBdr>
                      <w:divsChild>
                        <w:div w:id="930552207">
                          <w:marLeft w:val="0"/>
                          <w:marRight w:val="0"/>
                          <w:marTop w:val="0"/>
                          <w:marBottom w:val="0"/>
                          <w:divBdr>
                            <w:top w:val="none" w:sz="0" w:space="0" w:color="auto"/>
                            <w:left w:val="none" w:sz="0" w:space="0" w:color="auto"/>
                            <w:bottom w:val="none" w:sz="0" w:space="0" w:color="auto"/>
                            <w:right w:val="none" w:sz="0" w:space="0" w:color="auto"/>
                          </w:divBdr>
                          <w:divsChild>
                            <w:div w:id="1857846245">
                              <w:marLeft w:val="0"/>
                              <w:marRight w:val="0"/>
                              <w:marTop w:val="0"/>
                              <w:marBottom w:val="0"/>
                              <w:divBdr>
                                <w:top w:val="none" w:sz="0" w:space="0" w:color="auto"/>
                                <w:left w:val="none" w:sz="0" w:space="0" w:color="auto"/>
                                <w:bottom w:val="none" w:sz="0" w:space="0" w:color="auto"/>
                                <w:right w:val="none" w:sz="0" w:space="0" w:color="auto"/>
                              </w:divBdr>
                              <w:divsChild>
                                <w:div w:id="211435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4579155">
          <w:marLeft w:val="0"/>
          <w:marRight w:val="0"/>
          <w:marTop w:val="0"/>
          <w:marBottom w:val="0"/>
          <w:divBdr>
            <w:top w:val="none" w:sz="0" w:space="0" w:color="auto"/>
            <w:left w:val="none" w:sz="0" w:space="0" w:color="auto"/>
            <w:bottom w:val="none" w:sz="0" w:space="0" w:color="auto"/>
            <w:right w:val="none" w:sz="0" w:space="0" w:color="auto"/>
          </w:divBdr>
          <w:divsChild>
            <w:div w:id="2014532417">
              <w:marLeft w:val="0"/>
              <w:marRight w:val="0"/>
              <w:marTop w:val="0"/>
              <w:marBottom w:val="0"/>
              <w:divBdr>
                <w:top w:val="none" w:sz="0" w:space="0" w:color="auto"/>
                <w:left w:val="none" w:sz="0" w:space="0" w:color="auto"/>
                <w:bottom w:val="none" w:sz="0" w:space="0" w:color="auto"/>
                <w:right w:val="none" w:sz="0" w:space="0" w:color="auto"/>
              </w:divBdr>
              <w:divsChild>
                <w:div w:id="166209669">
                  <w:marLeft w:val="0"/>
                  <w:marRight w:val="0"/>
                  <w:marTop w:val="0"/>
                  <w:marBottom w:val="0"/>
                  <w:divBdr>
                    <w:top w:val="none" w:sz="0" w:space="0" w:color="auto"/>
                    <w:left w:val="none" w:sz="0" w:space="0" w:color="auto"/>
                    <w:bottom w:val="none" w:sz="0" w:space="0" w:color="auto"/>
                    <w:right w:val="none" w:sz="0" w:space="0" w:color="auto"/>
                  </w:divBdr>
                  <w:divsChild>
                    <w:div w:id="1600990118">
                      <w:marLeft w:val="0"/>
                      <w:marRight w:val="0"/>
                      <w:marTop w:val="0"/>
                      <w:marBottom w:val="0"/>
                      <w:divBdr>
                        <w:top w:val="none" w:sz="0" w:space="0" w:color="auto"/>
                        <w:left w:val="none" w:sz="0" w:space="0" w:color="auto"/>
                        <w:bottom w:val="none" w:sz="0" w:space="0" w:color="auto"/>
                        <w:right w:val="none" w:sz="0" w:space="0" w:color="auto"/>
                      </w:divBdr>
                      <w:divsChild>
                        <w:div w:id="2070033127">
                          <w:marLeft w:val="0"/>
                          <w:marRight w:val="0"/>
                          <w:marTop w:val="0"/>
                          <w:marBottom w:val="0"/>
                          <w:divBdr>
                            <w:top w:val="none" w:sz="0" w:space="0" w:color="auto"/>
                            <w:left w:val="none" w:sz="0" w:space="0" w:color="auto"/>
                            <w:bottom w:val="none" w:sz="0" w:space="0" w:color="auto"/>
                            <w:right w:val="none" w:sz="0" w:space="0" w:color="auto"/>
                          </w:divBdr>
                          <w:divsChild>
                            <w:div w:id="177165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7376229">
          <w:marLeft w:val="0"/>
          <w:marRight w:val="0"/>
          <w:marTop w:val="0"/>
          <w:marBottom w:val="0"/>
          <w:divBdr>
            <w:top w:val="none" w:sz="0" w:space="0" w:color="auto"/>
            <w:left w:val="none" w:sz="0" w:space="0" w:color="auto"/>
            <w:bottom w:val="none" w:sz="0" w:space="0" w:color="auto"/>
            <w:right w:val="none" w:sz="0" w:space="0" w:color="auto"/>
          </w:divBdr>
          <w:divsChild>
            <w:div w:id="1015616841">
              <w:marLeft w:val="0"/>
              <w:marRight w:val="0"/>
              <w:marTop w:val="0"/>
              <w:marBottom w:val="0"/>
              <w:divBdr>
                <w:top w:val="none" w:sz="0" w:space="0" w:color="auto"/>
                <w:left w:val="none" w:sz="0" w:space="0" w:color="auto"/>
                <w:bottom w:val="none" w:sz="0" w:space="0" w:color="auto"/>
                <w:right w:val="none" w:sz="0" w:space="0" w:color="auto"/>
              </w:divBdr>
              <w:divsChild>
                <w:div w:id="1822231511">
                  <w:marLeft w:val="0"/>
                  <w:marRight w:val="0"/>
                  <w:marTop w:val="0"/>
                  <w:marBottom w:val="0"/>
                  <w:divBdr>
                    <w:top w:val="none" w:sz="0" w:space="0" w:color="auto"/>
                    <w:left w:val="none" w:sz="0" w:space="0" w:color="auto"/>
                    <w:bottom w:val="none" w:sz="0" w:space="0" w:color="auto"/>
                    <w:right w:val="none" w:sz="0" w:space="0" w:color="auto"/>
                  </w:divBdr>
                  <w:divsChild>
                    <w:div w:id="1642267594">
                      <w:marLeft w:val="0"/>
                      <w:marRight w:val="0"/>
                      <w:marTop w:val="0"/>
                      <w:marBottom w:val="0"/>
                      <w:divBdr>
                        <w:top w:val="none" w:sz="0" w:space="0" w:color="auto"/>
                        <w:left w:val="none" w:sz="0" w:space="0" w:color="auto"/>
                        <w:bottom w:val="none" w:sz="0" w:space="0" w:color="auto"/>
                        <w:right w:val="none" w:sz="0" w:space="0" w:color="auto"/>
                      </w:divBdr>
                      <w:divsChild>
                        <w:div w:id="724261697">
                          <w:marLeft w:val="0"/>
                          <w:marRight w:val="0"/>
                          <w:marTop w:val="0"/>
                          <w:marBottom w:val="0"/>
                          <w:divBdr>
                            <w:top w:val="none" w:sz="0" w:space="0" w:color="auto"/>
                            <w:left w:val="none" w:sz="0" w:space="0" w:color="auto"/>
                            <w:bottom w:val="none" w:sz="0" w:space="0" w:color="auto"/>
                            <w:right w:val="none" w:sz="0" w:space="0" w:color="auto"/>
                          </w:divBdr>
                          <w:divsChild>
                            <w:div w:id="1913420529">
                              <w:marLeft w:val="0"/>
                              <w:marRight w:val="0"/>
                              <w:marTop w:val="0"/>
                              <w:marBottom w:val="0"/>
                              <w:divBdr>
                                <w:top w:val="none" w:sz="0" w:space="0" w:color="auto"/>
                                <w:left w:val="none" w:sz="0" w:space="0" w:color="auto"/>
                                <w:bottom w:val="none" w:sz="0" w:space="0" w:color="auto"/>
                                <w:right w:val="none" w:sz="0" w:space="0" w:color="auto"/>
                              </w:divBdr>
                              <w:divsChild>
                                <w:div w:id="30358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7397641">
          <w:marLeft w:val="0"/>
          <w:marRight w:val="0"/>
          <w:marTop w:val="0"/>
          <w:marBottom w:val="0"/>
          <w:divBdr>
            <w:top w:val="none" w:sz="0" w:space="0" w:color="auto"/>
            <w:left w:val="none" w:sz="0" w:space="0" w:color="auto"/>
            <w:bottom w:val="none" w:sz="0" w:space="0" w:color="auto"/>
            <w:right w:val="none" w:sz="0" w:space="0" w:color="auto"/>
          </w:divBdr>
          <w:divsChild>
            <w:div w:id="849948916">
              <w:marLeft w:val="0"/>
              <w:marRight w:val="0"/>
              <w:marTop w:val="0"/>
              <w:marBottom w:val="0"/>
              <w:divBdr>
                <w:top w:val="none" w:sz="0" w:space="0" w:color="auto"/>
                <w:left w:val="none" w:sz="0" w:space="0" w:color="auto"/>
                <w:bottom w:val="none" w:sz="0" w:space="0" w:color="auto"/>
                <w:right w:val="none" w:sz="0" w:space="0" w:color="auto"/>
              </w:divBdr>
              <w:divsChild>
                <w:div w:id="21246037">
                  <w:marLeft w:val="0"/>
                  <w:marRight w:val="0"/>
                  <w:marTop w:val="0"/>
                  <w:marBottom w:val="0"/>
                  <w:divBdr>
                    <w:top w:val="none" w:sz="0" w:space="0" w:color="auto"/>
                    <w:left w:val="none" w:sz="0" w:space="0" w:color="auto"/>
                    <w:bottom w:val="none" w:sz="0" w:space="0" w:color="auto"/>
                    <w:right w:val="none" w:sz="0" w:space="0" w:color="auto"/>
                  </w:divBdr>
                  <w:divsChild>
                    <w:div w:id="1180007286">
                      <w:marLeft w:val="0"/>
                      <w:marRight w:val="0"/>
                      <w:marTop w:val="0"/>
                      <w:marBottom w:val="0"/>
                      <w:divBdr>
                        <w:top w:val="none" w:sz="0" w:space="0" w:color="auto"/>
                        <w:left w:val="none" w:sz="0" w:space="0" w:color="auto"/>
                        <w:bottom w:val="none" w:sz="0" w:space="0" w:color="auto"/>
                        <w:right w:val="none" w:sz="0" w:space="0" w:color="auto"/>
                      </w:divBdr>
                      <w:divsChild>
                        <w:div w:id="1047874921">
                          <w:marLeft w:val="0"/>
                          <w:marRight w:val="0"/>
                          <w:marTop w:val="0"/>
                          <w:marBottom w:val="0"/>
                          <w:divBdr>
                            <w:top w:val="none" w:sz="0" w:space="0" w:color="auto"/>
                            <w:left w:val="none" w:sz="0" w:space="0" w:color="auto"/>
                            <w:bottom w:val="none" w:sz="0" w:space="0" w:color="auto"/>
                            <w:right w:val="none" w:sz="0" w:space="0" w:color="auto"/>
                          </w:divBdr>
                          <w:divsChild>
                            <w:div w:id="172571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3923467">
          <w:marLeft w:val="0"/>
          <w:marRight w:val="0"/>
          <w:marTop w:val="0"/>
          <w:marBottom w:val="0"/>
          <w:divBdr>
            <w:top w:val="none" w:sz="0" w:space="0" w:color="auto"/>
            <w:left w:val="none" w:sz="0" w:space="0" w:color="auto"/>
            <w:bottom w:val="none" w:sz="0" w:space="0" w:color="auto"/>
            <w:right w:val="none" w:sz="0" w:space="0" w:color="auto"/>
          </w:divBdr>
          <w:divsChild>
            <w:div w:id="521095101">
              <w:marLeft w:val="0"/>
              <w:marRight w:val="0"/>
              <w:marTop w:val="0"/>
              <w:marBottom w:val="0"/>
              <w:divBdr>
                <w:top w:val="none" w:sz="0" w:space="0" w:color="auto"/>
                <w:left w:val="none" w:sz="0" w:space="0" w:color="auto"/>
                <w:bottom w:val="none" w:sz="0" w:space="0" w:color="auto"/>
                <w:right w:val="none" w:sz="0" w:space="0" w:color="auto"/>
              </w:divBdr>
              <w:divsChild>
                <w:div w:id="1127774084">
                  <w:marLeft w:val="0"/>
                  <w:marRight w:val="0"/>
                  <w:marTop w:val="0"/>
                  <w:marBottom w:val="0"/>
                  <w:divBdr>
                    <w:top w:val="none" w:sz="0" w:space="0" w:color="auto"/>
                    <w:left w:val="none" w:sz="0" w:space="0" w:color="auto"/>
                    <w:bottom w:val="none" w:sz="0" w:space="0" w:color="auto"/>
                    <w:right w:val="none" w:sz="0" w:space="0" w:color="auto"/>
                  </w:divBdr>
                  <w:divsChild>
                    <w:div w:id="642932934">
                      <w:marLeft w:val="0"/>
                      <w:marRight w:val="0"/>
                      <w:marTop w:val="0"/>
                      <w:marBottom w:val="0"/>
                      <w:divBdr>
                        <w:top w:val="none" w:sz="0" w:space="0" w:color="auto"/>
                        <w:left w:val="none" w:sz="0" w:space="0" w:color="auto"/>
                        <w:bottom w:val="none" w:sz="0" w:space="0" w:color="auto"/>
                        <w:right w:val="none" w:sz="0" w:space="0" w:color="auto"/>
                      </w:divBdr>
                      <w:divsChild>
                        <w:div w:id="801730735">
                          <w:marLeft w:val="0"/>
                          <w:marRight w:val="0"/>
                          <w:marTop w:val="0"/>
                          <w:marBottom w:val="0"/>
                          <w:divBdr>
                            <w:top w:val="none" w:sz="0" w:space="0" w:color="auto"/>
                            <w:left w:val="none" w:sz="0" w:space="0" w:color="auto"/>
                            <w:bottom w:val="none" w:sz="0" w:space="0" w:color="auto"/>
                            <w:right w:val="none" w:sz="0" w:space="0" w:color="auto"/>
                          </w:divBdr>
                          <w:divsChild>
                            <w:div w:id="881332133">
                              <w:marLeft w:val="0"/>
                              <w:marRight w:val="0"/>
                              <w:marTop w:val="0"/>
                              <w:marBottom w:val="0"/>
                              <w:divBdr>
                                <w:top w:val="none" w:sz="0" w:space="0" w:color="auto"/>
                                <w:left w:val="none" w:sz="0" w:space="0" w:color="auto"/>
                                <w:bottom w:val="none" w:sz="0" w:space="0" w:color="auto"/>
                                <w:right w:val="none" w:sz="0" w:space="0" w:color="auto"/>
                              </w:divBdr>
                              <w:divsChild>
                                <w:div w:id="47398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9097073">
          <w:marLeft w:val="0"/>
          <w:marRight w:val="0"/>
          <w:marTop w:val="0"/>
          <w:marBottom w:val="0"/>
          <w:divBdr>
            <w:top w:val="none" w:sz="0" w:space="0" w:color="auto"/>
            <w:left w:val="none" w:sz="0" w:space="0" w:color="auto"/>
            <w:bottom w:val="none" w:sz="0" w:space="0" w:color="auto"/>
            <w:right w:val="none" w:sz="0" w:space="0" w:color="auto"/>
          </w:divBdr>
          <w:divsChild>
            <w:div w:id="584919816">
              <w:marLeft w:val="0"/>
              <w:marRight w:val="0"/>
              <w:marTop w:val="0"/>
              <w:marBottom w:val="0"/>
              <w:divBdr>
                <w:top w:val="none" w:sz="0" w:space="0" w:color="auto"/>
                <w:left w:val="none" w:sz="0" w:space="0" w:color="auto"/>
                <w:bottom w:val="none" w:sz="0" w:space="0" w:color="auto"/>
                <w:right w:val="none" w:sz="0" w:space="0" w:color="auto"/>
              </w:divBdr>
              <w:divsChild>
                <w:div w:id="648285462">
                  <w:marLeft w:val="0"/>
                  <w:marRight w:val="0"/>
                  <w:marTop w:val="0"/>
                  <w:marBottom w:val="0"/>
                  <w:divBdr>
                    <w:top w:val="none" w:sz="0" w:space="0" w:color="auto"/>
                    <w:left w:val="none" w:sz="0" w:space="0" w:color="auto"/>
                    <w:bottom w:val="none" w:sz="0" w:space="0" w:color="auto"/>
                    <w:right w:val="none" w:sz="0" w:space="0" w:color="auto"/>
                  </w:divBdr>
                  <w:divsChild>
                    <w:div w:id="244656412">
                      <w:marLeft w:val="0"/>
                      <w:marRight w:val="0"/>
                      <w:marTop w:val="0"/>
                      <w:marBottom w:val="0"/>
                      <w:divBdr>
                        <w:top w:val="none" w:sz="0" w:space="0" w:color="auto"/>
                        <w:left w:val="none" w:sz="0" w:space="0" w:color="auto"/>
                        <w:bottom w:val="none" w:sz="0" w:space="0" w:color="auto"/>
                        <w:right w:val="none" w:sz="0" w:space="0" w:color="auto"/>
                      </w:divBdr>
                      <w:divsChild>
                        <w:div w:id="376783870">
                          <w:marLeft w:val="0"/>
                          <w:marRight w:val="0"/>
                          <w:marTop w:val="0"/>
                          <w:marBottom w:val="0"/>
                          <w:divBdr>
                            <w:top w:val="none" w:sz="0" w:space="0" w:color="auto"/>
                            <w:left w:val="none" w:sz="0" w:space="0" w:color="auto"/>
                            <w:bottom w:val="none" w:sz="0" w:space="0" w:color="auto"/>
                            <w:right w:val="none" w:sz="0" w:space="0" w:color="auto"/>
                          </w:divBdr>
                          <w:divsChild>
                            <w:div w:id="8777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641246">
          <w:marLeft w:val="0"/>
          <w:marRight w:val="0"/>
          <w:marTop w:val="0"/>
          <w:marBottom w:val="0"/>
          <w:divBdr>
            <w:top w:val="none" w:sz="0" w:space="0" w:color="auto"/>
            <w:left w:val="none" w:sz="0" w:space="0" w:color="auto"/>
            <w:bottom w:val="none" w:sz="0" w:space="0" w:color="auto"/>
            <w:right w:val="none" w:sz="0" w:space="0" w:color="auto"/>
          </w:divBdr>
          <w:divsChild>
            <w:div w:id="1803307083">
              <w:marLeft w:val="0"/>
              <w:marRight w:val="0"/>
              <w:marTop w:val="0"/>
              <w:marBottom w:val="0"/>
              <w:divBdr>
                <w:top w:val="none" w:sz="0" w:space="0" w:color="auto"/>
                <w:left w:val="none" w:sz="0" w:space="0" w:color="auto"/>
                <w:bottom w:val="none" w:sz="0" w:space="0" w:color="auto"/>
                <w:right w:val="none" w:sz="0" w:space="0" w:color="auto"/>
              </w:divBdr>
              <w:divsChild>
                <w:div w:id="1796946284">
                  <w:marLeft w:val="0"/>
                  <w:marRight w:val="0"/>
                  <w:marTop w:val="0"/>
                  <w:marBottom w:val="0"/>
                  <w:divBdr>
                    <w:top w:val="none" w:sz="0" w:space="0" w:color="auto"/>
                    <w:left w:val="none" w:sz="0" w:space="0" w:color="auto"/>
                    <w:bottom w:val="none" w:sz="0" w:space="0" w:color="auto"/>
                    <w:right w:val="none" w:sz="0" w:space="0" w:color="auto"/>
                  </w:divBdr>
                  <w:divsChild>
                    <w:div w:id="2035614976">
                      <w:marLeft w:val="0"/>
                      <w:marRight w:val="0"/>
                      <w:marTop w:val="0"/>
                      <w:marBottom w:val="0"/>
                      <w:divBdr>
                        <w:top w:val="none" w:sz="0" w:space="0" w:color="auto"/>
                        <w:left w:val="none" w:sz="0" w:space="0" w:color="auto"/>
                        <w:bottom w:val="none" w:sz="0" w:space="0" w:color="auto"/>
                        <w:right w:val="none" w:sz="0" w:space="0" w:color="auto"/>
                      </w:divBdr>
                      <w:divsChild>
                        <w:div w:id="514155450">
                          <w:marLeft w:val="0"/>
                          <w:marRight w:val="0"/>
                          <w:marTop w:val="0"/>
                          <w:marBottom w:val="0"/>
                          <w:divBdr>
                            <w:top w:val="none" w:sz="0" w:space="0" w:color="auto"/>
                            <w:left w:val="none" w:sz="0" w:space="0" w:color="auto"/>
                            <w:bottom w:val="none" w:sz="0" w:space="0" w:color="auto"/>
                            <w:right w:val="none" w:sz="0" w:space="0" w:color="auto"/>
                          </w:divBdr>
                          <w:divsChild>
                            <w:div w:id="1883133188">
                              <w:marLeft w:val="0"/>
                              <w:marRight w:val="0"/>
                              <w:marTop w:val="0"/>
                              <w:marBottom w:val="0"/>
                              <w:divBdr>
                                <w:top w:val="none" w:sz="0" w:space="0" w:color="auto"/>
                                <w:left w:val="none" w:sz="0" w:space="0" w:color="auto"/>
                                <w:bottom w:val="none" w:sz="0" w:space="0" w:color="auto"/>
                                <w:right w:val="none" w:sz="0" w:space="0" w:color="auto"/>
                              </w:divBdr>
                              <w:divsChild>
                                <w:div w:id="67888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9923293">
          <w:marLeft w:val="0"/>
          <w:marRight w:val="0"/>
          <w:marTop w:val="0"/>
          <w:marBottom w:val="0"/>
          <w:divBdr>
            <w:top w:val="none" w:sz="0" w:space="0" w:color="auto"/>
            <w:left w:val="none" w:sz="0" w:space="0" w:color="auto"/>
            <w:bottom w:val="none" w:sz="0" w:space="0" w:color="auto"/>
            <w:right w:val="none" w:sz="0" w:space="0" w:color="auto"/>
          </w:divBdr>
          <w:divsChild>
            <w:div w:id="945232734">
              <w:marLeft w:val="0"/>
              <w:marRight w:val="0"/>
              <w:marTop w:val="0"/>
              <w:marBottom w:val="0"/>
              <w:divBdr>
                <w:top w:val="none" w:sz="0" w:space="0" w:color="auto"/>
                <w:left w:val="none" w:sz="0" w:space="0" w:color="auto"/>
                <w:bottom w:val="none" w:sz="0" w:space="0" w:color="auto"/>
                <w:right w:val="none" w:sz="0" w:space="0" w:color="auto"/>
              </w:divBdr>
              <w:divsChild>
                <w:div w:id="2067410558">
                  <w:marLeft w:val="0"/>
                  <w:marRight w:val="0"/>
                  <w:marTop w:val="0"/>
                  <w:marBottom w:val="0"/>
                  <w:divBdr>
                    <w:top w:val="none" w:sz="0" w:space="0" w:color="auto"/>
                    <w:left w:val="none" w:sz="0" w:space="0" w:color="auto"/>
                    <w:bottom w:val="none" w:sz="0" w:space="0" w:color="auto"/>
                    <w:right w:val="none" w:sz="0" w:space="0" w:color="auto"/>
                  </w:divBdr>
                  <w:divsChild>
                    <w:div w:id="1740320317">
                      <w:marLeft w:val="0"/>
                      <w:marRight w:val="0"/>
                      <w:marTop w:val="0"/>
                      <w:marBottom w:val="0"/>
                      <w:divBdr>
                        <w:top w:val="none" w:sz="0" w:space="0" w:color="auto"/>
                        <w:left w:val="none" w:sz="0" w:space="0" w:color="auto"/>
                        <w:bottom w:val="none" w:sz="0" w:space="0" w:color="auto"/>
                        <w:right w:val="none" w:sz="0" w:space="0" w:color="auto"/>
                      </w:divBdr>
                      <w:divsChild>
                        <w:div w:id="1973513737">
                          <w:marLeft w:val="0"/>
                          <w:marRight w:val="0"/>
                          <w:marTop w:val="0"/>
                          <w:marBottom w:val="0"/>
                          <w:divBdr>
                            <w:top w:val="none" w:sz="0" w:space="0" w:color="auto"/>
                            <w:left w:val="none" w:sz="0" w:space="0" w:color="auto"/>
                            <w:bottom w:val="none" w:sz="0" w:space="0" w:color="auto"/>
                            <w:right w:val="none" w:sz="0" w:space="0" w:color="auto"/>
                          </w:divBdr>
                          <w:divsChild>
                            <w:div w:id="99556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9962223">
          <w:marLeft w:val="0"/>
          <w:marRight w:val="0"/>
          <w:marTop w:val="0"/>
          <w:marBottom w:val="0"/>
          <w:divBdr>
            <w:top w:val="none" w:sz="0" w:space="0" w:color="auto"/>
            <w:left w:val="none" w:sz="0" w:space="0" w:color="auto"/>
            <w:bottom w:val="none" w:sz="0" w:space="0" w:color="auto"/>
            <w:right w:val="none" w:sz="0" w:space="0" w:color="auto"/>
          </w:divBdr>
          <w:divsChild>
            <w:div w:id="474373980">
              <w:marLeft w:val="0"/>
              <w:marRight w:val="0"/>
              <w:marTop w:val="0"/>
              <w:marBottom w:val="0"/>
              <w:divBdr>
                <w:top w:val="none" w:sz="0" w:space="0" w:color="auto"/>
                <w:left w:val="none" w:sz="0" w:space="0" w:color="auto"/>
                <w:bottom w:val="none" w:sz="0" w:space="0" w:color="auto"/>
                <w:right w:val="none" w:sz="0" w:space="0" w:color="auto"/>
              </w:divBdr>
              <w:divsChild>
                <w:div w:id="1401905913">
                  <w:marLeft w:val="0"/>
                  <w:marRight w:val="0"/>
                  <w:marTop w:val="0"/>
                  <w:marBottom w:val="0"/>
                  <w:divBdr>
                    <w:top w:val="none" w:sz="0" w:space="0" w:color="auto"/>
                    <w:left w:val="none" w:sz="0" w:space="0" w:color="auto"/>
                    <w:bottom w:val="none" w:sz="0" w:space="0" w:color="auto"/>
                    <w:right w:val="none" w:sz="0" w:space="0" w:color="auto"/>
                  </w:divBdr>
                  <w:divsChild>
                    <w:div w:id="1077282488">
                      <w:marLeft w:val="0"/>
                      <w:marRight w:val="0"/>
                      <w:marTop w:val="0"/>
                      <w:marBottom w:val="0"/>
                      <w:divBdr>
                        <w:top w:val="none" w:sz="0" w:space="0" w:color="auto"/>
                        <w:left w:val="none" w:sz="0" w:space="0" w:color="auto"/>
                        <w:bottom w:val="none" w:sz="0" w:space="0" w:color="auto"/>
                        <w:right w:val="none" w:sz="0" w:space="0" w:color="auto"/>
                      </w:divBdr>
                      <w:divsChild>
                        <w:div w:id="763762838">
                          <w:marLeft w:val="0"/>
                          <w:marRight w:val="0"/>
                          <w:marTop w:val="0"/>
                          <w:marBottom w:val="0"/>
                          <w:divBdr>
                            <w:top w:val="none" w:sz="0" w:space="0" w:color="auto"/>
                            <w:left w:val="none" w:sz="0" w:space="0" w:color="auto"/>
                            <w:bottom w:val="none" w:sz="0" w:space="0" w:color="auto"/>
                            <w:right w:val="none" w:sz="0" w:space="0" w:color="auto"/>
                          </w:divBdr>
                          <w:divsChild>
                            <w:div w:id="766579491">
                              <w:marLeft w:val="0"/>
                              <w:marRight w:val="0"/>
                              <w:marTop w:val="0"/>
                              <w:marBottom w:val="0"/>
                              <w:divBdr>
                                <w:top w:val="none" w:sz="0" w:space="0" w:color="auto"/>
                                <w:left w:val="none" w:sz="0" w:space="0" w:color="auto"/>
                                <w:bottom w:val="none" w:sz="0" w:space="0" w:color="auto"/>
                                <w:right w:val="none" w:sz="0" w:space="0" w:color="auto"/>
                              </w:divBdr>
                              <w:divsChild>
                                <w:div w:id="101338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6372170">
          <w:marLeft w:val="0"/>
          <w:marRight w:val="0"/>
          <w:marTop w:val="0"/>
          <w:marBottom w:val="0"/>
          <w:divBdr>
            <w:top w:val="none" w:sz="0" w:space="0" w:color="auto"/>
            <w:left w:val="none" w:sz="0" w:space="0" w:color="auto"/>
            <w:bottom w:val="none" w:sz="0" w:space="0" w:color="auto"/>
            <w:right w:val="none" w:sz="0" w:space="0" w:color="auto"/>
          </w:divBdr>
          <w:divsChild>
            <w:div w:id="1022558649">
              <w:marLeft w:val="0"/>
              <w:marRight w:val="0"/>
              <w:marTop w:val="0"/>
              <w:marBottom w:val="0"/>
              <w:divBdr>
                <w:top w:val="none" w:sz="0" w:space="0" w:color="auto"/>
                <w:left w:val="none" w:sz="0" w:space="0" w:color="auto"/>
                <w:bottom w:val="none" w:sz="0" w:space="0" w:color="auto"/>
                <w:right w:val="none" w:sz="0" w:space="0" w:color="auto"/>
              </w:divBdr>
              <w:divsChild>
                <w:div w:id="1458718847">
                  <w:marLeft w:val="0"/>
                  <w:marRight w:val="0"/>
                  <w:marTop w:val="0"/>
                  <w:marBottom w:val="0"/>
                  <w:divBdr>
                    <w:top w:val="none" w:sz="0" w:space="0" w:color="auto"/>
                    <w:left w:val="none" w:sz="0" w:space="0" w:color="auto"/>
                    <w:bottom w:val="none" w:sz="0" w:space="0" w:color="auto"/>
                    <w:right w:val="none" w:sz="0" w:space="0" w:color="auto"/>
                  </w:divBdr>
                  <w:divsChild>
                    <w:div w:id="424762834">
                      <w:marLeft w:val="0"/>
                      <w:marRight w:val="0"/>
                      <w:marTop w:val="0"/>
                      <w:marBottom w:val="0"/>
                      <w:divBdr>
                        <w:top w:val="none" w:sz="0" w:space="0" w:color="auto"/>
                        <w:left w:val="none" w:sz="0" w:space="0" w:color="auto"/>
                        <w:bottom w:val="none" w:sz="0" w:space="0" w:color="auto"/>
                        <w:right w:val="none" w:sz="0" w:space="0" w:color="auto"/>
                      </w:divBdr>
                      <w:divsChild>
                        <w:div w:id="1661076291">
                          <w:marLeft w:val="0"/>
                          <w:marRight w:val="0"/>
                          <w:marTop w:val="0"/>
                          <w:marBottom w:val="0"/>
                          <w:divBdr>
                            <w:top w:val="none" w:sz="0" w:space="0" w:color="auto"/>
                            <w:left w:val="none" w:sz="0" w:space="0" w:color="auto"/>
                            <w:bottom w:val="none" w:sz="0" w:space="0" w:color="auto"/>
                            <w:right w:val="none" w:sz="0" w:space="0" w:color="auto"/>
                          </w:divBdr>
                          <w:divsChild>
                            <w:div w:id="2009094683">
                              <w:marLeft w:val="0"/>
                              <w:marRight w:val="0"/>
                              <w:marTop w:val="0"/>
                              <w:marBottom w:val="0"/>
                              <w:divBdr>
                                <w:top w:val="none" w:sz="0" w:space="0" w:color="auto"/>
                                <w:left w:val="none" w:sz="0" w:space="0" w:color="auto"/>
                                <w:bottom w:val="none" w:sz="0" w:space="0" w:color="auto"/>
                                <w:right w:val="none" w:sz="0" w:space="0" w:color="auto"/>
                              </w:divBdr>
                              <w:divsChild>
                                <w:div w:id="772669650">
                                  <w:marLeft w:val="0"/>
                                  <w:marRight w:val="0"/>
                                  <w:marTop w:val="0"/>
                                  <w:marBottom w:val="0"/>
                                  <w:divBdr>
                                    <w:top w:val="none" w:sz="0" w:space="0" w:color="auto"/>
                                    <w:left w:val="none" w:sz="0" w:space="0" w:color="auto"/>
                                    <w:bottom w:val="none" w:sz="0" w:space="0" w:color="auto"/>
                                    <w:right w:val="none" w:sz="0" w:space="0" w:color="auto"/>
                                  </w:divBdr>
                                  <w:divsChild>
                                    <w:div w:id="154398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6003273">
          <w:marLeft w:val="0"/>
          <w:marRight w:val="0"/>
          <w:marTop w:val="0"/>
          <w:marBottom w:val="0"/>
          <w:divBdr>
            <w:top w:val="none" w:sz="0" w:space="0" w:color="auto"/>
            <w:left w:val="none" w:sz="0" w:space="0" w:color="auto"/>
            <w:bottom w:val="none" w:sz="0" w:space="0" w:color="auto"/>
            <w:right w:val="none" w:sz="0" w:space="0" w:color="auto"/>
          </w:divBdr>
          <w:divsChild>
            <w:div w:id="1768034841">
              <w:marLeft w:val="0"/>
              <w:marRight w:val="0"/>
              <w:marTop w:val="0"/>
              <w:marBottom w:val="0"/>
              <w:divBdr>
                <w:top w:val="none" w:sz="0" w:space="0" w:color="auto"/>
                <w:left w:val="none" w:sz="0" w:space="0" w:color="auto"/>
                <w:bottom w:val="none" w:sz="0" w:space="0" w:color="auto"/>
                <w:right w:val="none" w:sz="0" w:space="0" w:color="auto"/>
              </w:divBdr>
              <w:divsChild>
                <w:div w:id="128860861">
                  <w:marLeft w:val="0"/>
                  <w:marRight w:val="0"/>
                  <w:marTop w:val="0"/>
                  <w:marBottom w:val="0"/>
                  <w:divBdr>
                    <w:top w:val="none" w:sz="0" w:space="0" w:color="auto"/>
                    <w:left w:val="none" w:sz="0" w:space="0" w:color="auto"/>
                    <w:bottom w:val="none" w:sz="0" w:space="0" w:color="auto"/>
                    <w:right w:val="none" w:sz="0" w:space="0" w:color="auto"/>
                  </w:divBdr>
                  <w:divsChild>
                    <w:div w:id="268126653">
                      <w:marLeft w:val="0"/>
                      <w:marRight w:val="0"/>
                      <w:marTop w:val="0"/>
                      <w:marBottom w:val="0"/>
                      <w:divBdr>
                        <w:top w:val="none" w:sz="0" w:space="0" w:color="auto"/>
                        <w:left w:val="none" w:sz="0" w:space="0" w:color="auto"/>
                        <w:bottom w:val="none" w:sz="0" w:space="0" w:color="auto"/>
                        <w:right w:val="none" w:sz="0" w:space="0" w:color="auto"/>
                      </w:divBdr>
                      <w:divsChild>
                        <w:div w:id="543906062">
                          <w:marLeft w:val="0"/>
                          <w:marRight w:val="0"/>
                          <w:marTop w:val="0"/>
                          <w:marBottom w:val="0"/>
                          <w:divBdr>
                            <w:top w:val="none" w:sz="0" w:space="0" w:color="auto"/>
                            <w:left w:val="none" w:sz="0" w:space="0" w:color="auto"/>
                            <w:bottom w:val="none" w:sz="0" w:space="0" w:color="auto"/>
                            <w:right w:val="none" w:sz="0" w:space="0" w:color="auto"/>
                          </w:divBdr>
                          <w:divsChild>
                            <w:div w:id="2058430120">
                              <w:marLeft w:val="0"/>
                              <w:marRight w:val="0"/>
                              <w:marTop w:val="0"/>
                              <w:marBottom w:val="0"/>
                              <w:divBdr>
                                <w:top w:val="none" w:sz="0" w:space="0" w:color="auto"/>
                                <w:left w:val="none" w:sz="0" w:space="0" w:color="auto"/>
                                <w:bottom w:val="none" w:sz="0" w:space="0" w:color="auto"/>
                                <w:right w:val="none" w:sz="0" w:space="0" w:color="auto"/>
                              </w:divBdr>
                              <w:divsChild>
                                <w:div w:id="132600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579751">
          <w:marLeft w:val="0"/>
          <w:marRight w:val="0"/>
          <w:marTop w:val="0"/>
          <w:marBottom w:val="0"/>
          <w:divBdr>
            <w:top w:val="none" w:sz="0" w:space="0" w:color="auto"/>
            <w:left w:val="none" w:sz="0" w:space="0" w:color="auto"/>
            <w:bottom w:val="none" w:sz="0" w:space="0" w:color="auto"/>
            <w:right w:val="none" w:sz="0" w:space="0" w:color="auto"/>
          </w:divBdr>
          <w:divsChild>
            <w:div w:id="1264679457">
              <w:marLeft w:val="0"/>
              <w:marRight w:val="0"/>
              <w:marTop w:val="0"/>
              <w:marBottom w:val="0"/>
              <w:divBdr>
                <w:top w:val="none" w:sz="0" w:space="0" w:color="auto"/>
                <w:left w:val="none" w:sz="0" w:space="0" w:color="auto"/>
                <w:bottom w:val="none" w:sz="0" w:space="0" w:color="auto"/>
                <w:right w:val="none" w:sz="0" w:space="0" w:color="auto"/>
              </w:divBdr>
              <w:divsChild>
                <w:div w:id="225650025">
                  <w:marLeft w:val="0"/>
                  <w:marRight w:val="0"/>
                  <w:marTop w:val="0"/>
                  <w:marBottom w:val="0"/>
                  <w:divBdr>
                    <w:top w:val="none" w:sz="0" w:space="0" w:color="auto"/>
                    <w:left w:val="none" w:sz="0" w:space="0" w:color="auto"/>
                    <w:bottom w:val="none" w:sz="0" w:space="0" w:color="auto"/>
                    <w:right w:val="none" w:sz="0" w:space="0" w:color="auto"/>
                  </w:divBdr>
                  <w:divsChild>
                    <w:div w:id="1893496587">
                      <w:marLeft w:val="0"/>
                      <w:marRight w:val="0"/>
                      <w:marTop w:val="0"/>
                      <w:marBottom w:val="0"/>
                      <w:divBdr>
                        <w:top w:val="none" w:sz="0" w:space="0" w:color="auto"/>
                        <w:left w:val="none" w:sz="0" w:space="0" w:color="auto"/>
                        <w:bottom w:val="none" w:sz="0" w:space="0" w:color="auto"/>
                        <w:right w:val="none" w:sz="0" w:space="0" w:color="auto"/>
                      </w:divBdr>
                      <w:divsChild>
                        <w:div w:id="120729356">
                          <w:marLeft w:val="0"/>
                          <w:marRight w:val="0"/>
                          <w:marTop w:val="0"/>
                          <w:marBottom w:val="0"/>
                          <w:divBdr>
                            <w:top w:val="none" w:sz="0" w:space="0" w:color="auto"/>
                            <w:left w:val="none" w:sz="0" w:space="0" w:color="auto"/>
                            <w:bottom w:val="none" w:sz="0" w:space="0" w:color="auto"/>
                            <w:right w:val="none" w:sz="0" w:space="0" w:color="auto"/>
                          </w:divBdr>
                          <w:divsChild>
                            <w:div w:id="104665032">
                              <w:marLeft w:val="0"/>
                              <w:marRight w:val="0"/>
                              <w:marTop w:val="0"/>
                              <w:marBottom w:val="0"/>
                              <w:divBdr>
                                <w:top w:val="none" w:sz="0" w:space="0" w:color="auto"/>
                                <w:left w:val="none" w:sz="0" w:space="0" w:color="auto"/>
                                <w:bottom w:val="none" w:sz="0" w:space="0" w:color="auto"/>
                                <w:right w:val="none" w:sz="0" w:space="0" w:color="auto"/>
                              </w:divBdr>
                              <w:divsChild>
                                <w:div w:id="810947066">
                                  <w:marLeft w:val="0"/>
                                  <w:marRight w:val="0"/>
                                  <w:marTop w:val="0"/>
                                  <w:marBottom w:val="0"/>
                                  <w:divBdr>
                                    <w:top w:val="none" w:sz="0" w:space="0" w:color="auto"/>
                                    <w:left w:val="none" w:sz="0" w:space="0" w:color="auto"/>
                                    <w:bottom w:val="none" w:sz="0" w:space="0" w:color="auto"/>
                                    <w:right w:val="none" w:sz="0" w:space="0" w:color="auto"/>
                                  </w:divBdr>
                                  <w:divsChild>
                                    <w:div w:id="39402168">
                                      <w:marLeft w:val="0"/>
                                      <w:marRight w:val="0"/>
                                      <w:marTop w:val="0"/>
                                      <w:marBottom w:val="0"/>
                                      <w:divBdr>
                                        <w:top w:val="none" w:sz="0" w:space="0" w:color="auto"/>
                                        <w:left w:val="none" w:sz="0" w:space="0" w:color="auto"/>
                                        <w:bottom w:val="none" w:sz="0" w:space="0" w:color="auto"/>
                                        <w:right w:val="none" w:sz="0" w:space="0" w:color="auto"/>
                                      </w:divBdr>
                                    </w:div>
                                  </w:divsChild>
                                </w:div>
                                <w:div w:id="2100590984">
                                  <w:marLeft w:val="0"/>
                                  <w:marRight w:val="0"/>
                                  <w:marTop w:val="0"/>
                                  <w:marBottom w:val="0"/>
                                  <w:divBdr>
                                    <w:top w:val="none" w:sz="0" w:space="0" w:color="auto"/>
                                    <w:left w:val="none" w:sz="0" w:space="0" w:color="auto"/>
                                    <w:bottom w:val="none" w:sz="0" w:space="0" w:color="auto"/>
                                    <w:right w:val="none" w:sz="0" w:space="0" w:color="auto"/>
                                  </w:divBdr>
                                  <w:divsChild>
                                    <w:div w:id="88526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3732946">
          <w:marLeft w:val="0"/>
          <w:marRight w:val="0"/>
          <w:marTop w:val="0"/>
          <w:marBottom w:val="0"/>
          <w:divBdr>
            <w:top w:val="none" w:sz="0" w:space="0" w:color="auto"/>
            <w:left w:val="none" w:sz="0" w:space="0" w:color="auto"/>
            <w:bottom w:val="none" w:sz="0" w:space="0" w:color="auto"/>
            <w:right w:val="none" w:sz="0" w:space="0" w:color="auto"/>
          </w:divBdr>
          <w:divsChild>
            <w:div w:id="2000571242">
              <w:marLeft w:val="0"/>
              <w:marRight w:val="0"/>
              <w:marTop w:val="0"/>
              <w:marBottom w:val="0"/>
              <w:divBdr>
                <w:top w:val="none" w:sz="0" w:space="0" w:color="auto"/>
                <w:left w:val="none" w:sz="0" w:space="0" w:color="auto"/>
                <w:bottom w:val="none" w:sz="0" w:space="0" w:color="auto"/>
                <w:right w:val="none" w:sz="0" w:space="0" w:color="auto"/>
              </w:divBdr>
              <w:divsChild>
                <w:div w:id="244532138">
                  <w:marLeft w:val="0"/>
                  <w:marRight w:val="0"/>
                  <w:marTop w:val="0"/>
                  <w:marBottom w:val="0"/>
                  <w:divBdr>
                    <w:top w:val="none" w:sz="0" w:space="0" w:color="auto"/>
                    <w:left w:val="none" w:sz="0" w:space="0" w:color="auto"/>
                    <w:bottom w:val="none" w:sz="0" w:space="0" w:color="auto"/>
                    <w:right w:val="none" w:sz="0" w:space="0" w:color="auto"/>
                  </w:divBdr>
                  <w:divsChild>
                    <w:div w:id="2022581141">
                      <w:marLeft w:val="0"/>
                      <w:marRight w:val="0"/>
                      <w:marTop w:val="0"/>
                      <w:marBottom w:val="0"/>
                      <w:divBdr>
                        <w:top w:val="none" w:sz="0" w:space="0" w:color="auto"/>
                        <w:left w:val="none" w:sz="0" w:space="0" w:color="auto"/>
                        <w:bottom w:val="none" w:sz="0" w:space="0" w:color="auto"/>
                        <w:right w:val="none" w:sz="0" w:space="0" w:color="auto"/>
                      </w:divBdr>
                      <w:divsChild>
                        <w:div w:id="174882548">
                          <w:marLeft w:val="0"/>
                          <w:marRight w:val="0"/>
                          <w:marTop w:val="0"/>
                          <w:marBottom w:val="0"/>
                          <w:divBdr>
                            <w:top w:val="none" w:sz="0" w:space="0" w:color="auto"/>
                            <w:left w:val="none" w:sz="0" w:space="0" w:color="auto"/>
                            <w:bottom w:val="none" w:sz="0" w:space="0" w:color="auto"/>
                            <w:right w:val="none" w:sz="0" w:space="0" w:color="auto"/>
                          </w:divBdr>
                          <w:divsChild>
                            <w:div w:id="573047124">
                              <w:marLeft w:val="0"/>
                              <w:marRight w:val="0"/>
                              <w:marTop w:val="0"/>
                              <w:marBottom w:val="0"/>
                              <w:divBdr>
                                <w:top w:val="none" w:sz="0" w:space="0" w:color="auto"/>
                                <w:left w:val="none" w:sz="0" w:space="0" w:color="auto"/>
                                <w:bottom w:val="none" w:sz="0" w:space="0" w:color="auto"/>
                                <w:right w:val="none" w:sz="0" w:space="0" w:color="auto"/>
                              </w:divBdr>
                              <w:divsChild>
                                <w:div w:id="46589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792849">
          <w:marLeft w:val="0"/>
          <w:marRight w:val="0"/>
          <w:marTop w:val="0"/>
          <w:marBottom w:val="0"/>
          <w:divBdr>
            <w:top w:val="none" w:sz="0" w:space="0" w:color="auto"/>
            <w:left w:val="none" w:sz="0" w:space="0" w:color="auto"/>
            <w:bottom w:val="none" w:sz="0" w:space="0" w:color="auto"/>
            <w:right w:val="none" w:sz="0" w:space="0" w:color="auto"/>
          </w:divBdr>
          <w:divsChild>
            <w:div w:id="730927295">
              <w:marLeft w:val="0"/>
              <w:marRight w:val="0"/>
              <w:marTop w:val="0"/>
              <w:marBottom w:val="0"/>
              <w:divBdr>
                <w:top w:val="none" w:sz="0" w:space="0" w:color="auto"/>
                <w:left w:val="none" w:sz="0" w:space="0" w:color="auto"/>
                <w:bottom w:val="none" w:sz="0" w:space="0" w:color="auto"/>
                <w:right w:val="none" w:sz="0" w:space="0" w:color="auto"/>
              </w:divBdr>
              <w:divsChild>
                <w:div w:id="2126849922">
                  <w:marLeft w:val="0"/>
                  <w:marRight w:val="0"/>
                  <w:marTop w:val="0"/>
                  <w:marBottom w:val="0"/>
                  <w:divBdr>
                    <w:top w:val="none" w:sz="0" w:space="0" w:color="auto"/>
                    <w:left w:val="none" w:sz="0" w:space="0" w:color="auto"/>
                    <w:bottom w:val="none" w:sz="0" w:space="0" w:color="auto"/>
                    <w:right w:val="none" w:sz="0" w:space="0" w:color="auto"/>
                  </w:divBdr>
                  <w:divsChild>
                    <w:div w:id="1384795031">
                      <w:marLeft w:val="0"/>
                      <w:marRight w:val="0"/>
                      <w:marTop w:val="0"/>
                      <w:marBottom w:val="0"/>
                      <w:divBdr>
                        <w:top w:val="none" w:sz="0" w:space="0" w:color="auto"/>
                        <w:left w:val="none" w:sz="0" w:space="0" w:color="auto"/>
                        <w:bottom w:val="none" w:sz="0" w:space="0" w:color="auto"/>
                        <w:right w:val="none" w:sz="0" w:space="0" w:color="auto"/>
                      </w:divBdr>
                      <w:divsChild>
                        <w:div w:id="2130781485">
                          <w:marLeft w:val="0"/>
                          <w:marRight w:val="0"/>
                          <w:marTop w:val="0"/>
                          <w:marBottom w:val="0"/>
                          <w:divBdr>
                            <w:top w:val="none" w:sz="0" w:space="0" w:color="auto"/>
                            <w:left w:val="none" w:sz="0" w:space="0" w:color="auto"/>
                            <w:bottom w:val="none" w:sz="0" w:space="0" w:color="auto"/>
                            <w:right w:val="none" w:sz="0" w:space="0" w:color="auto"/>
                          </w:divBdr>
                          <w:divsChild>
                            <w:div w:id="188301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5401</Words>
  <Characters>30786</Characters>
  <Application>Microsoft Office Word</Application>
  <DocSecurity>0</DocSecurity>
  <Lines>256</Lines>
  <Paragraphs>72</Paragraphs>
  <ScaleCrop>false</ScaleCrop>
  <Company/>
  <LinksUpToDate>false</LinksUpToDate>
  <CharactersWithSpaces>36115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3</cp:revision>
  <dcterms:created xsi:type="dcterms:W3CDTF">2025-10-14T08:51:00Z</dcterms:created>
  <dcterms:modified xsi:type="dcterms:W3CDTF">2025-10-14T08:53:00Z</dcterms:modified>
</cp:coreProperties>
</file>