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A1561" w14:textId="77777777" w:rsidR="001E74A5" w:rsidRPr="001E74A5" w:rsidRDefault="001E74A5" w:rsidP="001E74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74A5">
        <w:rPr>
          <w:rFonts w:ascii="Times New Roman" w:eastAsia="Times New Roman" w:hAnsi="Times New Roman" w:cs="Times New Roman"/>
          <w:b/>
          <w:bCs/>
          <w:kern w:val="36"/>
          <w:sz w:val="48"/>
          <w:szCs w:val="48"/>
          <w:lang w:eastAsia="en-IN"/>
          <w14:ligatures w14:val="none"/>
        </w:rPr>
        <w:t>1. Introduction and Strategic Context</w:t>
      </w:r>
    </w:p>
    <w:p w14:paraId="5D42DF10" w14:textId="784D5EFA"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The </w:t>
      </w:r>
      <w:r w:rsidRPr="001E74A5">
        <w:rPr>
          <w:rFonts w:ascii="Times New Roman" w:eastAsia="Times New Roman" w:hAnsi="Times New Roman" w:cs="Times New Roman"/>
          <w:b/>
          <w:bCs/>
          <w:kern w:val="0"/>
          <w:sz w:val="24"/>
          <w:szCs w:val="24"/>
          <w:lang w:eastAsia="en-IN"/>
          <w14:ligatures w14:val="none"/>
        </w:rPr>
        <w:t>Global Herbal Supplements Market</w:t>
      </w:r>
      <w:r w:rsidRPr="001E74A5">
        <w:rPr>
          <w:rFonts w:ascii="Times New Roman" w:eastAsia="Times New Roman" w:hAnsi="Times New Roman" w:cs="Times New Roman"/>
          <w:kern w:val="0"/>
          <w:sz w:val="24"/>
          <w:szCs w:val="24"/>
          <w:lang w:eastAsia="en-IN"/>
          <w14:ligatures w14:val="none"/>
        </w:rPr>
        <w:t xml:space="preserve"> </w:t>
      </w:r>
      <w:r w:rsidRPr="001E74A5">
        <w:rPr>
          <w:rFonts w:ascii="Times New Roman" w:eastAsia="Times New Roman" w:hAnsi="Times New Roman" w:cs="Times New Roman"/>
          <w:kern w:val="0"/>
          <w:sz w:val="24"/>
          <w:szCs w:val="24"/>
          <w:lang w:eastAsia="en-IN"/>
          <w14:ligatures w14:val="none"/>
        </w:rPr>
        <w:t xml:space="preserve">will witness a steady </w:t>
      </w:r>
      <w:r w:rsidRPr="001E74A5">
        <w:rPr>
          <w:rFonts w:ascii="Times New Roman" w:eastAsia="Times New Roman" w:hAnsi="Times New Roman" w:cs="Times New Roman"/>
          <w:b/>
          <w:bCs/>
          <w:kern w:val="0"/>
          <w:sz w:val="24"/>
          <w:szCs w:val="24"/>
          <w:lang w:eastAsia="en-IN"/>
          <w14:ligatures w14:val="none"/>
        </w:rPr>
        <w:t>CAGR of 6.4%</w:t>
      </w:r>
      <w:r w:rsidRPr="001E74A5">
        <w:rPr>
          <w:rFonts w:ascii="Times New Roman" w:eastAsia="Times New Roman" w:hAnsi="Times New Roman" w:cs="Times New Roman"/>
          <w:kern w:val="0"/>
          <w:sz w:val="24"/>
          <w:szCs w:val="24"/>
          <w:lang w:eastAsia="en-IN"/>
          <w14:ligatures w14:val="none"/>
        </w:rPr>
        <w:t xml:space="preserve">, valued at </w:t>
      </w:r>
      <w:r w:rsidRPr="001E74A5">
        <w:rPr>
          <w:rFonts w:ascii="Times New Roman" w:eastAsia="Times New Roman" w:hAnsi="Times New Roman" w:cs="Times New Roman"/>
          <w:b/>
          <w:bCs/>
          <w:kern w:val="0"/>
          <w:sz w:val="24"/>
          <w:szCs w:val="24"/>
          <w:lang w:eastAsia="en-IN"/>
          <w14:ligatures w14:val="none"/>
        </w:rPr>
        <w:t>USD 138.2 billion in 2024</w:t>
      </w:r>
      <w:r w:rsidRPr="001E74A5">
        <w:rPr>
          <w:rFonts w:ascii="Times New Roman" w:eastAsia="Times New Roman" w:hAnsi="Times New Roman" w:cs="Times New Roman"/>
          <w:kern w:val="0"/>
          <w:sz w:val="24"/>
          <w:szCs w:val="24"/>
          <w:lang w:eastAsia="en-IN"/>
          <w14:ligatures w14:val="none"/>
        </w:rPr>
        <w:t xml:space="preserve">, and is projected to reach </w:t>
      </w:r>
      <w:r w:rsidRPr="001E74A5">
        <w:rPr>
          <w:rFonts w:ascii="Times New Roman" w:eastAsia="Times New Roman" w:hAnsi="Times New Roman" w:cs="Times New Roman"/>
          <w:b/>
          <w:bCs/>
          <w:kern w:val="0"/>
          <w:sz w:val="24"/>
          <w:szCs w:val="24"/>
          <w:lang w:eastAsia="en-IN"/>
          <w14:ligatures w14:val="none"/>
        </w:rPr>
        <w:t>USD 201.9 billion by 2030</w:t>
      </w:r>
      <w:r w:rsidRPr="001E74A5">
        <w:rPr>
          <w:rFonts w:ascii="Times New Roman" w:eastAsia="Times New Roman" w:hAnsi="Times New Roman" w:cs="Times New Roman"/>
          <w:kern w:val="0"/>
          <w:sz w:val="24"/>
          <w:szCs w:val="24"/>
          <w:lang w:eastAsia="en-IN"/>
          <w14:ligatures w14:val="none"/>
        </w:rPr>
        <w:t xml:space="preserve">, confirms </w:t>
      </w:r>
      <w:r w:rsidRPr="001E74A5">
        <w:rPr>
          <w:rFonts w:ascii="Times New Roman" w:eastAsia="Times New Roman" w:hAnsi="Times New Roman" w:cs="Times New Roman"/>
          <w:b/>
          <w:bCs/>
          <w:kern w:val="0"/>
          <w:sz w:val="24"/>
          <w:szCs w:val="24"/>
          <w:lang w:eastAsia="en-IN"/>
          <w14:ligatures w14:val="none"/>
        </w:rPr>
        <w:t>Strategic Market Research</w:t>
      </w:r>
      <w:r w:rsidRPr="001E74A5">
        <w:rPr>
          <w:rFonts w:ascii="Times New Roman" w:eastAsia="Times New Roman" w:hAnsi="Times New Roman" w:cs="Times New Roman"/>
          <w:kern w:val="0"/>
          <w:sz w:val="24"/>
          <w:szCs w:val="24"/>
          <w:lang w:eastAsia="en-IN"/>
          <w14:ligatures w14:val="none"/>
        </w:rPr>
        <w:t>.</w:t>
      </w:r>
    </w:p>
    <w:p w14:paraId="697444D2"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Herbal supplements — once considered niche alternatives — are now mainstream health products used by hundreds of millions globally. These supplements, derived from plant-based extracts, roots, leaves, and natural compounds, are increasingly replacing or complementing conventional pharmaceuticals across wellness, immunity, and preventive healthcare categories. Between 2024 and 2030, the market’s strategic role is deepening, driven by the convergence of consumer health awareness, regulatory standardization, and technological improvements in botanical extraction and formulation.</w:t>
      </w:r>
    </w:p>
    <w:p w14:paraId="2C812E97"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The momentum behind herbal supplements stems from one clear reality: </w:t>
      </w:r>
      <w:r w:rsidRPr="001E74A5">
        <w:rPr>
          <w:rFonts w:ascii="Times New Roman" w:eastAsia="Times New Roman" w:hAnsi="Times New Roman" w:cs="Times New Roman"/>
          <w:i/>
          <w:iCs/>
          <w:kern w:val="0"/>
          <w:sz w:val="24"/>
          <w:szCs w:val="24"/>
          <w:lang w:eastAsia="en-IN"/>
          <w14:ligatures w14:val="none"/>
        </w:rPr>
        <w:t>consumers want natural solutions that feel safer and more sustainable than synthetic drugs.</w:t>
      </w:r>
      <w:r w:rsidRPr="001E74A5">
        <w:rPr>
          <w:rFonts w:ascii="Times New Roman" w:eastAsia="Times New Roman" w:hAnsi="Times New Roman" w:cs="Times New Roman"/>
          <w:kern w:val="0"/>
          <w:sz w:val="24"/>
          <w:szCs w:val="24"/>
          <w:lang w:eastAsia="en-IN"/>
          <w14:ligatures w14:val="none"/>
        </w:rPr>
        <w:t xml:space="preserve"> This mindset has been reinforced by post-pandemic </w:t>
      </w:r>
      <w:proofErr w:type="spellStart"/>
      <w:r w:rsidRPr="001E74A5">
        <w:rPr>
          <w:rFonts w:ascii="Times New Roman" w:eastAsia="Times New Roman" w:hAnsi="Times New Roman" w:cs="Times New Roman"/>
          <w:kern w:val="0"/>
          <w:sz w:val="24"/>
          <w:szCs w:val="24"/>
          <w:lang w:eastAsia="en-IN"/>
          <w14:ligatures w14:val="none"/>
        </w:rPr>
        <w:t>behavior</w:t>
      </w:r>
      <w:proofErr w:type="spellEnd"/>
      <w:r w:rsidRPr="001E74A5">
        <w:rPr>
          <w:rFonts w:ascii="Times New Roman" w:eastAsia="Times New Roman" w:hAnsi="Times New Roman" w:cs="Times New Roman"/>
          <w:kern w:val="0"/>
          <w:sz w:val="24"/>
          <w:szCs w:val="24"/>
          <w:lang w:eastAsia="en-IN"/>
          <w14:ligatures w14:val="none"/>
        </w:rPr>
        <w:t xml:space="preserve"> shifts, with more people taking proactive control of their immune and mental health through natural remedies. Herbal blends containing ingredients like turmeric, ashwagandha, echinacea, and ginseng are now being formulated into everything — from capsules and gummies to ready-to-drink beverages and fortified foods.</w:t>
      </w:r>
    </w:p>
    <w:p w14:paraId="72E52BD2"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Governments and health authorities are starting to take this market seriously. The U.S. FDA, European Food Safety Authority (EFSA), and Asian regulators are tightening </w:t>
      </w:r>
      <w:proofErr w:type="spellStart"/>
      <w:r w:rsidRPr="001E74A5">
        <w:rPr>
          <w:rFonts w:ascii="Times New Roman" w:eastAsia="Times New Roman" w:hAnsi="Times New Roman" w:cs="Times New Roman"/>
          <w:kern w:val="0"/>
          <w:sz w:val="24"/>
          <w:szCs w:val="24"/>
          <w:lang w:eastAsia="en-IN"/>
          <w14:ligatures w14:val="none"/>
        </w:rPr>
        <w:t>labeling</w:t>
      </w:r>
      <w:proofErr w:type="spellEnd"/>
      <w:r w:rsidRPr="001E74A5">
        <w:rPr>
          <w:rFonts w:ascii="Times New Roman" w:eastAsia="Times New Roman" w:hAnsi="Times New Roman" w:cs="Times New Roman"/>
          <w:kern w:val="0"/>
          <w:sz w:val="24"/>
          <w:szCs w:val="24"/>
          <w:lang w:eastAsia="en-IN"/>
          <w14:ligatures w14:val="none"/>
        </w:rPr>
        <w:t xml:space="preserve"> and purity standards, pushing the category toward greater scientific credibility. Meanwhile, digital retail has transformed accessibility — online marketplaces, influencer-driven wellness brands, and personalized supplement platforms are reshaping how consumers discover and trust herbal products.</w:t>
      </w:r>
    </w:p>
    <w:p w14:paraId="5CCF16BE"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That said, this isn’t a purely consumer-driven story. The supply chain beneath the herbal supplement market is becoming increasingly strategic. Cultivators and ingredient processors are adopting traceability technologies and sustainable farming practices to secure long-term supply amid rising climate challenges. Pharmaceutical firms and nutraceutical startups are also collaborating on hybrid formulations — combining traditional herbs with clinically validated compounds — blurring the line between natural and functional medicine.</w:t>
      </w:r>
    </w:p>
    <w:p w14:paraId="0FA84FD1"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From an investment perspective, the market is maturing fast. Venture funding is flowing into companies that can back claims with science. For instance, botanical extraction startups and AI-based nutrigenomic platforms are emerging as key innovation nodes in the ecosystem.</w:t>
      </w:r>
    </w:p>
    <w:p w14:paraId="470AC1C4"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The stakeholder network is wide. It includes </w:t>
      </w:r>
      <w:r w:rsidRPr="001E74A5">
        <w:rPr>
          <w:rFonts w:ascii="Times New Roman" w:eastAsia="Times New Roman" w:hAnsi="Times New Roman" w:cs="Times New Roman"/>
          <w:b/>
          <w:bCs/>
          <w:kern w:val="0"/>
          <w:sz w:val="24"/>
          <w:szCs w:val="24"/>
          <w:lang w:eastAsia="en-IN"/>
          <w14:ligatures w14:val="none"/>
        </w:rPr>
        <w:t>nutraceutical companies</w:t>
      </w:r>
      <w:r w:rsidRPr="001E74A5">
        <w:rPr>
          <w:rFonts w:ascii="Times New Roman" w:eastAsia="Times New Roman" w:hAnsi="Times New Roman" w:cs="Times New Roman"/>
          <w:kern w:val="0"/>
          <w:sz w:val="24"/>
          <w:szCs w:val="24"/>
          <w:lang w:eastAsia="en-IN"/>
          <w14:ligatures w14:val="none"/>
        </w:rPr>
        <w:t xml:space="preserve">, </w:t>
      </w:r>
      <w:r w:rsidRPr="001E74A5">
        <w:rPr>
          <w:rFonts w:ascii="Times New Roman" w:eastAsia="Times New Roman" w:hAnsi="Times New Roman" w:cs="Times New Roman"/>
          <w:b/>
          <w:bCs/>
          <w:kern w:val="0"/>
          <w:sz w:val="24"/>
          <w:szCs w:val="24"/>
          <w:lang w:eastAsia="en-IN"/>
          <w14:ligatures w14:val="none"/>
        </w:rPr>
        <w:t>phytopharmaceutical manufacturers</w:t>
      </w:r>
      <w:r w:rsidRPr="001E74A5">
        <w:rPr>
          <w:rFonts w:ascii="Times New Roman" w:eastAsia="Times New Roman" w:hAnsi="Times New Roman" w:cs="Times New Roman"/>
          <w:kern w:val="0"/>
          <w:sz w:val="24"/>
          <w:szCs w:val="24"/>
          <w:lang w:eastAsia="en-IN"/>
          <w14:ligatures w14:val="none"/>
        </w:rPr>
        <w:t xml:space="preserve">, </w:t>
      </w:r>
      <w:r w:rsidRPr="001E74A5">
        <w:rPr>
          <w:rFonts w:ascii="Times New Roman" w:eastAsia="Times New Roman" w:hAnsi="Times New Roman" w:cs="Times New Roman"/>
          <w:b/>
          <w:bCs/>
          <w:kern w:val="0"/>
          <w:sz w:val="24"/>
          <w:szCs w:val="24"/>
          <w:lang w:eastAsia="en-IN"/>
          <w14:ligatures w14:val="none"/>
        </w:rPr>
        <w:t>agricultural cooperatives</w:t>
      </w:r>
      <w:r w:rsidRPr="001E74A5">
        <w:rPr>
          <w:rFonts w:ascii="Times New Roman" w:eastAsia="Times New Roman" w:hAnsi="Times New Roman" w:cs="Times New Roman"/>
          <w:kern w:val="0"/>
          <w:sz w:val="24"/>
          <w:szCs w:val="24"/>
          <w:lang w:eastAsia="en-IN"/>
          <w14:ligatures w14:val="none"/>
        </w:rPr>
        <w:t xml:space="preserve">, </w:t>
      </w:r>
      <w:r w:rsidRPr="001E74A5">
        <w:rPr>
          <w:rFonts w:ascii="Times New Roman" w:eastAsia="Times New Roman" w:hAnsi="Times New Roman" w:cs="Times New Roman"/>
          <w:b/>
          <w:bCs/>
          <w:kern w:val="0"/>
          <w:sz w:val="24"/>
          <w:szCs w:val="24"/>
          <w:lang w:eastAsia="en-IN"/>
          <w14:ligatures w14:val="none"/>
        </w:rPr>
        <w:t>research institutions</w:t>
      </w:r>
      <w:r w:rsidRPr="001E74A5">
        <w:rPr>
          <w:rFonts w:ascii="Times New Roman" w:eastAsia="Times New Roman" w:hAnsi="Times New Roman" w:cs="Times New Roman"/>
          <w:kern w:val="0"/>
          <w:sz w:val="24"/>
          <w:szCs w:val="24"/>
          <w:lang w:eastAsia="en-IN"/>
          <w14:ligatures w14:val="none"/>
        </w:rPr>
        <w:t xml:space="preserve">, </w:t>
      </w:r>
      <w:r w:rsidRPr="001E74A5">
        <w:rPr>
          <w:rFonts w:ascii="Times New Roman" w:eastAsia="Times New Roman" w:hAnsi="Times New Roman" w:cs="Times New Roman"/>
          <w:b/>
          <w:bCs/>
          <w:kern w:val="0"/>
          <w:sz w:val="24"/>
          <w:szCs w:val="24"/>
          <w:lang w:eastAsia="en-IN"/>
          <w14:ligatures w14:val="none"/>
        </w:rPr>
        <w:t>retail and e-commerce giants</w:t>
      </w:r>
      <w:r w:rsidRPr="001E74A5">
        <w:rPr>
          <w:rFonts w:ascii="Times New Roman" w:eastAsia="Times New Roman" w:hAnsi="Times New Roman" w:cs="Times New Roman"/>
          <w:kern w:val="0"/>
          <w:sz w:val="24"/>
          <w:szCs w:val="24"/>
          <w:lang w:eastAsia="en-IN"/>
          <w14:ligatures w14:val="none"/>
        </w:rPr>
        <w:t xml:space="preserve">, </w:t>
      </w:r>
      <w:r w:rsidRPr="001E74A5">
        <w:rPr>
          <w:rFonts w:ascii="Times New Roman" w:eastAsia="Times New Roman" w:hAnsi="Times New Roman" w:cs="Times New Roman"/>
          <w:b/>
          <w:bCs/>
          <w:kern w:val="0"/>
          <w:sz w:val="24"/>
          <w:szCs w:val="24"/>
          <w:lang w:eastAsia="en-IN"/>
          <w14:ligatures w14:val="none"/>
        </w:rPr>
        <w:t>regulators</w:t>
      </w:r>
      <w:r w:rsidRPr="001E74A5">
        <w:rPr>
          <w:rFonts w:ascii="Times New Roman" w:eastAsia="Times New Roman" w:hAnsi="Times New Roman" w:cs="Times New Roman"/>
          <w:kern w:val="0"/>
          <w:sz w:val="24"/>
          <w:szCs w:val="24"/>
          <w:lang w:eastAsia="en-IN"/>
          <w14:ligatures w14:val="none"/>
        </w:rPr>
        <w:t xml:space="preserve">, and </w:t>
      </w:r>
      <w:r w:rsidRPr="001E74A5">
        <w:rPr>
          <w:rFonts w:ascii="Times New Roman" w:eastAsia="Times New Roman" w:hAnsi="Times New Roman" w:cs="Times New Roman"/>
          <w:b/>
          <w:bCs/>
          <w:kern w:val="0"/>
          <w:sz w:val="24"/>
          <w:szCs w:val="24"/>
          <w:lang w:eastAsia="en-IN"/>
          <w14:ligatures w14:val="none"/>
        </w:rPr>
        <w:t>investors</w:t>
      </w:r>
      <w:r w:rsidRPr="001E74A5">
        <w:rPr>
          <w:rFonts w:ascii="Times New Roman" w:eastAsia="Times New Roman" w:hAnsi="Times New Roman" w:cs="Times New Roman"/>
          <w:kern w:val="0"/>
          <w:sz w:val="24"/>
          <w:szCs w:val="24"/>
          <w:lang w:eastAsia="en-IN"/>
          <w14:ligatures w14:val="none"/>
        </w:rPr>
        <w:t xml:space="preserve"> chasing stable, health-aligned growth. Each sees herbal supplements as more than a consumer trend — as a foundational component of a new preventive healthcare economy.</w:t>
      </w:r>
    </w:p>
    <w:p w14:paraId="4A64B47E" w14:textId="77777777" w:rsidR="001E74A5" w:rsidRPr="001E74A5" w:rsidRDefault="001E74A5" w:rsidP="001E74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74A5">
        <w:rPr>
          <w:rFonts w:ascii="Times New Roman" w:eastAsia="Times New Roman" w:hAnsi="Times New Roman" w:cs="Times New Roman"/>
          <w:b/>
          <w:bCs/>
          <w:kern w:val="36"/>
          <w:sz w:val="48"/>
          <w:szCs w:val="48"/>
          <w:lang w:eastAsia="en-IN"/>
          <w14:ligatures w14:val="none"/>
        </w:rPr>
        <w:lastRenderedPageBreak/>
        <w:t>2. Market Segmentation and Forecast Scope</w:t>
      </w:r>
    </w:p>
    <w:p w14:paraId="146D2037"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The herbal supplements market is a complex ecosystem that cuts across multiple health categories, distribution formats, and regional consumer </w:t>
      </w:r>
      <w:proofErr w:type="spellStart"/>
      <w:r w:rsidRPr="001E74A5">
        <w:rPr>
          <w:rFonts w:ascii="Times New Roman" w:eastAsia="Times New Roman" w:hAnsi="Times New Roman" w:cs="Times New Roman"/>
          <w:kern w:val="0"/>
          <w:sz w:val="24"/>
          <w:szCs w:val="24"/>
          <w:lang w:eastAsia="en-IN"/>
          <w14:ligatures w14:val="none"/>
        </w:rPr>
        <w:t>behaviors</w:t>
      </w:r>
      <w:proofErr w:type="spellEnd"/>
      <w:r w:rsidRPr="001E74A5">
        <w:rPr>
          <w:rFonts w:ascii="Times New Roman" w:eastAsia="Times New Roman" w:hAnsi="Times New Roman" w:cs="Times New Roman"/>
          <w:kern w:val="0"/>
          <w:sz w:val="24"/>
          <w:szCs w:val="24"/>
          <w:lang w:eastAsia="en-IN"/>
          <w14:ligatures w14:val="none"/>
        </w:rPr>
        <w:t>. Between 2024 and 2030, the market’s segmentation is evolving beyond traditional vitamin and mineral-based formulations into more tailored, purpose-driven herbal blends. Let’s break down how the market is structured and where the strongest growth potential lies.</w:t>
      </w:r>
    </w:p>
    <w:p w14:paraId="39799AAC"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By Product Type</w:t>
      </w:r>
    </w:p>
    <w:p w14:paraId="092F9746"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The herbal supplement industry broadly segments into single-herb and combination formulations.</w:t>
      </w:r>
    </w:p>
    <w:p w14:paraId="01CB034B"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Single-herb supplements</w:t>
      </w:r>
      <w:r w:rsidRPr="001E74A5">
        <w:rPr>
          <w:rFonts w:ascii="Times New Roman" w:eastAsia="Times New Roman" w:hAnsi="Times New Roman" w:cs="Times New Roman"/>
          <w:kern w:val="0"/>
          <w:sz w:val="24"/>
          <w:szCs w:val="24"/>
          <w:lang w:eastAsia="en-IN"/>
          <w14:ligatures w14:val="none"/>
        </w:rPr>
        <w:t xml:space="preserve"> — such as turmeric (curcumin), echinacea, ginseng, ashwagandha, and garlic extracts — remain the most widely sold, especially in the immunity and stress-relief categories. Their appeal lies in simplicity, recognizable ingredients, and clear therapeutic associations.</w:t>
      </w:r>
    </w:p>
    <w:p w14:paraId="644A03D3"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Combination formulas</w:t>
      </w:r>
      <w:r w:rsidRPr="001E74A5">
        <w:rPr>
          <w:rFonts w:ascii="Times New Roman" w:eastAsia="Times New Roman" w:hAnsi="Times New Roman" w:cs="Times New Roman"/>
          <w:kern w:val="0"/>
          <w:sz w:val="24"/>
          <w:szCs w:val="24"/>
          <w:lang w:eastAsia="en-IN"/>
          <w14:ligatures w14:val="none"/>
        </w:rPr>
        <w:t xml:space="preserve">, on the other hand, are rapidly gaining momentum. These include adaptogenic blends (e.g., ginseng + rhodiola), sleep and relaxation complexes, and gut-health mixtures that combine prebiotics with herbal </w:t>
      </w:r>
      <w:proofErr w:type="spellStart"/>
      <w:r w:rsidRPr="001E74A5">
        <w:rPr>
          <w:rFonts w:ascii="Times New Roman" w:eastAsia="Times New Roman" w:hAnsi="Times New Roman" w:cs="Times New Roman"/>
          <w:kern w:val="0"/>
          <w:sz w:val="24"/>
          <w:szCs w:val="24"/>
          <w:lang w:eastAsia="en-IN"/>
          <w14:ligatures w14:val="none"/>
        </w:rPr>
        <w:t>fibers</w:t>
      </w:r>
      <w:proofErr w:type="spellEnd"/>
      <w:r w:rsidRPr="001E74A5">
        <w:rPr>
          <w:rFonts w:ascii="Times New Roman" w:eastAsia="Times New Roman" w:hAnsi="Times New Roman" w:cs="Times New Roman"/>
          <w:kern w:val="0"/>
          <w:sz w:val="24"/>
          <w:szCs w:val="24"/>
          <w:lang w:eastAsia="en-IN"/>
          <w14:ligatures w14:val="none"/>
        </w:rPr>
        <w:t xml:space="preserve">. </w:t>
      </w:r>
      <w:r w:rsidRPr="001E74A5">
        <w:rPr>
          <w:rFonts w:ascii="Times New Roman" w:eastAsia="Times New Roman" w:hAnsi="Times New Roman" w:cs="Times New Roman"/>
          <w:i/>
          <w:iCs/>
          <w:kern w:val="0"/>
          <w:sz w:val="24"/>
          <w:szCs w:val="24"/>
          <w:lang w:eastAsia="en-IN"/>
          <w14:ligatures w14:val="none"/>
        </w:rPr>
        <w:t>The fastest growth is observed in adaptogenic and gut-health segments</w:t>
      </w:r>
      <w:r w:rsidRPr="001E74A5">
        <w:rPr>
          <w:rFonts w:ascii="Times New Roman" w:eastAsia="Times New Roman" w:hAnsi="Times New Roman" w:cs="Times New Roman"/>
          <w:kern w:val="0"/>
          <w:sz w:val="24"/>
          <w:szCs w:val="24"/>
          <w:lang w:eastAsia="en-IN"/>
          <w14:ligatures w14:val="none"/>
        </w:rPr>
        <w:t>, where consumers seek functional solutions beyond basic supplementation.</w:t>
      </w:r>
    </w:p>
    <w:p w14:paraId="06819C9C"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Another noteworthy shift is the rise of </w:t>
      </w:r>
      <w:r w:rsidRPr="001E74A5">
        <w:rPr>
          <w:rFonts w:ascii="Times New Roman" w:eastAsia="Times New Roman" w:hAnsi="Times New Roman" w:cs="Times New Roman"/>
          <w:b/>
          <w:bCs/>
          <w:kern w:val="0"/>
          <w:sz w:val="24"/>
          <w:szCs w:val="24"/>
          <w:lang w:eastAsia="en-IN"/>
          <w14:ligatures w14:val="none"/>
        </w:rPr>
        <w:t>herbal gummies and liquid tonics</w:t>
      </w:r>
      <w:r w:rsidRPr="001E74A5">
        <w:rPr>
          <w:rFonts w:ascii="Times New Roman" w:eastAsia="Times New Roman" w:hAnsi="Times New Roman" w:cs="Times New Roman"/>
          <w:kern w:val="0"/>
          <w:sz w:val="24"/>
          <w:szCs w:val="24"/>
          <w:lang w:eastAsia="en-IN"/>
          <w14:ligatures w14:val="none"/>
        </w:rPr>
        <w:t>, which are replacing capsules and tablets for their convenience and perceived “cleaner” absorption. This product diversification is reshaping packaging, supply chains, and marketing strategies — especially online.</w:t>
      </w:r>
    </w:p>
    <w:p w14:paraId="3561C6D1"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By Application</w:t>
      </w:r>
    </w:p>
    <w:p w14:paraId="031517F8"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Herbal supplements serve a wide range of health goals, each with distinct growth patterns.</w:t>
      </w:r>
    </w:p>
    <w:p w14:paraId="5B4548FA" w14:textId="77777777" w:rsidR="001E74A5" w:rsidRPr="001E74A5" w:rsidRDefault="001E74A5" w:rsidP="001E74A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Immunity and general wellness</w:t>
      </w:r>
      <w:r w:rsidRPr="001E74A5">
        <w:rPr>
          <w:rFonts w:ascii="Times New Roman" w:eastAsia="Times New Roman" w:hAnsi="Times New Roman" w:cs="Times New Roman"/>
          <w:kern w:val="0"/>
          <w:sz w:val="24"/>
          <w:szCs w:val="24"/>
          <w:lang w:eastAsia="en-IN"/>
          <w14:ligatures w14:val="none"/>
        </w:rPr>
        <w:t>: This remains the dominant application area, accounting for an estimated 34% of the market in 2024. Products with vitamin C-enriched herbal blends or zinc-turmeric combinations are standard.</w:t>
      </w:r>
    </w:p>
    <w:p w14:paraId="0C0D8E65" w14:textId="77777777" w:rsidR="001E74A5" w:rsidRPr="001E74A5" w:rsidRDefault="001E74A5" w:rsidP="001E74A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Digestive and gut health</w:t>
      </w:r>
      <w:r w:rsidRPr="001E74A5">
        <w:rPr>
          <w:rFonts w:ascii="Times New Roman" w:eastAsia="Times New Roman" w:hAnsi="Times New Roman" w:cs="Times New Roman"/>
          <w:kern w:val="0"/>
          <w:sz w:val="24"/>
          <w:szCs w:val="24"/>
          <w:lang w:eastAsia="en-IN"/>
          <w14:ligatures w14:val="none"/>
        </w:rPr>
        <w:t xml:space="preserve">: A fast-growing segment, </w:t>
      </w:r>
      <w:proofErr w:type="spellStart"/>
      <w:r w:rsidRPr="001E74A5">
        <w:rPr>
          <w:rFonts w:ascii="Times New Roman" w:eastAsia="Times New Roman" w:hAnsi="Times New Roman" w:cs="Times New Roman"/>
          <w:kern w:val="0"/>
          <w:sz w:val="24"/>
          <w:szCs w:val="24"/>
          <w:lang w:eastAsia="en-IN"/>
          <w14:ligatures w14:val="none"/>
        </w:rPr>
        <w:t>fueled</w:t>
      </w:r>
      <w:proofErr w:type="spellEnd"/>
      <w:r w:rsidRPr="001E74A5">
        <w:rPr>
          <w:rFonts w:ascii="Times New Roman" w:eastAsia="Times New Roman" w:hAnsi="Times New Roman" w:cs="Times New Roman"/>
          <w:kern w:val="0"/>
          <w:sz w:val="24"/>
          <w:szCs w:val="24"/>
          <w:lang w:eastAsia="en-IN"/>
          <w14:ligatures w14:val="none"/>
        </w:rPr>
        <w:t xml:space="preserve"> by interest in microbiome health and detoxification. Formulations featuring peppermint, fennel, and </w:t>
      </w:r>
      <w:proofErr w:type="spellStart"/>
      <w:r w:rsidRPr="001E74A5">
        <w:rPr>
          <w:rFonts w:ascii="Times New Roman" w:eastAsia="Times New Roman" w:hAnsi="Times New Roman" w:cs="Times New Roman"/>
          <w:kern w:val="0"/>
          <w:sz w:val="24"/>
          <w:szCs w:val="24"/>
          <w:lang w:eastAsia="en-IN"/>
          <w14:ligatures w14:val="none"/>
        </w:rPr>
        <w:t>licorice</w:t>
      </w:r>
      <w:proofErr w:type="spellEnd"/>
      <w:r w:rsidRPr="001E74A5">
        <w:rPr>
          <w:rFonts w:ascii="Times New Roman" w:eastAsia="Times New Roman" w:hAnsi="Times New Roman" w:cs="Times New Roman"/>
          <w:kern w:val="0"/>
          <w:sz w:val="24"/>
          <w:szCs w:val="24"/>
          <w:lang w:eastAsia="en-IN"/>
          <w14:ligatures w14:val="none"/>
        </w:rPr>
        <w:t xml:space="preserve"> are common.</w:t>
      </w:r>
    </w:p>
    <w:p w14:paraId="7F1C6E90" w14:textId="77777777" w:rsidR="001E74A5" w:rsidRPr="001E74A5" w:rsidRDefault="001E74A5" w:rsidP="001E74A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Stress, sleep, and cognitive health</w:t>
      </w:r>
      <w:r w:rsidRPr="001E74A5">
        <w:rPr>
          <w:rFonts w:ascii="Times New Roman" w:eastAsia="Times New Roman" w:hAnsi="Times New Roman" w:cs="Times New Roman"/>
          <w:kern w:val="0"/>
          <w:sz w:val="24"/>
          <w:szCs w:val="24"/>
          <w:lang w:eastAsia="en-IN"/>
          <w14:ligatures w14:val="none"/>
        </w:rPr>
        <w:t>: Adaptogenic and nootropic herbs like ashwagandha, ginkgo biloba, and bacopa are driving this category. Mental well-being is now a mainstream application for herbal products.</w:t>
      </w:r>
    </w:p>
    <w:p w14:paraId="00CA7B29" w14:textId="77777777" w:rsidR="001E74A5" w:rsidRPr="001E74A5" w:rsidRDefault="001E74A5" w:rsidP="001E74A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Cardiovascular and metabolic support</w:t>
      </w:r>
      <w:r w:rsidRPr="001E74A5">
        <w:rPr>
          <w:rFonts w:ascii="Times New Roman" w:eastAsia="Times New Roman" w:hAnsi="Times New Roman" w:cs="Times New Roman"/>
          <w:kern w:val="0"/>
          <w:sz w:val="24"/>
          <w:szCs w:val="24"/>
          <w:lang w:eastAsia="en-IN"/>
          <w14:ligatures w14:val="none"/>
        </w:rPr>
        <w:t xml:space="preserve">: </w:t>
      </w:r>
      <w:proofErr w:type="gramStart"/>
      <w:r w:rsidRPr="001E74A5">
        <w:rPr>
          <w:rFonts w:ascii="Times New Roman" w:eastAsia="Times New Roman" w:hAnsi="Times New Roman" w:cs="Times New Roman"/>
          <w:kern w:val="0"/>
          <w:sz w:val="24"/>
          <w:szCs w:val="24"/>
          <w:lang w:eastAsia="en-IN"/>
          <w14:ligatures w14:val="none"/>
        </w:rPr>
        <w:t>Green</w:t>
      </w:r>
      <w:proofErr w:type="gramEnd"/>
      <w:r w:rsidRPr="001E74A5">
        <w:rPr>
          <w:rFonts w:ascii="Times New Roman" w:eastAsia="Times New Roman" w:hAnsi="Times New Roman" w:cs="Times New Roman"/>
          <w:kern w:val="0"/>
          <w:sz w:val="24"/>
          <w:szCs w:val="24"/>
          <w:lang w:eastAsia="en-IN"/>
          <w14:ligatures w14:val="none"/>
        </w:rPr>
        <w:t xml:space="preserve"> tea extracts, garlic, and cinnamon-based formulations cater to consumers managing cholesterol and blood sugar levels.</w:t>
      </w:r>
    </w:p>
    <w:p w14:paraId="72E37649" w14:textId="77777777" w:rsidR="001E74A5" w:rsidRPr="001E74A5" w:rsidRDefault="001E74A5" w:rsidP="001E74A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Beauty and anti-aging</w:t>
      </w:r>
      <w:r w:rsidRPr="001E74A5">
        <w:rPr>
          <w:rFonts w:ascii="Times New Roman" w:eastAsia="Times New Roman" w:hAnsi="Times New Roman" w:cs="Times New Roman"/>
          <w:kern w:val="0"/>
          <w:sz w:val="24"/>
          <w:szCs w:val="24"/>
          <w:lang w:eastAsia="en-IN"/>
          <w14:ligatures w14:val="none"/>
        </w:rPr>
        <w:t>: Collagen-supporting and antioxidant herbs like aloe vera and amla are increasingly used in both ingestible and topical crossover products.</w:t>
      </w:r>
    </w:p>
    <w:p w14:paraId="1B3DB6AC"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i/>
          <w:iCs/>
          <w:kern w:val="0"/>
          <w:sz w:val="24"/>
          <w:szCs w:val="24"/>
          <w:lang w:eastAsia="en-IN"/>
          <w14:ligatures w14:val="none"/>
        </w:rPr>
        <w:lastRenderedPageBreak/>
        <w:t xml:space="preserve">To be fair, the functional overlap between categories is blurring — a product aimed at sleep may also target mood and stress — but this very overlap is </w:t>
      </w:r>
      <w:proofErr w:type="spellStart"/>
      <w:r w:rsidRPr="001E74A5">
        <w:rPr>
          <w:rFonts w:ascii="Times New Roman" w:eastAsia="Times New Roman" w:hAnsi="Times New Roman" w:cs="Times New Roman"/>
          <w:i/>
          <w:iCs/>
          <w:kern w:val="0"/>
          <w:sz w:val="24"/>
          <w:szCs w:val="24"/>
          <w:lang w:eastAsia="en-IN"/>
          <w14:ligatures w14:val="none"/>
        </w:rPr>
        <w:t>fueling</w:t>
      </w:r>
      <w:proofErr w:type="spellEnd"/>
      <w:r w:rsidRPr="001E74A5">
        <w:rPr>
          <w:rFonts w:ascii="Times New Roman" w:eastAsia="Times New Roman" w:hAnsi="Times New Roman" w:cs="Times New Roman"/>
          <w:i/>
          <w:iCs/>
          <w:kern w:val="0"/>
          <w:sz w:val="24"/>
          <w:szCs w:val="24"/>
          <w:lang w:eastAsia="en-IN"/>
          <w14:ligatures w14:val="none"/>
        </w:rPr>
        <w:t xml:space="preserve"> market innovation.</w:t>
      </w:r>
    </w:p>
    <w:p w14:paraId="2995B5EF"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By Distribution Channel</w:t>
      </w:r>
    </w:p>
    <w:p w14:paraId="6F71564E"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Herbal supplements reach consumers through a mix of retail and digital channels.</w:t>
      </w:r>
    </w:p>
    <w:p w14:paraId="6A08EF49" w14:textId="77777777" w:rsidR="001E74A5" w:rsidRPr="001E74A5" w:rsidRDefault="001E74A5" w:rsidP="001E74A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Pharmacies and drug stores</w:t>
      </w:r>
      <w:r w:rsidRPr="001E74A5">
        <w:rPr>
          <w:rFonts w:ascii="Times New Roman" w:eastAsia="Times New Roman" w:hAnsi="Times New Roman" w:cs="Times New Roman"/>
          <w:kern w:val="0"/>
          <w:sz w:val="24"/>
          <w:szCs w:val="24"/>
          <w:lang w:eastAsia="en-IN"/>
          <w14:ligatures w14:val="none"/>
        </w:rPr>
        <w:t>: Still the leading channel globally, given strong consumer trust and pharmacist recommendations.</w:t>
      </w:r>
    </w:p>
    <w:p w14:paraId="73D0B495" w14:textId="77777777" w:rsidR="001E74A5" w:rsidRPr="001E74A5" w:rsidRDefault="001E74A5" w:rsidP="001E74A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Online and DTC (Direct-to-Consumer) platforms</w:t>
      </w:r>
      <w:r w:rsidRPr="001E74A5">
        <w:rPr>
          <w:rFonts w:ascii="Times New Roman" w:eastAsia="Times New Roman" w:hAnsi="Times New Roman" w:cs="Times New Roman"/>
          <w:kern w:val="0"/>
          <w:sz w:val="24"/>
          <w:szCs w:val="24"/>
          <w:lang w:eastAsia="en-IN"/>
          <w14:ligatures w14:val="none"/>
        </w:rPr>
        <w:t>: The fastest-growing segment, particularly in North America, Europe, and Southeast Asia. Subscription models and personalized quiz-based sales are reshaping digital sales strategies.</w:t>
      </w:r>
    </w:p>
    <w:p w14:paraId="28ACBC01" w14:textId="77777777" w:rsidR="001E74A5" w:rsidRPr="001E74A5" w:rsidRDefault="001E74A5" w:rsidP="001E74A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Supermarkets and health food stores</w:t>
      </w:r>
      <w:r w:rsidRPr="001E74A5">
        <w:rPr>
          <w:rFonts w:ascii="Times New Roman" w:eastAsia="Times New Roman" w:hAnsi="Times New Roman" w:cs="Times New Roman"/>
          <w:kern w:val="0"/>
          <w:sz w:val="24"/>
          <w:szCs w:val="24"/>
          <w:lang w:eastAsia="en-IN"/>
          <w14:ligatures w14:val="none"/>
        </w:rPr>
        <w:t>: Important for impulse purchases and brand visibility.</w:t>
      </w:r>
    </w:p>
    <w:p w14:paraId="05B54038" w14:textId="77777777" w:rsidR="001E74A5" w:rsidRPr="001E74A5" w:rsidRDefault="001E74A5" w:rsidP="001E74A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Specialty wellness boutiques</w:t>
      </w:r>
      <w:r w:rsidRPr="001E74A5">
        <w:rPr>
          <w:rFonts w:ascii="Times New Roman" w:eastAsia="Times New Roman" w:hAnsi="Times New Roman" w:cs="Times New Roman"/>
          <w:kern w:val="0"/>
          <w:sz w:val="24"/>
          <w:szCs w:val="24"/>
          <w:lang w:eastAsia="en-IN"/>
          <w14:ligatures w14:val="none"/>
        </w:rPr>
        <w:t>: Small but influential in driving premium, ethically sourced product sales.</w:t>
      </w:r>
    </w:p>
    <w:p w14:paraId="156D4D42"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Online distribution is expected to grow at roughly twice the rate of physical retail between 2024 and 2030, driven by convenience, broader product access, and influencer marketing.</w:t>
      </w:r>
    </w:p>
    <w:p w14:paraId="1D399733"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By Region</w:t>
      </w:r>
    </w:p>
    <w:p w14:paraId="456A382C" w14:textId="77777777" w:rsidR="001E74A5" w:rsidRPr="001E74A5" w:rsidRDefault="001E74A5" w:rsidP="001E74A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North America</w:t>
      </w:r>
      <w:r w:rsidRPr="001E74A5">
        <w:rPr>
          <w:rFonts w:ascii="Times New Roman" w:eastAsia="Times New Roman" w:hAnsi="Times New Roman" w:cs="Times New Roman"/>
          <w:kern w:val="0"/>
          <w:sz w:val="24"/>
          <w:szCs w:val="24"/>
          <w:lang w:eastAsia="en-IN"/>
          <w14:ligatures w14:val="none"/>
        </w:rPr>
        <w:t xml:space="preserve"> remains the largest regional market, with strong consumer spending on dietary supplements and a robust regulatory environment under the FDA’s Dietary Supplement Health and Education Act (DSHEA).</w:t>
      </w:r>
    </w:p>
    <w:p w14:paraId="16F9D61D" w14:textId="77777777" w:rsidR="001E74A5" w:rsidRPr="001E74A5" w:rsidRDefault="001E74A5" w:rsidP="001E74A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Europe</w:t>
      </w:r>
      <w:r w:rsidRPr="001E74A5">
        <w:rPr>
          <w:rFonts w:ascii="Times New Roman" w:eastAsia="Times New Roman" w:hAnsi="Times New Roman" w:cs="Times New Roman"/>
          <w:kern w:val="0"/>
          <w:sz w:val="24"/>
          <w:szCs w:val="24"/>
          <w:lang w:eastAsia="en-IN"/>
          <w14:ligatures w14:val="none"/>
        </w:rPr>
        <w:t xml:space="preserve"> follows closely, with growing consumer interest in organic and sustainable sourcing — especially in Germany, France, and the UK. The European Food Safety Authority (EFSA) continues to tighten rules on claims, pushing brands toward greater transparency.</w:t>
      </w:r>
    </w:p>
    <w:p w14:paraId="0997E01E" w14:textId="77777777" w:rsidR="001E74A5" w:rsidRPr="001E74A5" w:rsidRDefault="001E74A5" w:rsidP="001E74A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Asia Pacific</w:t>
      </w:r>
      <w:r w:rsidRPr="001E74A5">
        <w:rPr>
          <w:rFonts w:ascii="Times New Roman" w:eastAsia="Times New Roman" w:hAnsi="Times New Roman" w:cs="Times New Roman"/>
          <w:kern w:val="0"/>
          <w:sz w:val="24"/>
          <w:szCs w:val="24"/>
          <w:lang w:eastAsia="en-IN"/>
          <w14:ligatures w14:val="none"/>
        </w:rPr>
        <w:t xml:space="preserve"> represents the fastest-growing region, supported by centuries-old herbal traditions (Ayurveda, Traditional Chinese Medicine, </w:t>
      </w:r>
      <w:proofErr w:type="spellStart"/>
      <w:r w:rsidRPr="001E74A5">
        <w:rPr>
          <w:rFonts w:ascii="Times New Roman" w:eastAsia="Times New Roman" w:hAnsi="Times New Roman" w:cs="Times New Roman"/>
          <w:kern w:val="0"/>
          <w:sz w:val="24"/>
          <w:szCs w:val="24"/>
          <w:lang w:eastAsia="en-IN"/>
          <w14:ligatures w14:val="none"/>
        </w:rPr>
        <w:t>Kampo</w:t>
      </w:r>
      <w:proofErr w:type="spellEnd"/>
      <w:r w:rsidRPr="001E74A5">
        <w:rPr>
          <w:rFonts w:ascii="Times New Roman" w:eastAsia="Times New Roman" w:hAnsi="Times New Roman" w:cs="Times New Roman"/>
          <w:kern w:val="0"/>
          <w:sz w:val="24"/>
          <w:szCs w:val="24"/>
          <w:lang w:eastAsia="en-IN"/>
          <w14:ligatures w14:val="none"/>
        </w:rPr>
        <w:t>) now being commercialized at scale. China, India, and Japan collectively represent the innovation and production backbone of this market.</w:t>
      </w:r>
    </w:p>
    <w:p w14:paraId="227DA09D" w14:textId="77777777" w:rsidR="001E74A5" w:rsidRPr="001E74A5" w:rsidRDefault="001E74A5" w:rsidP="001E74A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Latin America and the Middle East &amp; Africa (LAMEA)</w:t>
      </w:r>
      <w:r w:rsidRPr="001E74A5">
        <w:rPr>
          <w:rFonts w:ascii="Times New Roman" w:eastAsia="Times New Roman" w:hAnsi="Times New Roman" w:cs="Times New Roman"/>
          <w:kern w:val="0"/>
          <w:sz w:val="24"/>
          <w:szCs w:val="24"/>
          <w:lang w:eastAsia="en-IN"/>
          <w14:ligatures w14:val="none"/>
        </w:rPr>
        <w:t xml:space="preserve"> regions are catching up, with increased government promotion of traditional medicine integration and rising middle-class health awareness.</w:t>
      </w:r>
    </w:p>
    <w:p w14:paraId="488765FA"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i/>
          <w:iCs/>
          <w:kern w:val="0"/>
          <w:sz w:val="24"/>
          <w:szCs w:val="24"/>
          <w:lang w:eastAsia="en-IN"/>
          <w14:ligatures w14:val="none"/>
        </w:rPr>
        <w:t>While the West commercializes herbal supplements as “natural wellness,” Asia treats them as “traditional science.” That cultural contrast is giving the region a long-term innovation edge.</w:t>
      </w:r>
    </w:p>
    <w:p w14:paraId="0D5FF17A"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Forecast Scope (2024–2030)</w:t>
      </w:r>
    </w:p>
    <w:p w14:paraId="34BF9E00"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From 2024 to 2030, the herbal supplements market will continue to diversify. Emerging hybrid formulations that combine herbs with probiotics, amino acids, or trace minerals will redefine product classifications. Innovation in encapsulation technology, AI-driven formulation design, and blockchain-based ingredient tracing will likely reshape how trust is built in this sector.</w:t>
      </w:r>
    </w:p>
    <w:p w14:paraId="31BE5729" w14:textId="77777777" w:rsidR="001E74A5" w:rsidRPr="001E74A5" w:rsidRDefault="001E74A5" w:rsidP="001E74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74A5">
        <w:rPr>
          <w:rFonts w:ascii="Times New Roman" w:eastAsia="Times New Roman" w:hAnsi="Times New Roman" w:cs="Times New Roman"/>
          <w:b/>
          <w:bCs/>
          <w:kern w:val="36"/>
          <w:sz w:val="48"/>
          <w:szCs w:val="48"/>
          <w:lang w:eastAsia="en-IN"/>
          <w14:ligatures w14:val="none"/>
        </w:rPr>
        <w:lastRenderedPageBreak/>
        <w:t>3. Market Trends and Innovation Landscape</w:t>
      </w:r>
    </w:p>
    <w:p w14:paraId="6E2295E9"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The herbal supplements market is shifting from a fragmented, tradition-based industry to a scientifically validated, digitally enabled sector that’s redefining how people approach preventive health. Between 2024 and 2030, this transformation is being driven by innovation in formulation science, personalization, and supply chain transparency. Let’s unpack the trends that are reshaping this market’s trajectory.</w:t>
      </w:r>
    </w:p>
    <w:p w14:paraId="3FDDF991"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Scientific Validation is Replacing Anecdotal Evidence</w:t>
      </w:r>
    </w:p>
    <w:p w14:paraId="41BBF522"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For decades, herbal supplements relied on traditional use and cultural credibility. That’s changing fast. Pharmaceutical-grade manufacturing, clinical trials, and peer-reviewed studies are now becoming the norm for premium brands. Companies are investing in </w:t>
      </w:r>
      <w:r w:rsidRPr="001E74A5">
        <w:rPr>
          <w:rFonts w:ascii="Times New Roman" w:eastAsia="Times New Roman" w:hAnsi="Times New Roman" w:cs="Times New Roman"/>
          <w:i/>
          <w:iCs/>
          <w:kern w:val="0"/>
          <w:sz w:val="24"/>
          <w:szCs w:val="24"/>
          <w:lang w:eastAsia="en-IN"/>
          <w14:ligatures w14:val="none"/>
        </w:rPr>
        <w:t>bioavailability enhancement technologies</w:t>
      </w:r>
      <w:r w:rsidRPr="001E74A5">
        <w:rPr>
          <w:rFonts w:ascii="Times New Roman" w:eastAsia="Times New Roman" w:hAnsi="Times New Roman" w:cs="Times New Roman"/>
          <w:kern w:val="0"/>
          <w:sz w:val="24"/>
          <w:szCs w:val="24"/>
          <w:lang w:eastAsia="en-IN"/>
          <w14:ligatures w14:val="none"/>
        </w:rPr>
        <w:t xml:space="preserve"> — such as liposomal encapsulation and </w:t>
      </w:r>
      <w:proofErr w:type="spellStart"/>
      <w:r w:rsidRPr="001E74A5">
        <w:rPr>
          <w:rFonts w:ascii="Times New Roman" w:eastAsia="Times New Roman" w:hAnsi="Times New Roman" w:cs="Times New Roman"/>
          <w:kern w:val="0"/>
          <w:sz w:val="24"/>
          <w:szCs w:val="24"/>
          <w:lang w:eastAsia="en-IN"/>
          <w14:ligatures w14:val="none"/>
        </w:rPr>
        <w:t>nanomicellar</w:t>
      </w:r>
      <w:proofErr w:type="spellEnd"/>
      <w:r w:rsidRPr="001E74A5">
        <w:rPr>
          <w:rFonts w:ascii="Times New Roman" w:eastAsia="Times New Roman" w:hAnsi="Times New Roman" w:cs="Times New Roman"/>
          <w:kern w:val="0"/>
          <w:sz w:val="24"/>
          <w:szCs w:val="24"/>
          <w:lang w:eastAsia="en-IN"/>
          <w14:ligatures w14:val="none"/>
        </w:rPr>
        <w:t xml:space="preserve"> systems — that help herbal actives like curcumin or resveratrol achieve measurable efficacy levels comparable to drugs.</w:t>
      </w:r>
    </w:p>
    <w:p w14:paraId="62B801CD"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Startups in Europe and the U.S. are also forming partnerships with research universities to run small-scale clinical trials, primarily focused on mental health, inflammation, and immunity. These studies are not just scientific pursuits — they’re marketing assets. The shift toward evidence-based marketing is redefining consumer trust in this sector.</w:t>
      </w:r>
    </w:p>
    <w:p w14:paraId="4829F741"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i/>
          <w:iCs/>
          <w:kern w:val="0"/>
          <w:sz w:val="24"/>
          <w:szCs w:val="24"/>
          <w:lang w:eastAsia="en-IN"/>
          <w14:ligatures w14:val="none"/>
        </w:rPr>
        <w:t>As one formulation scientist from a nutraceutical lab put it, “The next wave of consumer loyalty will be built on data, not folklore.”</w:t>
      </w:r>
    </w:p>
    <w:p w14:paraId="0CFF5407"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AI and Data-Driven Personalization Are Rewriting the Supplement Experience</w:t>
      </w:r>
    </w:p>
    <w:p w14:paraId="3A475B19"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Digital health platforms are converging with the herbal supplement space. AI-driven tools now assess dietary patterns, genetic profiles, and microbiome data to recommend personalized herbal formulations. Subscription models are leveraging this tech to create adaptive monthly plans that change as the user’s health data evolves.</w:t>
      </w:r>
    </w:p>
    <w:p w14:paraId="5E7E9DA8"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In Asia and North America, DTC (direct-to-consumer) brands are integrating chat-based nutrition advisors and smart packaging that syncs with mobile apps to remind users when to take doses. This fusion of digital health with traditional medicine marks one of the most transformative developments in the industry.</w:t>
      </w:r>
    </w:p>
    <w:p w14:paraId="3A730C20"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Sustainability and Ethical Sourcing Are Now Business Imperatives</w:t>
      </w:r>
    </w:p>
    <w:p w14:paraId="6AA4F626"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Sustainability is no longer a CSR checkbox — it’s a competitive differentiator. As climate change affects crop yields of herbs like ashwagandha and ginseng, brands are building vertically integrated supply chains to ensure consistent quality and ethical sourcing.</w:t>
      </w:r>
    </w:p>
    <w:p w14:paraId="5583F76E"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Blockchain tracking for ingredient traceability is emerging as a standard. From the Himalayas to South America, producers are documenting herb origin, harvest time, and purity </w:t>
      </w:r>
      <w:r w:rsidRPr="001E74A5">
        <w:rPr>
          <w:rFonts w:ascii="Times New Roman" w:eastAsia="Times New Roman" w:hAnsi="Times New Roman" w:cs="Times New Roman"/>
          <w:kern w:val="0"/>
          <w:sz w:val="24"/>
          <w:szCs w:val="24"/>
          <w:lang w:eastAsia="en-IN"/>
          <w14:ligatures w14:val="none"/>
        </w:rPr>
        <w:lastRenderedPageBreak/>
        <w:t>certificates digitally. Consumers increasingly demand proof of origin, especially in Europe and North America, where “clean label” and “non-GMO” claims strongly influence purchase decisions.</w:t>
      </w:r>
    </w:p>
    <w:p w14:paraId="42B818D1"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Large nutraceutical firms are also investing in regenerative agriculture programs to stabilize supply and build brand credibility. </w:t>
      </w:r>
      <w:r w:rsidRPr="001E74A5">
        <w:rPr>
          <w:rFonts w:ascii="Times New Roman" w:eastAsia="Times New Roman" w:hAnsi="Times New Roman" w:cs="Times New Roman"/>
          <w:i/>
          <w:iCs/>
          <w:kern w:val="0"/>
          <w:sz w:val="24"/>
          <w:szCs w:val="24"/>
          <w:lang w:eastAsia="en-IN"/>
          <w14:ligatures w14:val="none"/>
        </w:rPr>
        <w:t>The trend is clear — purity and provenance are as valuable as potency.</w:t>
      </w:r>
    </w:p>
    <w:p w14:paraId="2B9CEC4F"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Hybrid Formulations Are Blurring the Line Between Supplements and Medicine</w:t>
      </w:r>
    </w:p>
    <w:p w14:paraId="3E225922"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Innovation in formulation is producing hybrid products that combine herbal ingredients with clinically proven compounds. Examples include turmeric-based supplements fortified with omega-3s or magnesium, or adaptogenic blends that integrate L-theanine or vitamin D. This convergence between natural and synthetic compounds is giving rise to a new “</w:t>
      </w:r>
      <w:proofErr w:type="spellStart"/>
      <w:r w:rsidRPr="001E74A5">
        <w:rPr>
          <w:rFonts w:ascii="Times New Roman" w:eastAsia="Times New Roman" w:hAnsi="Times New Roman" w:cs="Times New Roman"/>
          <w:kern w:val="0"/>
          <w:sz w:val="24"/>
          <w:szCs w:val="24"/>
          <w:lang w:eastAsia="en-IN"/>
          <w14:ligatures w14:val="none"/>
        </w:rPr>
        <w:t>phytopharma</w:t>
      </w:r>
      <w:proofErr w:type="spellEnd"/>
      <w:r w:rsidRPr="001E74A5">
        <w:rPr>
          <w:rFonts w:ascii="Times New Roman" w:eastAsia="Times New Roman" w:hAnsi="Times New Roman" w:cs="Times New Roman"/>
          <w:kern w:val="0"/>
          <w:sz w:val="24"/>
          <w:szCs w:val="24"/>
          <w:lang w:eastAsia="en-IN"/>
          <w14:ligatures w14:val="none"/>
        </w:rPr>
        <w:t>” category — positioned between conventional medicine and wellness supplements.</w:t>
      </w:r>
    </w:p>
    <w:p w14:paraId="46C23D4D"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These hybrids are also </w:t>
      </w:r>
      <w:proofErr w:type="spellStart"/>
      <w:r w:rsidRPr="001E74A5">
        <w:rPr>
          <w:rFonts w:ascii="Times New Roman" w:eastAsia="Times New Roman" w:hAnsi="Times New Roman" w:cs="Times New Roman"/>
          <w:kern w:val="0"/>
          <w:sz w:val="24"/>
          <w:szCs w:val="24"/>
          <w:lang w:eastAsia="en-IN"/>
          <w14:ligatures w14:val="none"/>
        </w:rPr>
        <w:t>fueling</w:t>
      </w:r>
      <w:proofErr w:type="spellEnd"/>
      <w:r w:rsidRPr="001E74A5">
        <w:rPr>
          <w:rFonts w:ascii="Times New Roman" w:eastAsia="Times New Roman" w:hAnsi="Times New Roman" w:cs="Times New Roman"/>
          <w:kern w:val="0"/>
          <w:sz w:val="24"/>
          <w:szCs w:val="24"/>
          <w:lang w:eastAsia="en-IN"/>
          <w14:ligatures w14:val="none"/>
        </w:rPr>
        <w:t xml:space="preserve"> the rise of functional beverages and ready-to-consume powders, appealing to younger consumers who prefer convenience over capsules. Brands are racing to offer herbal drinks infused with ashwagandha, </w:t>
      </w:r>
      <w:proofErr w:type="spellStart"/>
      <w:r w:rsidRPr="001E74A5">
        <w:rPr>
          <w:rFonts w:ascii="Times New Roman" w:eastAsia="Times New Roman" w:hAnsi="Times New Roman" w:cs="Times New Roman"/>
          <w:kern w:val="0"/>
          <w:sz w:val="24"/>
          <w:szCs w:val="24"/>
          <w:lang w:eastAsia="en-IN"/>
          <w14:ligatures w14:val="none"/>
        </w:rPr>
        <w:t>reishi</w:t>
      </w:r>
      <w:proofErr w:type="spellEnd"/>
      <w:r w:rsidRPr="001E74A5">
        <w:rPr>
          <w:rFonts w:ascii="Times New Roman" w:eastAsia="Times New Roman" w:hAnsi="Times New Roman" w:cs="Times New Roman"/>
          <w:kern w:val="0"/>
          <w:sz w:val="24"/>
          <w:szCs w:val="24"/>
          <w:lang w:eastAsia="en-IN"/>
          <w14:ligatures w14:val="none"/>
        </w:rPr>
        <w:t>, or holy basil, often marketed as stress-reducing or focus-enhancing elixirs.</w:t>
      </w:r>
    </w:p>
    <w:p w14:paraId="24B6858C"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The Rise of Regional Innovation Clusters</w:t>
      </w:r>
    </w:p>
    <w:p w14:paraId="092E05C8"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Asia-Pacific continues to lead the world in raw herb cultivation and extraction technology, but Western markets are catching up through regulatory innovation and clinical validation. India’s AYUSH-backed initiatives, China’s modernization of TCM exports, and Japan’s focus on </w:t>
      </w:r>
      <w:proofErr w:type="spellStart"/>
      <w:r w:rsidRPr="001E74A5">
        <w:rPr>
          <w:rFonts w:ascii="Times New Roman" w:eastAsia="Times New Roman" w:hAnsi="Times New Roman" w:cs="Times New Roman"/>
          <w:kern w:val="0"/>
          <w:sz w:val="24"/>
          <w:szCs w:val="24"/>
          <w:lang w:eastAsia="en-IN"/>
          <w14:ligatures w14:val="none"/>
        </w:rPr>
        <w:t>Kampo</w:t>
      </w:r>
      <w:proofErr w:type="spellEnd"/>
      <w:r w:rsidRPr="001E74A5">
        <w:rPr>
          <w:rFonts w:ascii="Times New Roman" w:eastAsia="Times New Roman" w:hAnsi="Times New Roman" w:cs="Times New Roman"/>
          <w:kern w:val="0"/>
          <w:sz w:val="24"/>
          <w:szCs w:val="24"/>
          <w:lang w:eastAsia="en-IN"/>
          <w14:ligatures w14:val="none"/>
        </w:rPr>
        <w:t xml:space="preserve"> integration are driving industrial-scale herbal production. Meanwhile, the U.S. and Europe are turning to functional foods and mental wellness applications as their innovation focus.</w:t>
      </w:r>
    </w:p>
    <w:p w14:paraId="45A08CCB"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Interestingly, regional specialization is emerging — the U.S. leads in AI-driven personalization platforms, Europe dominates in clean-label certifications and sustainability standards, and Asia excels in raw ingredient production and traditional R&amp;D.</w:t>
      </w:r>
    </w:p>
    <w:p w14:paraId="3B4617FF"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Digital Commerce is Reshaping Brand Power</w:t>
      </w:r>
    </w:p>
    <w:p w14:paraId="0B1359B9"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E-commerce and social platforms have dismantled the old retail hierarchy. Consumers now trust influencer-backed herbal brands as much as legacy players. Wellness creators on platforms like Instagram and TikTok are driving product discovery at scale, especially for niche herbs like maca, lion’s mane, and moringa.</w:t>
      </w:r>
    </w:p>
    <w:p w14:paraId="0065B7A6"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This democratization of influence has lowered entry barriers but raised authenticity expectations. Brands that pair storytelling with verifiable science are standing out. In fact, </w:t>
      </w:r>
      <w:r w:rsidRPr="001E74A5">
        <w:rPr>
          <w:rFonts w:ascii="Times New Roman" w:eastAsia="Times New Roman" w:hAnsi="Times New Roman" w:cs="Times New Roman"/>
          <w:i/>
          <w:iCs/>
          <w:kern w:val="0"/>
          <w:sz w:val="24"/>
          <w:szCs w:val="24"/>
          <w:lang w:eastAsia="en-IN"/>
          <w14:ligatures w14:val="none"/>
        </w:rPr>
        <w:t>many of today’s fastest-growing herbal supplement brands didn’t exist five years ago — they were born online, built on transparency and community.</w:t>
      </w:r>
    </w:p>
    <w:p w14:paraId="5942F993"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R&amp;D Investment is Accelerating</w:t>
      </w:r>
    </w:p>
    <w:p w14:paraId="796D64ED"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lastRenderedPageBreak/>
        <w:t>Multinational nutraceutical companies and mid-tier supplement manufacturers are doubling down on R&amp;D spending, not just to develop new products but to validate ancient herbs under modern scrutiny. Areas like stress management, metabolic health, and hormonal balance are seeing the most research focus.</w:t>
      </w:r>
    </w:p>
    <w:p w14:paraId="74C5CF3B"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Phytochemical fingerprinting, AI-assisted compound discovery, and bioavailability mapping are among the tools now standard in advanced supplement labs. These technologies are helping differentiate serious health-focused products from low-quality “wellness” imitators.</w:t>
      </w:r>
    </w:p>
    <w:p w14:paraId="3B91B63E" w14:textId="77777777" w:rsidR="001E74A5" w:rsidRPr="001E74A5" w:rsidRDefault="001E74A5" w:rsidP="001E74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74A5">
        <w:rPr>
          <w:rFonts w:ascii="Times New Roman" w:eastAsia="Times New Roman" w:hAnsi="Times New Roman" w:cs="Times New Roman"/>
          <w:b/>
          <w:bCs/>
          <w:kern w:val="36"/>
          <w:sz w:val="48"/>
          <w:szCs w:val="48"/>
          <w:lang w:eastAsia="en-IN"/>
          <w14:ligatures w14:val="none"/>
        </w:rPr>
        <w:t>4. Competitive Intelligence and Benchmarking</w:t>
      </w:r>
    </w:p>
    <w:p w14:paraId="60094176"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The herbal supplements market may appear crowded, but real competition happens among a few key players that combine trust, transparency, and science-backed innovation. Between 2024 and 2030, competition is expected to intensify as brands balance three critical levers — </w:t>
      </w:r>
      <w:r w:rsidRPr="001E74A5">
        <w:rPr>
          <w:rFonts w:ascii="Times New Roman" w:eastAsia="Times New Roman" w:hAnsi="Times New Roman" w:cs="Times New Roman"/>
          <w:i/>
          <w:iCs/>
          <w:kern w:val="0"/>
          <w:sz w:val="24"/>
          <w:szCs w:val="24"/>
          <w:lang w:eastAsia="en-IN"/>
          <w14:ligatures w14:val="none"/>
        </w:rPr>
        <w:t>clinical credibility, digital presence, and sustainable sourcing</w:t>
      </w:r>
      <w:r w:rsidRPr="001E74A5">
        <w:rPr>
          <w:rFonts w:ascii="Times New Roman" w:eastAsia="Times New Roman" w:hAnsi="Times New Roman" w:cs="Times New Roman"/>
          <w:kern w:val="0"/>
          <w:sz w:val="24"/>
          <w:szCs w:val="24"/>
          <w:lang w:eastAsia="en-IN"/>
          <w14:ligatures w14:val="none"/>
        </w:rPr>
        <w:t>. The market is currently defined by a mix of global nutraceutical giants, regional specialists, and a wave of digitally native wellness startups that are rewriting how supplements are marketed and consumed.</w:t>
      </w:r>
    </w:p>
    <w:p w14:paraId="5E213D02"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Key Players and Competitive Overview</w:t>
      </w:r>
    </w:p>
    <w:p w14:paraId="3C2E5A35"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Nestlé Health Science</w:t>
      </w:r>
      <w:r w:rsidRPr="001E74A5">
        <w:rPr>
          <w:rFonts w:ascii="Times New Roman" w:eastAsia="Times New Roman" w:hAnsi="Times New Roman" w:cs="Times New Roman"/>
          <w:kern w:val="0"/>
          <w:sz w:val="24"/>
          <w:szCs w:val="24"/>
          <w:lang w:eastAsia="en-IN"/>
          <w14:ligatures w14:val="none"/>
        </w:rPr>
        <w:br/>
        <w:t xml:space="preserve">Nestlé has emerged as one of the strongest global players in plant-based and natural wellness products. Its acquisitions of brands like Garden of Life and Vital Proteins positioned it as a leader in herbal and clean-label nutrition. Nestlé’s approach </w:t>
      </w:r>
      <w:proofErr w:type="spellStart"/>
      <w:r w:rsidRPr="001E74A5">
        <w:rPr>
          <w:rFonts w:ascii="Times New Roman" w:eastAsia="Times New Roman" w:hAnsi="Times New Roman" w:cs="Times New Roman"/>
          <w:kern w:val="0"/>
          <w:sz w:val="24"/>
          <w:szCs w:val="24"/>
          <w:lang w:eastAsia="en-IN"/>
          <w14:ligatures w14:val="none"/>
        </w:rPr>
        <w:t>centers</w:t>
      </w:r>
      <w:proofErr w:type="spellEnd"/>
      <w:r w:rsidRPr="001E74A5">
        <w:rPr>
          <w:rFonts w:ascii="Times New Roman" w:eastAsia="Times New Roman" w:hAnsi="Times New Roman" w:cs="Times New Roman"/>
          <w:kern w:val="0"/>
          <w:sz w:val="24"/>
          <w:szCs w:val="24"/>
          <w:lang w:eastAsia="en-IN"/>
          <w14:ligatures w14:val="none"/>
        </w:rPr>
        <w:t xml:space="preserve"> on scientific substantiation and physician partnerships — they actively conduct in-house research to validate herbal ingredient efficacy. Their global reach, coupled with access to premium retail channels, gives them significant competitive leverage.</w:t>
      </w:r>
    </w:p>
    <w:p w14:paraId="59476CFB"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Nature’s Bounty (The Bountiful Company)</w:t>
      </w:r>
      <w:r w:rsidRPr="001E74A5">
        <w:rPr>
          <w:rFonts w:ascii="Times New Roman" w:eastAsia="Times New Roman" w:hAnsi="Times New Roman" w:cs="Times New Roman"/>
          <w:kern w:val="0"/>
          <w:sz w:val="24"/>
          <w:szCs w:val="24"/>
          <w:lang w:eastAsia="en-IN"/>
          <w14:ligatures w14:val="none"/>
        </w:rPr>
        <w:br/>
        <w:t>Now part of Nestlé’s portfolio, Nature’s Bounty continues to dominate retail and e-commerce channels in the U.S. with an expansive herbal supplement lineup. Their strength lies in brand familiarity and affordability, especially among older consumers who trust legacy health brands. In recent years, they’ve launched cleaner, vegan-certified lines to appeal to the younger demographic demanding transparency and minimal additives.</w:t>
      </w:r>
    </w:p>
    <w:p w14:paraId="242CCF33"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NOW Foods</w:t>
      </w:r>
      <w:r w:rsidRPr="001E74A5">
        <w:rPr>
          <w:rFonts w:ascii="Times New Roman" w:eastAsia="Times New Roman" w:hAnsi="Times New Roman" w:cs="Times New Roman"/>
          <w:kern w:val="0"/>
          <w:sz w:val="24"/>
          <w:szCs w:val="24"/>
          <w:lang w:eastAsia="en-IN"/>
          <w14:ligatures w14:val="none"/>
        </w:rPr>
        <w:br/>
        <w:t>As one of the most recognized independent supplement manufacturers in North America, NOW Foods has built its reputation on purity testing and ingredient traceability. Their extensive internal quality control system — involving over 16,000 analytical tests per month — sets them apart in a market where adulteration remains a concern. NOW’s herbal product range spans turmeric, echinacea, and ginkgo formulations, with a strong focus on value-for-money offerings in both retail and online platforms.</w:t>
      </w:r>
    </w:p>
    <w:p w14:paraId="66158E39"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Herbalife Nutrition Ltd.</w:t>
      </w:r>
      <w:r w:rsidRPr="001E74A5">
        <w:rPr>
          <w:rFonts w:ascii="Times New Roman" w:eastAsia="Times New Roman" w:hAnsi="Times New Roman" w:cs="Times New Roman"/>
          <w:kern w:val="0"/>
          <w:sz w:val="24"/>
          <w:szCs w:val="24"/>
          <w:lang w:eastAsia="en-IN"/>
          <w14:ligatures w14:val="none"/>
        </w:rPr>
        <w:br/>
        <w:t xml:space="preserve">Herbalife operates at the intersection of supplements and lifestyle coaching. Unlike traditional nutraceutical firms, its competitive strength comes from a vast distributor network and community-driven marketing. Its herbal-based products — especially those in metabolic </w:t>
      </w:r>
      <w:r w:rsidRPr="001E74A5">
        <w:rPr>
          <w:rFonts w:ascii="Times New Roman" w:eastAsia="Times New Roman" w:hAnsi="Times New Roman" w:cs="Times New Roman"/>
          <w:kern w:val="0"/>
          <w:sz w:val="24"/>
          <w:szCs w:val="24"/>
          <w:lang w:eastAsia="en-IN"/>
          <w14:ligatures w14:val="none"/>
        </w:rPr>
        <w:lastRenderedPageBreak/>
        <w:t>and digestive health — continue to perform well in Asia and Latin America. However, regulatory scrutiny and shifting perceptions of multilevel marketing models may challenge long-term scalability.</w:t>
      </w:r>
    </w:p>
    <w:p w14:paraId="63FE1179"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Gaia Herbs</w:t>
      </w:r>
      <w:r w:rsidRPr="001E74A5">
        <w:rPr>
          <w:rFonts w:ascii="Times New Roman" w:eastAsia="Times New Roman" w:hAnsi="Times New Roman" w:cs="Times New Roman"/>
          <w:kern w:val="0"/>
          <w:sz w:val="24"/>
          <w:szCs w:val="24"/>
          <w:lang w:eastAsia="en-IN"/>
          <w14:ligatures w14:val="none"/>
        </w:rPr>
        <w:br/>
        <w:t>Gaia Herbs remains a premium benchmark in the herbal supplements segment. Known for its vertically integrated supply chain and transparent “Meet Your Herbs” traceability platform, Gaia has set the standard for ethical sourcing and brand authenticity. The company focuses on small-batch production, organic certification, and clinical validation of its adaptogenic and immune blends. Its approach resonates strongly with consumers seeking authenticity over scale.</w:t>
      </w:r>
    </w:p>
    <w:p w14:paraId="24F136F6"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Himalaya Wellness</w:t>
      </w:r>
      <w:r w:rsidRPr="001E74A5">
        <w:rPr>
          <w:rFonts w:ascii="Times New Roman" w:eastAsia="Times New Roman" w:hAnsi="Times New Roman" w:cs="Times New Roman"/>
          <w:kern w:val="0"/>
          <w:sz w:val="24"/>
          <w:szCs w:val="24"/>
          <w:lang w:eastAsia="en-IN"/>
          <w14:ligatures w14:val="none"/>
        </w:rPr>
        <w:br/>
        <w:t xml:space="preserve">Himalaya is a leading player from Asia with a deep heritage in Ayurvedic medicine. It’s among the few companies successfully bridging traditional medicine with modern nutraceutical frameworks. The company’s strength lies in its clinical validation of traditional herbs like ashwagandha, </w:t>
      </w:r>
      <w:proofErr w:type="spellStart"/>
      <w:r w:rsidRPr="001E74A5">
        <w:rPr>
          <w:rFonts w:ascii="Times New Roman" w:eastAsia="Times New Roman" w:hAnsi="Times New Roman" w:cs="Times New Roman"/>
          <w:kern w:val="0"/>
          <w:sz w:val="24"/>
          <w:szCs w:val="24"/>
          <w:lang w:eastAsia="en-IN"/>
          <w14:ligatures w14:val="none"/>
        </w:rPr>
        <w:t>triphala</w:t>
      </w:r>
      <w:proofErr w:type="spellEnd"/>
      <w:r w:rsidRPr="001E74A5">
        <w:rPr>
          <w:rFonts w:ascii="Times New Roman" w:eastAsia="Times New Roman" w:hAnsi="Times New Roman" w:cs="Times New Roman"/>
          <w:kern w:val="0"/>
          <w:sz w:val="24"/>
          <w:szCs w:val="24"/>
          <w:lang w:eastAsia="en-IN"/>
          <w14:ligatures w14:val="none"/>
        </w:rPr>
        <w:t>, and neem, and its growing global footprint through pharmacy and e-commerce channels. Himalaya’s consistent investment in R&amp;D and WHO-GMP-certified manufacturing facilities positions it well against Western competitors emphasizing purity and consistency.</w:t>
      </w:r>
    </w:p>
    <w:p w14:paraId="54D63356"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Amway (</w:t>
      </w:r>
      <w:proofErr w:type="spellStart"/>
      <w:r w:rsidRPr="001E74A5">
        <w:rPr>
          <w:rFonts w:ascii="Times New Roman" w:eastAsia="Times New Roman" w:hAnsi="Times New Roman" w:cs="Times New Roman"/>
          <w:b/>
          <w:bCs/>
          <w:kern w:val="0"/>
          <w:sz w:val="24"/>
          <w:szCs w:val="24"/>
          <w:lang w:eastAsia="en-IN"/>
          <w14:ligatures w14:val="none"/>
        </w:rPr>
        <w:t>Nutrilite</w:t>
      </w:r>
      <w:proofErr w:type="spellEnd"/>
      <w:r w:rsidRPr="001E74A5">
        <w:rPr>
          <w:rFonts w:ascii="Times New Roman" w:eastAsia="Times New Roman" w:hAnsi="Times New Roman" w:cs="Times New Roman"/>
          <w:b/>
          <w:bCs/>
          <w:kern w:val="0"/>
          <w:sz w:val="24"/>
          <w:szCs w:val="24"/>
          <w:lang w:eastAsia="en-IN"/>
          <w14:ligatures w14:val="none"/>
        </w:rPr>
        <w:t xml:space="preserve"> Brand)</w:t>
      </w:r>
      <w:r w:rsidRPr="001E74A5">
        <w:rPr>
          <w:rFonts w:ascii="Times New Roman" w:eastAsia="Times New Roman" w:hAnsi="Times New Roman" w:cs="Times New Roman"/>
          <w:kern w:val="0"/>
          <w:sz w:val="24"/>
          <w:szCs w:val="24"/>
          <w:lang w:eastAsia="en-IN"/>
          <w14:ligatures w14:val="none"/>
        </w:rPr>
        <w:br/>
      </w:r>
      <w:proofErr w:type="spellStart"/>
      <w:r w:rsidRPr="001E74A5">
        <w:rPr>
          <w:rFonts w:ascii="Times New Roman" w:eastAsia="Times New Roman" w:hAnsi="Times New Roman" w:cs="Times New Roman"/>
          <w:kern w:val="0"/>
          <w:sz w:val="24"/>
          <w:szCs w:val="24"/>
          <w:lang w:eastAsia="en-IN"/>
          <w14:ligatures w14:val="none"/>
        </w:rPr>
        <w:t>Nutrilite</w:t>
      </w:r>
      <w:proofErr w:type="spellEnd"/>
      <w:r w:rsidRPr="001E74A5">
        <w:rPr>
          <w:rFonts w:ascii="Times New Roman" w:eastAsia="Times New Roman" w:hAnsi="Times New Roman" w:cs="Times New Roman"/>
          <w:kern w:val="0"/>
          <w:sz w:val="24"/>
          <w:szCs w:val="24"/>
          <w:lang w:eastAsia="en-IN"/>
          <w14:ligatures w14:val="none"/>
        </w:rPr>
        <w:t>, one of the oldest supplement brands globally, has built its image around traceability and plant-based formulations. Amway’s integrated farms across North and South America serve as both sourcing and branding assets — ensuring supply stability and demonstrating environmental stewardship. The brand has recently expanded its adaptogenic line to include herbal combinations targeting energy and mental focus.</w:t>
      </w:r>
    </w:p>
    <w:p w14:paraId="387C5E62"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Competitive Benchmarking Highlights</w:t>
      </w:r>
    </w:p>
    <w:p w14:paraId="163D9DE9"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1. Scientific Differentiation</w:t>
      </w:r>
      <w:r w:rsidRPr="001E74A5">
        <w:rPr>
          <w:rFonts w:ascii="Times New Roman" w:eastAsia="Times New Roman" w:hAnsi="Times New Roman" w:cs="Times New Roman"/>
          <w:kern w:val="0"/>
          <w:sz w:val="24"/>
          <w:szCs w:val="24"/>
          <w:lang w:eastAsia="en-IN"/>
          <w14:ligatures w14:val="none"/>
        </w:rPr>
        <w:br/>
        <w:t xml:space="preserve">Companies like Gaia Herbs, Nestlé Health Science, and NOW Foods are moving toward </w:t>
      </w:r>
      <w:r w:rsidRPr="001E74A5">
        <w:rPr>
          <w:rFonts w:ascii="Times New Roman" w:eastAsia="Times New Roman" w:hAnsi="Times New Roman" w:cs="Times New Roman"/>
          <w:i/>
          <w:iCs/>
          <w:kern w:val="0"/>
          <w:sz w:val="24"/>
          <w:szCs w:val="24"/>
          <w:lang w:eastAsia="en-IN"/>
          <w14:ligatures w14:val="none"/>
        </w:rPr>
        <w:t>clinically verified formulations</w:t>
      </w:r>
      <w:r w:rsidRPr="001E74A5">
        <w:rPr>
          <w:rFonts w:ascii="Times New Roman" w:eastAsia="Times New Roman" w:hAnsi="Times New Roman" w:cs="Times New Roman"/>
          <w:kern w:val="0"/>
          <w:sz w:val="24"/>
          <w:szCs w:val="24"/>
          <w:lang w:eastAsia="en-IN"/>
          <w14:ligatures w14:val="none"/>
        </w:rPr>
        <w:t xml:space="preserve">. This marks a shift from marketing-driven differentiation to lab-driven credibility. Competitors unable to prove bioavailability or efficacy may face consumer </w:t>
      </w:r>
      <w:proofErr w:type="spellStart"/>
      <w:r w:rsidRPr="001E74A5">
        <w:rPr>
          <w:rFonts w:ascii="Times New Roman" w:eastAsia="Times New Roman" w:hAnsi="Times New Roman" w:cs="Times New Roman"/>
          <w:kern w:val="0"/>
          <w:sz w:val="24"/>
          <w:szCs w:val="24"/>
          <w:lang w:eastAsia="en-IN"/>
          <w14:ligatures w14:val="none"/>
        </w:rPr>
        <w:t>skepticism</w:t>
      </w:r>
      <w:proofErr w:type="spellEnd"/>
      <w:r w:rsidRPr="001E74A5">
        <w:rPr>
          <w:rFonts w:ascii="Times New Roman" w:eastAsia="Times New Roman" w:hAnsi="Times New Roman" w:cs="Times New Roman"/>
          <w:kern w:val="0"/>
          <w:sz w:val="24"/>
          <w:szCs w:val="24"/>
          <w:lang w:eastAsia="en-IN"/>
          <w14:ligatures w14:val="none"/>
        </w:rPr>
        <w:t>.</w:t>
      </w:r>
    </w:p>
    <w:p w14:paraId="54DFB1FC"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2. Digital Ecosystem Maturity</w:t>
      </w:r>
      <w:r w:rsidRPr="001E74A5">
        <w:rPr>
          <w:rFonts w:ascii="Times New Roman" w:eastAsia="Times New Roman" w:hAnsi="Times New Roman" w:cs="Times New Roman"/>
          <w:kern w:val="0"/>
          <w:sz w:val="24"/>
          <w:szCs w:val="24"/>
          <w:lang w:eastAsia="en-IN"/>
          <w14:ligatures w14:val="none"/>
        </w:rPr>
        <w:br/>
        <w:t>Digitally native brands such as Care/of, HUM Nutrition, and Moon Juice are setting new benchmarks in consumer engagement. Their strength isn’t in distribution scale but in personalization — quiz-based recommendations, subscription models, and influencer-led storytelling. Traditional players are responding by investing in DTC channels and UX-focused online storefronts.</w:t>
      </w:r>
    </w:p>
    <w:p w14:paraId="24BBEF2F"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3. Transparency as a Trust Currency</w:t>
      </w:r>
      <w:r w:rsidRPr="001E74A5">
        <w:rPr>
          <w:rFonts w:ascii="Times New Roman" w:eastAsia="Times New Roman" w:hAnsi="Times New Roman" w:cs="Times New Roman"/>
          <w:kern w:val="0"/>
          <w:sz w:val="24"/>
          <w:szCs w:val="24"/>
          <w:lang w:eastAsia="en-IN"/>
          <w14:ligatures w14:val="none"/>
        </w:rPr>
        <w:br/>
        <w:t>Traceability platforms are emerging as the next big differentiator. Gaia Herbs pioneered this with QR code-based ingredient sourcing verification, but major companies are catching on. NOW Foods and Himalaya have followed suit with digital batch tracking systems that provide certificate-of-analysis access to consumers.</w:t>
      </w:r>
    </w:p>
    <w:p w14:paraId="58D3A15C"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lastRenderedPageBreak/>
        <w:t>4. Product Portfolio Strategy</w:t>
      </w:r>
      <w:r w:rsidRPr="001E74A5">
        <w:rPr>
          <w:rFonts w:ascii="Times New Roman" w:eastAsia="Times New Roman" w:hAnsi="Times New Roman" w:cs="Times New Roman"/>
          <w:kern w:val="0"/>
          <w:sz w:val="24"/>
          <w:szCs w:val="24"/>
          <w:lang w:eastAsia="en-IN"/>
          <w14:ligatures w14:val="none"/>
        </w:rPr>
        <w:br/>
        <w:t>Market leaders are diversifying aggressively into formats like gummies, liquid extracts, and herbal beverages. Companies that adapt quickly to new delivery systems — without diluting efficacy — are gaining traction among Gen Z and millennial buyers.</w:t>
      </w:r>
    </w:p>
    <w:p w14:paraId="49E2249B"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5. Regional Dominance</w:t>
      </w:r>
      <w:r w:rsidRPr="001E74A5">
        <w:rPr>
          <w:rFonts w:ascii="Times New Roman" w:eastAsia="Times New Roman" w:hAnsi="Times New Roman" w:cs="Times New Roman"/>
          <w:kern w:val="0"/>
          <w:sz w:val="24"/>
          <w:szCs w:val="24"/>
          <w:lang w:eastAsia="en-IN"/>
          <w14:ligatures w14:val="none"/>
        </w:rPr>
        <w:br/>
        <w:t>North American firms lead in R&amp;D-backed standardization, while Asia-based players lead in raw ingredient control and traditional expertise. The balance of power is shifting slightly toward hybrid players who can marry both — such as Himalaya and newer entrants in Korea and Japan blending traditional herbal science with modern biotech processes.</w:t>
      </w:r>
    </w:p>
    <w:p w14:paraId="03A33484"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The Competitive Reality</w:t>
      </w:r>
    </w:p>
    <w:p w14:paraId="27225624"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The herbal supplements market rewards authenticity and punishes exaggeration. A company can’t simply claim purity — it must prove it, preferably in the lab and on the label. The next five years will likely see consolidation, with larger nutraceutical corporations acquiring niche, trusted herbal brands to expand credibility and access premium consumers.</w:t>
      </w:r>
    </w:p>
    <w:p w14:paraId="2B3E087C" w14:textId="77777777" w:rsidR="001E74A5" w:rsidRPr="001E74A5" w:rsidRDefault="001E74A5" w:rsidP="001E74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74A5">
        <w:rPr>
          <w:rFonts w:ascii="Times New Roman" w:eastAsia="Times New Roman" w:hAnsi="Times New Roman" w:cs="Times New Roman"/>
          <w:b/>
          <w:bCs/>
          <w:kern w:val="36"/>
          <w:sz w:val="48"/>
          <w:szCs w:val="48"/>
          <w:lang w:eastAsia="en-IN"/>
          <w14:ligatures w14:val="none"/>
        </w:rPr>
        <w:t>5. Regional Landscape and Adoption Outlook</w:t>
      </w:r>
    </w:p>
    <w:p w14:paraId="05D84C53"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The herbal supplements market isn’t uniform — it’s deeply regional. Each geography has its own cultural attitudes toward natural medicine, regulatory expectations, and market maturity. Between 2024 and 2030, regional divergence will actually fuel overall growth. Mature Western markets are prioritizing clinical validation and sustainability, while emerging economies are scaling production and integrating traditional medicine systems into mainstream healthcare.</w:t>
      </w:r>
    </w:p>
    <w:p w14:paraId="55F4C65F"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North America</w:t>
      </w:r>
    </w:p>
    <w:p w14:paraId="2A6B0986"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North America remains the most established market for herbal supplements, with the United States accounting for a majority of global revenue. The region’s consumers are highly brand-aware, ingredient-conscious, and digitally engaged — all of which shape how products are marketed and sold.</w:t>
      </w:r>
    </w:p>
    <w:p w14:paraId="67591971"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In 2024, U.S. demand is heavily concentrated in </w:t>
      </w:r>
      <w:r w:rsidRPr="001E74A5">
        <w:rPr>
          <w:rFonts w:ascii="Times New Roman" w:eastAsia="Times New Roman" w:hAnsi="Times New Roman" w:cs="Times New Roman"/>
          <w:i/>
          <w:iCs/>
          <w:kern w:val="0"/>
          <w:sz w:val="24"/>
          <w:szCs w:val="24"/>
          <w:lang w:eastAsia="en-IN"/>
          <w14:ligatures w14:val="none"/>
        </w:rPr>
        <w:t>immune health, stress relief, and gut wellness</w:t>
      </w:r>
      <w:r w:rsidRPr="001E74A5">
        <w:rPr>
          <w:rFonts w:ascii="Times New Roman" w:eastAsia="Times New Roman" w:hAnsi="Times New Roman" w:cs="Times New Roman"/>
          <w:kern w:val="0"/>
          <w:sz w:val="24"/>
          <w:szCs w:val="24"/>
          <w:lang w:eastAsia="en-IN"/>
          <w14:ligatures w14:val="none"/>
        </w:rPr>
        <w:t>. The Dietary Supplement Health and Education Act (DSHEA) continues to govern the market, allowing wide availability of herbal products as long as no unapproved therapeutic claims are made. That regulatory flexibility has encouraged innovation, particularly in functional blends and clean-label formulations.</w:t>
      </w:r>
    </w:p>
    <w:p w14:paraId="6031F3FE"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Retail distribution remains strong — pharmacy chains like CVS and Walgreens dedicate large shelf space to herbal supplements — but online sales are rising sharply. E-commerce brands using AI-driven personalization tools are now among the fastest-growing players. Subscription services like Care/of and Persona Nutrition are reshaping consumer habits toward customized herbal plans rather than off-the-shelf products.</w:t>
      </w:r>
    </w:p>
    <w:p w14:paraId="776A3F59"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lastRenderedPageBreak/>
        <w:t xml:space="preserve">Canada is experiencing parallel growth, though under tighter </w:t>
      </w:r>
      <w:proofErr w:type="spellStart"/>
      <w:r w:rsidRPr="001E74A5">
        <w:rPr>
          <w:rFonts w:ascii="Times New Roman" w:eastAsia="Times New Roman" w:hAnsi="Times New Roman" w:cs="Times New Roman"/>
          <w:kern w:val="0"/>
          <w:sz w:val="24"/>
          <w:szCs w:val="24"/>
          <w:lang w:eastAsia="en-IN"/>
          <w14:ligatures w14:val="none"/>
        </w:rPr>
        <w:t>labeling</w:t>
      </w:r>
      <w:proofErr w:type="spellEnd"/>
      <w:r w:rsidRPr="001E74A5">
        <w:rPr>
          <w:rFonts w:ascii="Times New Roman" w:eastAsia="Times New Roman" w:hAnsi="Times New Roman" w:cs="Times New Roman"/>
          <w:kern w:val="0"/>
          <w:sz w:val="24"/>
          <w:szCs w:val="24"/>
          <w:lang w:eastAsia="en-IN"/>
          <w14:ligatures w14:val="none"/>
        </w:rPr>
        <w:t xml:space="preserve"> and safety standards enforced by Health Canada’s Natural and Non-prescription Health Products Directorate (NNHPD). The demand for sustainably sourced and certified-organic herbs is higher here, driven by a strong eco-conscious consumer base.</w:t>
      </w:r>
    </w:p>
    <w:p w14:paraId="420D1EA3"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i/>
          <w:iCs/>
          <w:kern w:val="0"/>
          <w:sz w:val="24"/>
          <w:szCs w:val="24"/>
          <w:lang w:eastAsia="en-IN"/>
          <w14:ligatures w14:val="none"/>
        </w:rPr>
        <w:t>In essence, North America leads on innovation and personalization, but faces a growing consumer push for transparency and sustainability that could redefine competition by 2030.</w:t>
      </w:r>
    </w:p>
    <w:p w14:paraId="0C5D1CDF"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Europe</w:t>
      </w:r>
    </w:p>
    <w:p w14:paraId="6B295FB1"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Europe represents the second-largest regional market, shaped by a blend of traditional herbal culture and strong regulatory oversight. Germany, France, and the UK dominate the market, supported by robust pharmacy networks and high consumer trust in herbal medicine.</w:t>
      </w:r>
    </w:p>
    <w:p w14:paraId="2D48EA7C"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Germany’s long-standing herbal pharmacopoeia — supported by the Commission E monographs — sets it apart as the most scientifically rigorous herbal market globally. Products such as valerian, milk thistle, and echinacea have prescription-level credibility. France leans toward aromatherapy and botanical extracts, while the UK’s shift toward wellness-driven consumption continues to grow through retail and online platforms.</w:t>
      </w:r>
    </w:p>
    <w:p w14:paraId="61586126"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The European Food Safety Authority (EFSA) enforces stringent </w:t>
      </w:r>
      <w:proofErr w:type="spellStart"/>
      <w:r w:rsidRPr="001E74A5">
        <w:rPr>
          <w:rFonts w:ascii="Times New Roman" w:eastAsia="Times New Roman" w:hAnsi="Times New Roman" w:cs="Times New Roman"/>
          <w:kern w:val="0"/>
          <w:sz w:val="24"/>
          <w:szCs w:val="24"/>
          <w:lang w:eastAsia="en-IN"/>
          <w14:ligatures w14:val="none"/>
        </w:rPr>
        <w:t>labeling</w:t>
      </w:r>
      <w:proofErr w:type="spellEnd"/>
      <w:r w:rsidRPr="001E74A5">
        <w:rPr>
          <w:rFonts w:ascii="Times New Roman" w:eastAsia="Times New Roman" w:hAnsi="Times New Roman" w:cs="Times New Roman"/>
          <w:kern w:val="0"/>
          <w:sz w:val="24"/>
          <w:szCs w:val="24"/>
          <w:lang w:eastAsia="en-IN"/>
          <w14:ligatures w14:val="none"/>
        </w:rPr>
        <w:t xml:space="preserve"> and health claim standards, which can slow product launches but ultimately boost consumer confidence. The result is a market that </w:t>
      </w:r>
      <w:proofErr w:type="spellStart"/>
      <w:r w:rsidRPr="001E74A5">
        <w:rPr>
          <w:rFonts w:ascii="Times New Roman" w:eastAsia="Times New Roman" w:hAnsi="Times New Roman" w:cs="Times New Roman"/>
          <w:kern w:val="0"/>
          <w:sz w:val="24"/>
          <w:szCs w:val="24"/>
          <w:lang w:eastAsia="en-IN"/>
          <w14:ligatures w14:val="none"/>
        </w:rPr>
        <w:t>favors</w:t>
      </w:r>
      <w:proofErr w:type="spellEnd"/>
      <w:r w:rsidRPr="001E74A5">
        <w:rPr>
          <w:rFonts w:ascii="Times New Roman" w:eastAsia="Times New Roman" w:hAnsi="Times New Roman" w:cs="Times New Roman"/>
          <w:kern w:val="0"/>
          <w:sz w:val="24"/>
          <w:szCs w:val="24"/>
          <w:lang w:eastAsia="en-IN"/>
          <w14:ligatures w14:val="none"/>
        </w:rPr>
        <w:t xml:space="preserve"> established brands with clinical validation over smaller, marketing-driven entrants.</w:t>
      </w:r>
    </w:p>
    <w:p w14:paraId="1693E14C"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Scandinavia is emerging as a hub for sustainability-led herbal brands, with a focus on plant-based innovation and low-carbon supply chains. Eastern Europe, meanwhile, offers strong growth potential, but still faces infrastructural and regulatory challenges that limit access to premium formulations.</w:t>
      </w:r>
    </w:p>
    <w:p w14:paraId="4236E911"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i/>
          <w:iCs/>
          <w:kern w:val="0"/>
          <w:sz w:val="24"/>
          <w:szCs w:val="24"/>
          <w:lang w:eastAsia="en-IN"/>
          <w14:ligatures w14:val="none"/>
        </w:rPr>
        <w:t>Simply put, Europe values proof and purity over hype — and that preference continues to shape brand positioning and product innovation.</w:t>
      </w:r>
    </w:p>
    <w:p w14:paraId="4F97FD74"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Asia Pacific</w:t>
      </w:r>
    </w:p>
    <w:p w14:paraId="14E32189"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Asia Pacific is the fastest-growing region by far — a direct outcome of deep-rooted herbal traditions meeting modern commercialization. From Ayurveda in India to Traditional Chinese Medicine (TCM) and </w:t>
      </w:r>
      <w:proofErr w:type="spellStart"/>
      <w:r w:rsidRPr="001E74A5">
        <w:rPr>
          <w:rFonts w:ascii="Times New Roman" w:eastAsia="Times New Roman" w:hAnsi="Times New Roman" w:cs="Times New Roman"/>
          <w:kern w:val="0"/>
          <w:sz w:val="24"/>
          <w:szCs w:val="24"/>
          <w:lang w:eastAsia="en-IN"/>
          <w14:ligatures w14:val="none"/>
        </w:rPr>
        <w:t>Kampo</w:t>
      </w:r>
      <w:proofErr w:type="spellEnd"/>
      <w:r w:rsidRPr="001E74A5">
        <w:rPr>
          <w:rFonts w:ascii="Times New Roman" w:eastAsia="Times New Roman" w:hAnsi="Times New Roman" w:cs="Times New Roman"/>
          <w:kern w:val="0"/>
          <w:sz w:val="24"/>
          <w:szCs w:val="24"/>
          <w:lang w:eastAsia="en-IN"/>
          <w14:ligatures w14:val="none"/>
        </w:rPr>
        <w:t xml:space="preserve"> in Japan, the region combines heritage with scale.</w:t>
      </w:r>
    </w:p>
    <w:p w14:paraId="688A48CD"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China’s herbal supplement market is dominated by TCM-based formulations, which now integrate with modern R&amp;D and packaging. The government’s support for herbal medicine standardization — through the National Administration of Traditional Chinese Medicine — has opened export opportunities and improved product consistency.</w:t>
      </w:r>
    </w:p>
    <w:p w14:paraId="1C17DDFB"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India, under the Ministry of AYUSH, is scaling Ayurvedic supplement exports while promoting clinical validation of traditional herbs like ashwagandha, turmeric, and </w:t>
      </w:r>
      <w:proofErr w:type="spellStart"/>
      <w:r w:rsidRPr="001E74A5">
        <w:rPr>
          <w:rFonts w:ascii="Times New Roman" w:eastAsia="Times New Roman" w:hAnsi="Times New Roman" w:cs="Times New Roman"/>
          <w:kern w:val="0"/>
          <w:sz w:val="24"/>
          <w:szCs w:val="24"/>
          <w:lang w:eastAsia="en-IN"/>
          <w14:ligatures w14:val="none"/>
        </w:rPr>
        <w:t>tulsi</w:t>
      </w:r>
      <w:proofErr w:type="spellEnd"/>
      <w:r w:rsidRPr="001E74A5">
        <w:rPr>
          <w:rFonts w:ascii="Times New Roman" w:eastAsia="Times New Roman" w:hAnsi="Times New Roman" w:cs="Times New Roman"/>
          <w:kern w:val="0"/>
          <w:sz w:val="24"/>
          <w:szCs w:val="24"/>
          <w:lang w:eastAsia="en-IN"/>
          <w14:ligatures w14:val="none"/>
        </w:rPr>
        <w:t>. Local players such as Himalaya Wellness and Dabur are expanding globally, backed by strong consumer trust and modern branding.</w:t>
      </w:r>
    </w:p>
    <w:p w14:paraId="5AABA32D"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lastRenderedPageBreak/>
        <w:t xml:space="preserve">Japan and South Korea are developing hybrid models that merge traditional herbal formulations with biotechnological enhancements, particularly in stress management and metabolic health. Australia, meanwhile, serves as a regulatory benchmark in the region, with the Therapeutic Goods Administration (TGA) enforcing high manufacturing and </w:t>
      </w:r>
      <w:proofErr w:type="spellStart"/>
      <w:r w:rsidRPr="001E74A5">
        <w:rPr>
          <w:rFonts w:ascii="Times New Roman" w:eastAsia="Times New Roman" w:hAnsi="Times New Roman" w:cs="Times New Roman"/>
          <w:kern w:val="0"/>
          <w:sz w:val="24"/>
          <w:szCs w:val="24"/>
          <w:lang w:eastAsia="en-IN"/>
          <w14:ligatures w14:val="none"/>
        </w:rPr>
        <w:t>labeling</w:t>
      </w:r>
      <w:proofErr w:type="spellEnd"/>
      <w:r w:rsidRPr="001E74A5">
        <w:rPr>
          <w:rFonts w:ascii="Times New Roman" w:eastAsia="Times New Roman" w:hAnsi="Times New Roman" w:cs="Times New Roman"/>
          <w:kern w:val="0"/>
          <w:sz w:val="24"/>
          <w:szCs w:val="24"/>
          <w:lang w:eastAsia="en-IN"/>
          <w14:ligatures w14:val="none"/>
        </w:rPr>
        <w:t xml:space="preserve"> standards.</w:t>
      </w:r>
    </w:p>
    <w:p w14:paraId="059FC9A5"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i/>
          <w:iCs/>
          <w:kern w:val="0"/>
          <w:sz w:val="24"/>
          <w:szCs w:val="24"/>
          <w:lang w:eastAsia="en-IN"/>
          <w14:ligatures w14:val="none"/>
        </w:rPr>
        <w:t xml:space="preserve">Asia Pacific is not just a production hub anymore — it’s becoming a global innovation </w:t>
      </w:r>
      <w:proofErr w:type="spellStart"/>
      <w:r w:rsidRPr="001E74A5">
        <w:rPr>
          <w:rFonts w:ascii="Times New Roman" w:eastAsia="Times New Roman" w:hAnsi="Times New Roman" w:cs="Times New Roman"/>
          <w:i/>
          <w:iCs/>
          <w:kern w:val="0"/>
          <w:sz w:val="24"/>
          <w:szCs w:val="24"/>
          <w:lang w:eastAsia="en-IN"/>
          <w14:ligatures w14:val="none"/>
        </w:rPr>
        <w:t>center</w:t>
      </w:r>
      <w:proofErr w:type="spellEnd"/>
      <w:r w:rsidRPr="001E74A5">
        <w:rPr>
          <w:rFonts w:ascii="Times New Roman" w:eastAsia="Times New Roman" w:hAnsi="Times New Roman" w:cs="Times New Roman"/>
          <w:i/>
          <w:iCs/>
          <w:kern w:val="0"/>
          <w:sz w:val="24"/>
          <w:szCs w:val="24"/>
          <w:lang w:eastAsia="en-IN"/>
          <w14:ligatures w14:val="none"/>
        </w:rPr>
        <w:t xml:space="preserve"> for botanical science and hybrid herbal therapies.</w:t>
      </w:r>
    </w:p>
    <w:p w14:paraId="5E077FAE"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Latin America</w:t>
      </w:r>
    </w:p>
    <w:p w14:paraId="60BA0DA7"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Latin America’s herbal supplements market is driven by abundant biodiversity and rising wellness awareness among urban populations. Brazil and Mexico lead the region, supported by growing retail networks and increasing consumer trust in natural healthcare.</w:t>
      </w:r>
    </w:p>
    <w:p w14:paraId="5CAA9888"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Brazil’s ANVISA has introduced clearer regulations for herbal products, encouraging local companies to invest in safety testing and international certifications. Traditional herbs like guarana, yerba mate, and cat’s claw are being commercialized globally, with exports growing steadily. Mexico, on the other hand, benefits from a blend of indigenous herbal knowledge and modern pharmacy distribution.</w:t>
      </w:r>
    </w:p>
    <w:p w14:paraId="17AA8395"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However, challenges remain. Limited consumer education, price sensitivity, and inconsistent quality control slow the market’s premiumization. Still, </w:t>
      </w:r>
      <w:r w:rsidRPr="001E74A5">
        <w:rPr>
          <w:rFonts w:ascii="Times New Roman" w:eastAsia="Times New Roman" w:hAnsi="Times New Roman" w:cs="Times New Roman"/>
          <w:i/>
          <w:iCs/>
          <w:kern w:val="0"/>
          <w:sz w:val="24"/>
          <w:szCs w:val="24"/>
          <w:lang w:eastAsia="en-IN"/>
          <w14:ligatures w14:val="none"/>
        </w:rPr>
        <w:t>as middle-class consumers prioritize natural prevention over prescription intervention, the region’s trajectory remains strongly positive.</w:t>
      </w:r>
    </w:p>
    <w:p w14:paraId="0386AD5F"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Middle East and Africa (MEA)</w:t>
      </w:r>
    </w:p>
    <w:p w14:paraId="60B5B880"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The MEA region represents a smaller but expanding frontier for herbal supplements. Rising healthcare awareness, urbanization, and religious preference for natural or halal-certified products are shaping demand.</w:t>
      </w:r>
    </w:p>
    <w:p w14:paraId="36740009"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In the Middle East, countries like Saudi Arabia and the UAE are investing in large-scale nutraceutical manufacturing as part of national health diversification goals. Herbal supplements focused on energy, immunity, and beauty are performing especially well.</w:t>
      </w:r>
    </w:p>
    <w:p w14:paraId="1B322493"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Africa’s growth story is tied to accessibility. While herbal medicine has deep cultural roots, commercial supplement penetration remains low. However, public–private partnerships and NGO programs promoting locally sourced medicinal plants are changing that narrative. South Africa, Kenya, and Nigeria are emerging as the key markets for expansion over the next decade.</w:t>
      </w:r>
    </w:p>
    <w:p w14:paraId="6DB1E3EE"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i/>
          <w:iCs/>
          <w:kern w:val="0"/>
          <w:sz w:val="24"/>
          <w:szCs w:val="24"/>
          <w:lang w:eastAsia="en-IN"/>
          <w14:ligatures w14:val="none"/>
        </w:rPr>
        <w:t>MEA’s future potential lies in localization — blending traditional African herbs with modern formulations designed for export.</w:t>
      </w:r>
    </w:p>
    <w:p w14:paraId="5C821B11"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Regional Outlook Summary (2024–2030)</w:t>
      </w:r>
    </w:p>
    <w:p w14:paraId="065553E4" w14:textId="77777777" w:rsidR="001E74A5" w:rsidRPr="001E74A5" w:rsidRDefault="001E74A5" w:rsidP="001E74A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North America</w:t>
      </w:r>
      <w:r w:rsidRPr="001E74A5">
        <w:rPr>
          <w:rFonts w:ascii="Times New Roman" w:eastAsia="Times New Roman" w:hAnsi="Times New Roman" w:cs="Times New Roman"/>
          <w:kern w:val="0"/>
          <w:sz w:val="24"/>
          <w:szCs w:val="24"/>
          <w:lang w:eastAsia="en-IN"/>
          <w14:ligatures w14:val="none"/>
        </w:rPr>
        <w:t>: Mature market with strong personalization and digital transformation.</w:t>
      </w:r>
    </w:p>
    <w:p w14:paraId="127FF6D9" w14:textId="77777777" w:rsidR="001E74A5" w:rsidRPr="001E74A5" w:rsidRDefault="001E74A5" w:rsidP="001E74A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lastRenderedPageBreak/>
        <w:t>Europe</w:t>
      </w:r>
      <w:r w:rsidRPr="001E74A5">
        <w:rPr>
          <w:rFonts w:ascii="Times New Roman" w:eastAsia="Times New Roman" w:hAnsi="Times New Roman" w:cs="Times New Roman"/>
          <w:kern w:val="0"/>
          <w:sz w:val="24"/>
          <w:szCs w:val="24"/>
          <w:lang w:eastAsia="en-IN"/>
          <w14:ligatures w14:val="none"/>
        </w:rPr>
        <w:t>: Regulated and research-led; growth tied to proof of efficacy and sustainability.</w:t>
      </w:r>
    </w:p>
    <w:p w14:paraId="522D8BF8" w14:textId="77777777" w:rsidR="001E74A5" w:rsidRPr="001E74A5" w:rsidRDefault="001E74A5" w:rsidP="001E74A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Asia Pacific</w:t>
      </w:r>
      <w:r w:rsidRPr="001E74A5">
        <w:rPr>
          <w:rFonts w:ascii="Times New Roman" w:eastAsia="Times New Roman" w:hAnsi="Times New Roman" w:cs="Times New Roman"/>
          <w:kern w:val="0"/>
          <w:sz w:val="24"/>
          <w:szCs w:val="24"/>
          <w:lang w:eastAsia="en-IN"/>
          <w14:ligatures w14:val="none"/>
        </w:rPr>
        <w:t>: Fastest-growing, driven by heritage and global export strength.</w:t>
      </w:r>
    </w:p>
    <w:p w14:paraId="385F7838" w14:textId="77777777" w:rsidR="001E74A5" w:rsidRPr="001E74A5" w:rsidRDefault="001E74A5" w:rsidP="001E74A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Latin America</w:t>
      </w:r>
      <w:r w:rsidRPr="001E74A5">
        <w:rPr>
          <w:rFonts w:ascii="Times New Roman" w:eastAsia="Times New Roman" w:hAnsi="Times New Roman" w:cs="Times New Roman"/>
          <w:kern w:val="0"/>
          <w:sz w:val="24"/>
          <w:szCs w:val="24"/>
          <w:lang w:eastAsia="en-IN"/>
          <w14:ligatures w14:val="none"/>
        </w:rPr>
        <w:t>: Expanding middle-class demand and export-driven biodiversity opportunities.</w:t>
      </w:r>
    </w:p>
    <w:p w14:paraId="4193CEFD" w14:textId="77777777" w:rsidR="001E74A5" w:rsidRPr="001E74A5" w:rsidRDefault="001E74A5" w:rsidP="001E74A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Middle East &amp; Africa</w:t>
      </w:r>
      <w:r w:rsidRPr="001E74A5">
        <w:rPr>
          <w:rFonts w:ascii="Times New Roman" w:eastAsia="Times New Roman" w:hAnsi="Times New Roman" w:cs="Times New Roman"/>
          <w:kern w:val="0"/>
          <w:sz w:val="24"/>
          <w:szCs w:val="24"/>
          <w:lang w:eastAsia="en-IN"/>
          <w14:ligatures w14:val="none"/>
        </w:rPr>
        <w:t>: Early-stage market defined by rising awareness and halal-certified growth.</w:t>
      </w:r>
    </w:p>
    <w:p w14:paraId="52CE2763" w14:textId="77777777" w:rsidR="001E74A5" w:rsidRPr="001E74A5" w:rsidRDefault="001E74A5" w:rsidP="001E74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74A5">
        <w:rPr>
          <w:rFonts w:ascii="Times New Roman" w:eastAsia="Times New Roman" w:hAnsi="Times New Roman" w:cs="Times New Roman"/>
          <w:b/>
          <w:bCs/>
          <w:kern w:val="36"/>
          <w:sz w:val="48"/>
          <w:szCs w:val="48"/>
          <w:lang w:eastAsia="en-IN"/>
          <w14:ligatures w14:val="none"/>
        </w:rPr>
        <w:t>6. End-User Dynamics and Use Case</w:t>
      </w:r>
    </w:p>
    <w:p w14:paraId="49C9D2A3"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The herbal supplements market serves a remarkably diverse user base — from health-conscious millennials to older adults managing chronic conditions, and from athletes pursuing natural performance boosters to consumers seeking mental calm. Each user group drives demand differently, guided by lifestyle priorities, accessibility, and trust in the “natural equals safe” narrative. Between 2024 and 2030, end-user </w:t>
      </w:r>
      <w:proofErr w:type="spellStart"/>
      <w:r w:rsidRPr="001E74A5">
        <w:rPr>
          <w:rFonts w:ascii="Times New Roman" w:eastAsia="Times New Roman" w:hAnsi="Times New Roman" w:cs="Times New Roman"/>
          <w:kern w:val="0"/>
          <w:sz w:val="24"/>
          <w:szCs w:val="24"/>
          <w:lang w:eastAsia="en-IN"/>
          <w14:ligatures w14:val="none"/>
        </w:rPr>
        <w:t>behavior</w:t>
      </w:r>
      <w:proofErr w:type="spellEnd"/>
      <w:r w:rsidRPr="001E74A5">
        <w:rPr>
          <w:rFonts w:ascii="Times New Roman" w:eastAsia="Times New Roman" w:hAnsi="Times New Roman" w:cs="Times New Roman"/>
          <w:kern w:val="0"/>
          <w:sz w:val="24"/>
          <w:szCs w:val="24"/>
          <w:lang w:eastAsia="en-IN"/>
          <w14:ligatures w14:val="none"/>
        </w:rPr>
        <w:t xml:space="preserve"> is shifting from casual supplementation toward informed, routine integration — a sign of the category’s maturity.</w:t>
      </w:r>
    </w:p>
    <w:p w14:paraId="5EA2909A"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 xml:space="preserve">Consumer Segments and </w:t>
      </w:r>
      <w:proofErr w:type="spellStart"/>
      <w:r w:rsidRPr="001E74A5">
        <w:rPr>
          <w:rFonts w:ascii="Times New Roman" w:eastAsia="Times New Roman" w:hAnsi="Times New Roman" w:cs="Times New Roman"/>
          <w:b/>
          <w:bCs/>
          <w:kern w:val="0"/>
          <w:sz w:val="27"/>
          <w:szCs w:val="27"/>
          <w:lang w:eastAsia="en-IN"/>
          <w14:ligatures w14:val="none"/>
        </w:rPr>
        <w:t>Behavioral</w:t>
      </w:r>
      <w:proofErr w:type="spellEnd"/>
      <w:r w:rsidRPr="001E74A5">
        <w:rPr>
          <w:rFonts w:ascii="Times New Roman" w:eastAsia="Times New Roman" w:hAnsi="Times New Roman" w:cs="Times New Roman"/>
          <w:b/>
          <w:bCs/>
          <w:kern w:val="0"/>
          <w:sz w:val="27"/>
          <w:szCs w:val="27"/>
          <w:lang w:eastAsia="en-IN"/>
          <w14:ligatures w14:val="none"/>
        </w:rPr>
        <w:t xml:space="preserve"> Shifts</w:t>
      </w:r>
    </w:p>
    <w:p w14:paraId="1D925889"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1. Preventive Health Enthusiasts</w:t>
      </w:r>
      <w:r w:rsidRPr="001E74A5">
        <w:rPr>
          <w:rFonts w:ascii="Times New Roman" w:eastAsia="Times New Roman" w:hAnsi="Times New Roman" w:cs="Times New Roman"/>
          <w:kern w:val="0"/>
          <w:sz w:val="24"/>
          <w:szCs w:val="24"/>
          <w:lang w:eastAsia="en-IN"/>
          <w14:ligatures w14:val="none"/>
        </w:rPr>
        <w:br/>
        <w:t>This group forms the backbone of global demand. These consumers, often between 25 and 45 years old, view herbal supplements as a preventive wellness tool rather than a reactive treatment. They buy immunity boosters, adaptogens, and detox blends regularly — often guided by social media recommendations or digital health platforms. Convenience formats like gummies and herbal drinks appeal most here, as they fit seamlessly into daily routines.</w:t>
      </w:r>
    </w:p>
    <w:p w14:paraId="125B4B86"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Interestingly, this audience is also the most </w:t>
      </w:r>
      <w:proofErr w:type="spellStart"/>
      <w:r w:rsidRPr="001E74A5">
        <w:rPr>
          <w:rFonts w:ascii="Times New Roman" w:eastAsia="Times New Roman" w:hAnsi="Times New Roman" w:cs="Times New Roman"/>
          <w:kern w:val="0"/>
          <w:sz w:val="24"/>
          <w:szCs w:val="24"/>
          <w:lang w:eastAsia="en-IN"/>
          <w14:ligatures w14:val="none"/>
        </w:rPr>
        <w:t>skeptical</w:t>
      </w:r>
      <w:proofErr w:type="spellEnd"/>
      <w:r w:rsidRPr="001E74A5">
        <w:rPr>
          <w:rFonts w:ascii="Times New Roman" w:eastAsia="Times New Roman" w:hAnsi="Times New Roman" w:cs="Times New Roman"/>
          <w:kern w:val="0"/>
          <w:sz w:val="24"/>
          <w:szCs w:val="24"/>
          <w:lang w:eastAsia="en-IN"/>
          <w14:ligatures w14:val="none"/>
        </w:rPr>
        <w:t>. They demand clinical validation, third-party testing, and transparency around ingredient sourcing. Their purchasing decisions are driven more by brand integrity and reviews than by price.</w:t>
      </w:r>
    </w:p>
    <w:p w14:paraId="536D1FA8"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2. Older Adults and Condition-Specific Users</w:t>
      </w:r>
      <w:r w:rsidRPr="001E74A5">
        <w:rPr>
          <w:rFonts w:ascii="Times New Roman" w:eastAsia="Times New Roman" w:hAnsi="Times New Roman" w:cs="Times New Roman"/>
          <w:kern w:val="0"/>
          <w:sz w:val="24"/>
          <w:szCs w:val="24"/>
          <w:lang w:eastAsia="en-IN"/>
          <w14:ligatures w14:val="none"/>
        </w:rPr>
        <w:br/>
        <w:t>A large and stable consumer group, older adults rely on herbal supplements for cardiovascular, digestive, and joint health. Products with ingredients like garlic, turmeric, and green tea dominate this category. They typically prefer traditional pill or capsule formats, viewing them as trustworthy and familiar.</w:t>
      </w:r>
    </w:p>
    <w:p w14:paraId="1C6450EB"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Pharmacies and healthcare providers play a major role in influencing purchases for this segment. In North America and Europe, pharmacists often recommend herbal alternatives or adjuncts to prescription therapies, particularly for cholesterol, sleep, and mild anxiety.</w:t>
      </w:r>
    </w:p>
    <w:p w14:paraId="4F80F587"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3. Athletes and Active Lifestyles</w:t>
      </w:r>
      <w:r w:rsidRPr="001E74A5">
        <w:rPr>
          <w:rFonts w:ascii="Times New Roman" w:eastAsia="Times New Roman" w:hAnsi="Times New Roman" w:cs="Times New Roman"/>
          <w:kern w:val="0"/>
          <w:sz w:val="24"/>
          <w:szCs w:val="24"/>
          <w:lang w:eastAsia="en-IN"/>
          <w14:ligatures w14:val="none"/>
        </w:rPr>
        <w:br/>
        <w:t>Athletes and fitness-conscious individuals increasingly turn to herbal adaptogens for performance, endurance, and recovery. Ashwagandha, rhodiola, and cordyceps have become staples in pre-workout and recovery products. The growth of this segment has led to partnerships between sports nutrition brands and herbal supplement formulators.</w:t>
      </w:r>
    </w:p>
    <w:p w14:paraId="215811B0"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What’s interesting is the crossover: consumers who once relied solely on protein and synthetic energy boosters are now </w:t>
      </w:r>
      <w:proofErr w:type="spellStart"/>
      <w:r w:rsidRPr="001E74A5">
        <w:rPr>
          <w:rFonts w:ascii="Times New Roman" w:eastAsia="Times New Roman" w:hAnsi="Times New Roman" w:cs="Times New Roman"/>
          <w:kern w:val="0"/>
          <w:sz w:val="24"/>
          <w:szCs w:val="24"/>
          <w:lang w:eastAsia="en-IN"/>
          <w14:ligatures w14:val="none"/>
        </w:rPr>
        <w:t>favoring</w:t>
      </w:r>
      <w:proofErr w:type="spellEnd"/>
      <w:r w:rsidRPr="001E74A5">
        <w:rPr>
          <w:rFonts w:ascii="Times New Roman" w:eastAsia="Times New Roman" w:hAnsi="Times New Roman" w:cs="Times New Roman"/>
          <w:kern w:val="0"/>
          <w:sz w:val="24"/>
          <w:szCs w:val="24"/>
          <w:lang w:eastAsia="en-IN"/>
          <w14:ligatures w14:val="none"/>
        </w:rPr>
        <w:t xml:space="preserve"> natural performance enhancers. Herbal adaptogens fit that demand perfectly — boosting energy without the crash.</w:t>
      </w:r>
    </w:p>
    <w:p w14:paraId="4AAB5804"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lastRenderedPageBreak/>
        <w:t>4. Mental Wellness Seekers</w:t>
      </w:r>
      <w:r w:rsidRPr="001E74A5">
        <w:rPr>
          <w:rFonts w:ascii="Times New Roman" w:eastAsia="Times New Roman" w:hAnsi="Times New Roman" w:cs="Times New Roman"/>
          <w:kern w:val="0"/>
          <w:sz w:val="24"/>
          <w:szCs w:val="24"/>
          <w:lang w:eastAsia="en-IN"/>
          <w14:ligatures w14:val="none"/>
        </w:rPr>
        <w:br/>
        <w:t xml:space="preserve">A newer but rapidly expanding segment includes consumers seeking cognitive and emotional balance. Herbal nootropics and adaptogenic blends — such as bacopa, ginkgo biloba, </w:t>
      </w:r>
      <w:proofErr w:type="spellStart"/>
      <w:r w:rsidRPr="001E74A5">
        <w:rPr>
          <w:rFonts w:ascii="Times New Roman" w:eastAsia="Times New Roman" w:hAnsi="Times New Roman" w:cs="Times New Roman"/>
          <w:kern w:val="0"/>
          <w:sz w:val="24"/>
          <w:szCs w:val="24"/>
          <w:lang w:eastAsia="en-IN"/>
          <w14:ligatures w14:val="none"/>
        </w:rPr>
        <w:t>reishi</w:t>
      </w:r>
      <w:proofErr w:type="spellEnd"/>
      <w:r w:rsidRPr="001E74A5">
        <w:rPr>
          <w:rFonts w:ascii="Times New Roman" w:eastAsia="Times New Roman" w:hAnsi="Times New Roman" w:cs="Times New Roman"/>
          <w:kern w:val="0"/>
          <w:sz w:val="24"/>
          <w:szCs w:val="24"/>
          <w:lang w:eastAsia="en-IN"/>
          <w14:ligatures w14:val="none"/>
        </w:rPr>
        <w:t>, and holy basil — are popular for focus, relaxation, and sleep. The pandemic accelerated this trend, but digital burnout and mental health awareness have sustained it.</w:t>
      </w:r>
    </w:p>
    <w:p w14:paraId="2A5C6B72"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These users often purchase online, </w:t>
      </w:r>
      <w:proofErr w:type="spellStart"/>
      <w:r w:rsidRPr="001E74A5">
        <w:rPr>
          <w:rFonts w:ascii="Times New Roman" w:eastAsia="Times New Roman" w:hAnsi="Times New Roman" w:cs="Times New Roman"/>
          <w:kern w:val="0"/>
          <w:sz w:val="24"/>
          <w:szCs w:val="24"/>
          <w:lang w:eastAsia="en-IN"/>
          <w14:ligatures w14:val="none"/>
        </w:rPr>
        <w:t>favoring</w:t>
      </w:r>
      <w:proofErr w:type="spellEnd"/>
      <w:r w:rsidRPr="001E74A5">
        <w:rPr>
          <w:rFonts w:ascii="Times New Roman" w:eastAsia="Times New Roman" w:hAnsi="Times New Roman" w:cs="Times New Roman"/>
          <w:kern w:val="0"/>
          <w:sz w:val="24"/>
          <w:szCs w:val="24"/>
          <w:lang w:eastAsia="en-IN"/>
          <w14:ligatures w14:val="none"/>
        </w:rPr>
        <w:t xml:space="preserve"> subscription-based DTC brands with personalized mental wellness bundles. In 2024, this category accounted for an estimated 18% of global sales — and is one of the fastest-growing through 2030.</w:t>
      </w:r>
    </w:p>
    <w:p w14:paraId="3692ADA9"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5. Women-Centric and Hormonal Health Users</w:t>
      </w:r>
      <w:r w:rsidRPr="001E74A5">
        <w:rPr>
          <w:rFonts w:ascii="Times New Roman" w:eastAsia="Times New Roman" w:hAnsi="Times New Roman" w:cs="Times New Roman"/>
          <w:kern w:val="0"/>
          <w:sz w:val="24"/>
          <w:szCs w:val="24"/>
          <w:lang w:eastAsia="en-IN"/>
          <w14:ligatures w14:val="none"/>
        </w:rPr>
        <w:br/>
        <w:t>Women’s health has emerged as a distinct sub-market. Herbal products addressing hormonal balance, menstrual comfort, and menopause — including ingredients like chasteberry, black cohosh, and maca root — are gaining traction globally. Brands focusing on clean ingredients, gender-inclusive messaging, and transparency are seeing strong loyalty in this space.</w:t>
      </w:r>
    </w:p>
    <w:p w14:paraId="341CFD8B"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This trend is particularly visible in digital channels where education-based marketing (e.g., podcasts and wellness influencers) drives awareness.</w:t>
      </w:r>
    </w:p>
    <w:p w14:paraId="57378C78"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Institutional End Users</w:t>
      </w:r>
    </w:p>
    <w:p w14:paraId="0914C2AC"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Pharmacies and Health Stores</w:t>
      </w:r>
      <w:r w:rsidRPr="001E74A5">
        <w:rPr>
          <w:rFonts w:ascii="Times New Roman" w:eastAsia="Times New Roman" w:hAnsi="Times New Roman" w:cs="Times New Roman"/>
          <w:kern w:val="0"/>
          <w:sz w:val="24"/>
          <w:szCs w:val="24"/>
          <w:lang w:eastAsia="en-IN"/>
          <w14:ligatures w14:val="none"/>
        </w:rPr>
        <w:t xml:space="preserve"> remain the primary institutional end users. They act as the bridge between traditional healthcare and consumer wellness, providing a layer of trust. Pharmacist-led recommendations significantly influence consumer adoption, especially among older populations.</w:t>
      </w:r>
    </w:p>
    <w:p w14:paraId="7C7CE33F"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E-commerce Platforms and Subscription Services</w:t>
      </w:r>
      <w:r w:rsidRPr="001E74A5">
        <w:rPr>
          <w:rFonts w:ascii="Times New Roman" w:eastAsia="Times New Roman" w:hAnsi="Times New Roman" w:cs="Times New Roman"/>
          <w:kern w:val="0"/>
          <w:sz w:val="24"/>
          <w:szCs w:val="24"/>
          <w:lang w:eastAsia="en-IN"/>
          <w14:ligatures w14:val="none"/>
        </w:rPr>
        <w:t xml:space="preserve"> are transforming the category through personalization. Brands like Care/of and Persona Nutrition use consumer data to tailor monthly herbal formulations. Their success lies in bridging science, data, and habit formation.</w:t>
      </w:r>
    </w:p>
    <w:p w14:paraId="5E26F2E1"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Clinics and Integrative Healthcare Providers</w:t>
      </w:r>
      <w:r w:rsidRPr="001E74A5">
        <w:rPr>
          <w:rFonts w:ascii="Times New Roman" w:eastAsia="Times New Roman" w:hAnsi="Times New Roman" w:cs="Times New Roman"/>
          <w:kern w:val="0"/>
          <w:sz w:val="24"/>
          <w:szCs w:val="24"/>
          <w:lang w:eastAsia="en-IN"/>
          <w14:ligatures w14:val="none"/>
        </w:rPr>
        <w:t xml:space="preserve"> are another emerging group of end users. Functional medicine practitioners now routinely include herbal supplements in holistic care plans, especially for chronic stress, digestion, and inflammation. Hospitals in countries like India, Japan, and China also integrate herbal-based therapies alongside conventional medicine.</w:t>
      </w:r>
    </w:p>
    <w:p w14:paraId="1740797B"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Use Case Highlight</w:t>
      </w:r>
    </w:p>
    <w:p w14:paraId="1F813210"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A wellness clinic in California recently introduced a data-driven herbal program aimed at stress and burnout recovery. Each patient completed a lifestyle and biomarker assessment, after which an AI tool recommended a personalized combination of ashwagandha, rhodiola, and lemon balm extracts.</w:t>
      </w:r>
    </w:p>
    <w:p w14:paraId="3A6A4324"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After six months, the clinic reported a measurable improvement in patient-reported outcomes — including reduced fatigue, improved sleep quality, and lower anxiety scores. Notably, adherence rates were higher than those seen with traditional synthetic supplements, largely due to perceived safety and “natural alignment” with the body.</w:t>
      </w:r>
    </w:p>
    <w:p w14:paraId="199E7FD1"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i/>
          <w:iCs/>
          <w:kern w:val="0"/>
          <w:sz w:val="24"/>
          <w:szCs w:val="24"/>
          <w:lang w:eastAsia="en-IN"/>
          <w14:ligatures w14:val="none"/>
        </w:rPr>
        <w:lastRenderedPageBreak/>
        <w:t>The clinic now plans to expand this model into corporate wellness packages, highlighting how herbal supplementation can transition from consumer trend to structured healthcare practice.</w:t>
      </w:r>
    </w:p>
    <w:p w14:paraId="709A3031"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End-User Outlook (2024–2030)</w:t>
      </w:r>
    </w:p>
    <w:p w14:paraId="6637BBA3" w14:textId="77777777" w:rsidR="001E74A5" w:rsidRPr="001E74A5" w:rsidRDefault="001E74A5" w:rsidP="001E74A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Consumers</w:t>
      </w:r>
      <w:r w:rsidRPr="001E74A5">
        <w:rPr>
          <w:rFonts w:ascii="Times New Roman" w:eastAsia="Times New Roman" w:hAnsi="Times New Roman" w:cs="Times New Roman"/>
          <w:kern w:val="0"/>
          <w:sz w:val="24"/>
          <w:szCs w:val="24"/>
          <w:lang w:eastAsia="en-IN"/>
          <w14:ligatures w14:val="none"/>
        </w:rPr>
        <w:t xml:space="preserve"> are becoming active participants in their health decisions, demanding personalization and proof.</w:t>
      </w:r>
    </w:p>
    <w:p w14:paraId="03265587" w14:textId="77777777" w:rsidR="001E74A5" w:rsidRPr="001E74A5" w:rsidRDefault="001E74A5" w:rsidP="001E74A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Retailers and pharmacies</w:t>
      </w:r>
      <w:r w:rsidRPr="001E74A5">
        <w:rPr>
          <w:rFonts w:ascii="Times New Roman" w:eastAsia="Times New Roman" w:hAnsi="Times New Roman" w:cs="Times New Roman"/>
          <w:kern w:val="0"/>
          <w:sz w:val="24"/>
          <w:szCs w:val="24"/>
          <w:lang w:eastAsia="en-IN"/>
          <w14:ligatures w14:val="none"/>
        </w:rPr>
        <w:t xml:space="preserve"> will continue to anchor sales but must evolve digital engagement strategies.</w:t>
      </w:r>
    </w:p>
    <w:p w14:paraId="70ABD270" w14:textId="77777777" w:rsidR="001E74A5" w:rsidRPr="001E74A5" w:rsidRDefault="001E74A5" w:rsidP="001E74A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Healthcare providers</w:t>
      </w:r>
      <w:r w:rsidRPr="001E74A5">
        <w:rPr>
          <w:rFonts w:ascii="Times New Roman" w:eastAsia="Times New Roman" w:hAnsi="Times New Roman" w:cs="Times New Roman"/>
          <w:kern w:val="0"/>
          <w:sz w:val="24"/>
          <w:szCs w:val="24"/>
          <w:lang w:eastAsia="en-IN"/>
          <w14:ligatures w14:val="none"/>
        </w:rPr>
        <w:t xml:space="preserve"> are increasingly legitimizing herbal supplementation through integrative medicine.</w:t>
      </w:r>
    </w:p>
    <w:p w14:paraId="0AB50DF3" w14:textId="77777777" w:rsidR="001E74A5" w:rsidRPr="001E74A5" w:rsidRDefault="001E74A5" w:rsidP="001E74A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Corporations and wellness programs</w:t>
      </w:r>
      <w:r w:rsidRPr="001E74A5">
        <w:rPr>
          <w:rFonts w:ascii="Times New Roman" w:eastAsia="Times New Roman" w:hAnsi="Times New Roman" w:cs="Times New Roman"/>
          <w:kern w:val="0"/>
          <w:sz w:val="24"/>
          <w:szCs w:val="24"/>
          <w:lang w:eastAsia="en-IN"/>
          <w14:ligatures w14:val="none"/>
        </w:rPr>
        <w:t xml:space="preserve"> are emerging as new buyers, especially for mental wellness and stress management.</w:t>
      </w:r>
    </w:p>
    <w:p w14:paraId="5176F09A" w14:textId="77777777" w:rsidR="001E74A5" w:rsidRPr="001E74A5" w:rsidRDefault="001E74A5" w:rsidP="001E74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74A5">
        <w:rPr>
          <w:rFonts w:ascii="Times New Roman" w:eastAsia="Times New Roman" w:hAnsi="Times New Roman" w:cs="Times New Roman"/>
          <w:b/>
          <w:bCs/>
          <w:kern w:val="36"/>
          <w:sz w:val="48"/>
          <w:szCs w:val="48"/>
          <w:lang w:eastAsia="en-IN"/>
          <w14:ligatures w14:val="none"/>
        </w:rPr>
        <w:t>7. Recent Developments + Opportunities &amp; Restraints</w:t>
      </w:r>
    </w:p>
    <w:p w14:paraId="5AF926A0"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The herbal supplements market has seen rapid momentum in the last two years, driven by product innovation, scientific validation, and sustainability-focused collaborations. While opportunities abound in personalization and global expansion, the market still faces some notable structural restraints — particularly around regulation, consistency, and consumer trust.</w:t>
      </w:r>
    </w:p>
    <w:p w14:paraId="234BAA6F"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293FA24F">
          <v:rect id="_x0000_i1031" style="width:0;height:1.5pt" o:hralign="center" o:hrstd="t" o:hr="t" fillcolor="#a0a0a0" stroked="f"/>
        </w:pict>
      </w:r>
    </w:p>
    <w:p w14:paraId="28D623CA" w14:textId="0C7EEAD6"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Recent Developments (2023–2025)</w:t>
      </w:r>
    </w:p>
    <w:p w14:paraId="3A27D074" w14:textId="77777777" w:rsidR="001E74A5" w:rsidRPr="001E74A5" w:rsidRDefault="001E74A5" w:rsidP="001E74A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Nestlé Health Science</w:t>
      </w:r>
      <w:r w:rsidRPr="001E74A5">
        <w:rPr>
          <w:rFonts w:ascii="Times New Roman" w:eastAsia="Times New Roman" w:hAnsi="Times New Roman" w:cs="Times New Roman"/>
          <w:kern w:val="0"/>
          <w:sz w:val="24"/>
          <w:szCs w:val="24"/>
          <w:lang w:eastAsia="en-IN"/>
          <w14:ligatures w14:val="none"/>
        </w:rPr>
        <w:t xml:space="preserve"> launched a new plant-based wellness line in 2024 under the </w:t>
      </w:r>
      <w:r w:rsidRPr="001E74A5">
        <w:rPr>
          <w:rFonts w:ascii="Times New Roman" w:eastAsia="Times New Roman" w:hAnsi="Times New Roman" w:cs="Times New Roman"/>
          <w:i/>
          <w:iCs/>
          <w:kern w:val="0"/>
          <w:sz w:val="24"/>
          <w:szCs w:val="24"/>
          <w:lang w:eastAsia="en-IN"/>
          <w14:ligatures w14:val="none"/>
        </w:rPr>
        <w:t>Garden of Life</w:t>
      </w:r>
      <w:r w:rsidRPr="001E74A5">
        <w:rPr>
          <w:rFonts w:ascii="Times New Roman" w:eastAsia="Times New Roman" w:hAnsi="Times New Roman" w:cs="Times New Roman"/>
          <w:kern w:val="0"/>
          <w:sz w:val="24"/>
          <w:szCs w:val="24"/>
          <w:lang w:eastAsia="en-IN"/>
          <w14:ligatures w14:val="none"/>
        </w:rPr>
        <w:t xml:space="preserve"> brand, integrating clinically validated herbal extracts such as ashwagandha and turmeric with probiotics for holistic gut and stress support.</w:t>
      </w:r>
    </w:p>
    <w:p w14:paraId="2474C457" w14:textId="77777777" w:rsidR="001E74A5" w:rsidRPr="001E74A5" w:rsidRDefault="001E74A5" w:rsidP="001E74A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Himalaya Wellness</w:t>
      </w:r>
      <w:r w:rsidRPr="001E74A5">
        <w:rPr>
          <w:rFonts w:ascii="Times New Roman" w:eastAsia="Times New Roman" w:hAnsi="Times New Roman" w:cs="Times New Roman"/>
          <w:kern w:val="0"/>
          <w:sz w:val="24"/>
          <w:szCs w:val="24"/>
          <w:lang w:eastAsia="en-IN"/>
          <w14:ligatures w14:val="none"/>
        </w:rPr>
        <w:t xml:space="preserve"> announced a large-scale expansion of its Good Manufacturing Practices (GMP)-certified facility in India, aimed at boosting herbal capsule exports to North America and Europe by 40% over the next three years.</w:t>
      </w:r>
    </w:p>
    <w:p w14:paraId="2E9CFB0C" w14:textId="77777777" w:rsidR="001E74A5" w:rsidRPr="001E74A5" w:rsidRDefault="001E74A5" w:rsidP="001E74A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Gaia Herbs</w:t>
      </w:r>
      <w:r w:rsidRPr="001E74A5">
        <w:rPr>
          <w:rFonts w:ascii="Times New Roman" w:eastAsia="Times New Roman" w:hAnsi="Times New Roman" w:cs="Times New Roman"/>
          <w:kern w:val="0"/>
          <w:sz w:val="24"/>
          <w:szCs w:val="24"/>
          <w:lang w:eastAsia="en-IN"/>
          <w14:ligatures w14:val="none"/>
        </w:rPr>
        <w:t xml:space="preserve"> introduced a traceability-driven digital tool called </w:t>
      </w:r>
      <w:r w:rsidRPr="001E74A5">
        <w:rPr>
          <w:rFonts w:ascii="Times New Roman" w:eastAsia="Times New Roman" w:hAnsi="Times New Roman" w:cs="Times New Roman"/>
          <w:i/>
          <w:iCs/>
          <w:kern w:val="0"/>
          <w:sz w:val="24"/>
          <w:szCs w:val="24"/>
          <w:lang w:eastAsia="en-IN"/>
          <w14:ligatures w14:val="none"/>
        </w:rPr>
        <w:t>Herb ID</w:t>
      </w:r>
      <w:r w:rsidRPr="001E74A5">
        <w:rPr>
          <w:rFonts w:ascii="Times New Roman" w:eastAsia="Times New Roman" w:hAnsi="Times New Roman" w:cs="Times New Roman"/>
          <w:kern w:val="0"/>
          <w:sz w:val="24"/>
          <w:szCs w:val="24"/>
          <w:lang w:eastAsia="en-IN"/>
          <w14:ligatures w14:val="none"/>
        </w:rPr>
        <w:t xml:space="preserve"> in 2024, allowing consumers to scan QR codes and view full origin data, lab test results, and harvest certifications for each batch.</w:t>
      </w:r>
    </w:p>
    <w:p w14:paraId="5757D319" w14:textId="77777777" w:rsidR="001E74A5" w:rsidRPr="001E74A5" w:rsidRDefault="001E74A5" w:rsidP="001E74A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NOW Foods</w:t>
      </w:r>
      <w:r w:rsidRPr="001E74A5">
        <w:rPr>
          <w:rFonts w:ascii="Times New Roman" w:eastAsia="Times New Roman" w:hAnsi="Times New Roman" w:cs="Times New Roman"/>
          <w:kern w:val="0"/>
          <w:sz w:val="24"/>
          <w:szCs w:val="24"/>
          <w:lang w:eastAsia="en-IN"/>
          <w14:ligatures w14:val="none"/>
        </w:rPr>
        <w:t xml:space="preserve"> partnered with a major agricultural cooperative in Peru in 2023 to develop a sustainable supply chain for maca root — one of the most in-demand adaptogens in energy supplements.</w:t>
      </w:r>
    </w:p>
    <w:p w14:paraId="5F4A5AD2" w14:textId="77777777" w:rsidR="001E74A5" w:rsidRPr="001E74A5" w:rsidRDefault="001E74A5" w:rsidP="001E74A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Amway (</w:t>
      </w:r>
      <w:proofErr w:type="spellStart"/>
      <w:r w:rsidRPr="001E74A5">
        <w:rPr>
          <w:rFonts w:ascii="Times New Roman" w:eastAsia="Times New Roman" w:hAnsi="Times New Roman" w:cs="Times New Roman"/>
          <w:b/>
          <w:bCs/>
          <w:kern w:val="0"/>
          <w:sz w:val="24"/>
          <w:szCs w:val="24"/>
          <w:lang w:eastAsia="en-IN"/>
          <w14:ligatures w14:val="none"/>
        </w:rPr>
        <w:t>Nutrilite</w:t>
      </w:r>
      <w:proofErr w:type="spellEnd"/>
      <w:r w:rsidRPr="001E74A5">
        <w:rPr>
          <w:rFonts w:ascii="Times New Roman" w:eastAsia="Times New Roman" w:hAnsi="Times New Roman" w:cs="Times New Roman"/>
          <w:b/>
          <w:bCs/>
          <w:kern w:val="0"/>
          <w:sz w:val="24"/>
          <w:szCs w:val="24"/>
          <w:lang w:eastAsia="en-IN"/>
          <w14:ligatures w14:val="none"/>
        </w:rPr>
        <w:t>)</w:t>
      </w:r>
      <w:r w:rsidRPr="001E74A5">
        <w:rPr>
          <w:rFonts w:ascii="Times New Roman" w:eastAsia="Times New Roman" w:hAnsi="Times New Roman" w:cs="Times New Roman"/>
          <w:kern w:val="0"/>
          <w:sz w:val="24"/>
          <w:szCs w:val="24"/>
          <w:lang w:eastAsia="en-IN"/>
          <w14:ligatures w14:val="none"/>
        </w:rPr>
        <w:t xml:space="preserve"> began clinical trials in early 2025 focused on the bioavailability of turmeric and ginger formulations enhanced through lipid-encapsulation technology, </w:t>
      </w:r>
      <w:proofErr w:type="spellStart"/>
      <w:r w:rsidRPr="001E74A5">
        <w:rPr>
          <w:rFonts w:ascii="Times New Roman" w:eastAsia="Times New Roman" w:hAnsi="Times New Roman" w:cs="Times New Roman"/>
          <w:kern w:val="0"/>
          <w:sz w:val="24"/>
          <w:szCs w:val="24"/>
          <w:lang w:eastAsia="en-IN"/>
          <w14:ligatures w14:val="none"/>
        </w:rPr>
        <w:t>signaling</w:t>
      </w:r>
      <w:proofErr w:type="spellEnd"/>
      <w:r w:rsidRPr="001E74A5">
        <w:rPr>
          <w:rFonts w:ascii="Times New Roman" w:eastAsia="Times New Roman" w:hAnsi="Times New Roman" w:cs="Times New Roman"/>
          <w:kern w:val="0"/>
          <w:sz w:val="24"/>
          <w:szCs w:val="24"/>
          <w:lang w:eastAsia="en-IN"/>
          <w14:ligatures w14:val="none"/>
        </w:rPr>
        <w:t xml:space="preserve"> a strong push toward pharmaceutical-grade validation.</w:t>
      </w:r>
    </w:p>
    <w:p w14:paraId="428B03FA" w14:textId="77777777" w:rsidR="001E74A5" w:rsidRPr="001E74A5" w:rsidRDefault="001E74A5" w:rsidP="001E74A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E74A5">
        <w:rPr>
          <w:rFonts w:ascii="Times New Roman" w:eastAsia="Times New Roman" w:hAnsi="Times New Roman" w:cs="Times New Roman"/>
          <w:b/>
          <w:bCs/>
          <w:kern w:val="0"/>
          <w:sz w:val="24"/>
          <w:szCs w:val="24"/>
          <w:lang w:eastAsia="en-IN"/>
          <w14:ligatures w14:val="none"/>
        </w:rPr>
        <w:t>Pharmavite</w:t>
      </w:r>
      <w:proofErr w:type="spellEnd"/>
      <w:r w:rsidRPr="001E74A5">
        <w:rPr>
          <w:rFonts w:ascii="Times New Roman" w:eastAsia="Times New Roman" w:hAnsi="Times New Roman" w:cs="Times New Roman"/>
          <w:b/>
          <w:bCs/>
          <w:kern w:val="0"/>
          <w:sz w:val="24"/>
          <w:szCs w:val="24"/>
          <w:lang w:eastAsia="en-IN"/>
          <w14:ligatures w14:val="none"/>
        </w:rPr>
        <w:t xml:space="preserve"> (Nature Made)</w:t>
      </w:r>
      <w:r w:rsidRPr="001E74A5">
        <w:rPr>
          <w:rFonts w:ascii="Times New Roman" w:eastAsia="Times New Roman" w:hAnsi="Times New Roman" w:cs="Times New Roman"/>
          <w:kern w:val="0"/>
          <w:sz w:val="24"/>
          <w:szCs w:val="24"/>
          <w:lang w:eastAsia="en-IN"/>
          <w14:ligatures w14:val="none"/>
        </w:rPr>
        <w:t xml:space="preserve"> entered the women’s health space in 2024 with a new sub-brand targeting hormonal balance and menopausal support through herbal ingredients like chasteberry, black cohosh, and </w:t>
      </w:r>
      <w:proofErr w:type="gramStart"/>
      <w:r w:rsidRPr="001E74A5">
        <w:rPr>
          <w:rFonts w:ascii="Times New Roman" w:eastAsia="Times New Roman" w:hAnsi="Times New Roman" w:cs="Times New Roman"/>
          <w:kern w:val="0"/>
          <w:sz w:val="24"/>
          <w:szCs w:val="24"/>
          <w:lang w:eastAsia="en-IN"/>
          <w14:ligatures w14:val="none"/>
        </w:rPr>
        <w:t>dong</w:t>
      </w:r>
      <w:proofErr w:type="gramEnd"/>
      <w:r w:rsidRPr="001E74A5">
        <w:rPr>
          <w:rFonts w:ascii="Times New Roman" w:eastAsia="Times New Roman" w:hAnsi="Times New Roman" w:cs="Times New Roman"/>
          <w:kern w:val="0"/>
          <w:sz w:val="24"/>
          <w:szCs w:val="24"/>
          <w:lang w:eastAsia="en-IN"/>
          <w14:ligatures w14:val="none"/>
        </w:rPr>
        <w:t xml:space="preserve"> quai.</w:t>
      </w:r>
    </w:p>
    <w:p w14:paraId="14195401"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09428C57">
          <v:rect id="_x0000_i1032" style="width:0;height:1.5pt" o:hralign="center" o:hrstd="t" o:hr="t" fillcolor="#a0a0a0" stroked="f"/>
        </w:pict>
      </w:r>
    </w:p>
    <w:p w14:paraId="2AB877D7" w14:textId="2B378891"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lastRenderedPageBreak/>
        <w:t>Opportunities</w:t>
      </w:r>
    </w:p>
    <w:p w14:paraId="01DA45E8" w14:textId="7BCC545D" w:rsidR="001E74A5" w:rsidRPr="001E74A5" w:rsidRDefault="001E74A5" w:rsidP="001E74A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Expansion in Preventive and Personalized Healthcare</w:t>
      </w:r>
      <w:r w:rsidRPr="001E74A5">
        <w:rPr>
          <w:rFonts w:ascii="Times New Roman" w:eastAsia="Times New Roman" w:hAnsi="Times New Roman" w:cs="Times New Roman"/>
          <w:kern w:val="0"/>
          <w:sz w:val="24"/>
          <w:szCs w:val="24"/>
          <w:lang w:eastAsia="en-IN"/>
          <w14:ligatures w14:val="none"/>
        </w:rPr>
        <w:br/>
        <w:t>The convergence of AI-driven diagnostics and nutrigenomic profiling opens vast potential for tailored herbal supplement regimens. Personalized subscription models are expected to gain significant traction through 2030, particularly among urban consumers aged 25–45.</w:t>
      </w:r>
    </w:p>
    <w:p w14:paraId="2DB87DBE" w14:textId="2D5EDB1B" w:rsidR="001E74A5" w:rsidRPr="001E74A5" w:rsidRDefault="001E74A5" w:rsidP="001E74A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Growing Acceptance of Traditional Medicine in Western Healthcare</w:t>
      </w:r>
      <w:r w:rsidRPr="001E74A5">
        <w:rPr>
          <w:rFonts w:ascii="Times New Roman" w:eastAsia="Times New Roman" w:hAnsi="Times New Roman" w:cs="Times New Roman"/>
          <w:kern w:val="0"/>
          <w:sz w:val="24"/>
          <w:szCs w:val="24"/>
          <w:lang w:eastAsia="en-IN"/>
          <w14:ligatures w14:val="none"/>
        </w:rPr>
        <w:br/>
        <w:t xml:space="preserve">Integrative medicine programs in the U.S. and Europe are increasingly prescribing herbal supplements as adjunct therapies for stress, cardiovascular, and metabolic disorders. Regulatory recognition of these herbs as </w:t>
      </w:r>
      <w:r w:rsidRPr="001E74A5">
        <w:rPr>
          <w:rFonts w:ascii="Times New Roman" w:eastAsia="Times New Roman" w:hAnsi="Times New Roman" w:cs="Times New Roman"/>
          <w:i/>
          <w:iCs/>
          <w:kern w:val="0"/>
          <w:sz w:val="24"/>
          <w:szCs w:val="24"/>
          <w:lang w:eastAsia="en-IN"/>
          <w14:ligatures w14:val="none"/>
        </w:rPr>
        <w:t>complementary rather than alternative</w:t>
      </w:r>
      <w:r w:rsidRPr="001E74A5">
        <w:rPr>
          <w:rFonts w:ascii="Times New Roman" w:eastAsia="Times New Roman" w:hAnsi="Times New Roman" w:cs="Times New Roman"/>
          <w:kern w:val="0"/>
          <w:sz w:val="24"/>
          <w:szCs w:val="24"/>
          <w:lang w:eastAsia="en-IN"/>
          <w14:ligatures w14:val="none"/>
        </w:rPr>
        <w:t xml:space="preserve"> could drive institutional adoption.</w:t>
      </w:r>
    </w:p>
    <w:p w14:paraId="19BCBF2A" w14:textId="105F28F1" w:rsidR="001E74A5" w:rsidRPr="001E74A5" w:rsidRDefault="001E74A5" w:rsidP="001E74A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Sustainability and Ethical Sourcing as a Competitive Advantage</w:t>
      </w:r>
      <w:r w:rsidRPr="001E74A5">
        <w:rPr>
          <w:rFonts w:ascii="Times New Roman" w:eastAsia="Times New Roman" w:hAnsi="Times New Roman" w:cs="Times New Roman"/>
          <w:kern w:val="0"/>
          <w:sz w:val="24"/>
          <w:szCs w:val="24"/>
          <w:lang w:eastAsia="en-IN"/>
          <w14:ligatures w14:val="none"/>
        </w:rPr>
        <w:br/>
        <w:t>Brands that can prove fair-trade sourcing, carbon-neutral manufacturing, and regenerative agriculture practices are likely to capture environmentally conscious consumers. Sustainable herb cultivation is emerging as a core investment theme for nutraceutical investors.</w:t>
      </w:r>
    </w:p>
    <w:p w14:paraId="78FE7044" w14:textId="6B3C931B" w:rsidR="001E74A5" w:rsidRPr="001E74A5" w:rsidRDefault="001E74A5" w:rsidP="001E74A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Hybrid and Functional Food Integration</w:t>
      </w:r>
      <w:r w:rsidRPr="001E74A5">
        <w:rPr>
          <w:rFonts w:ascii="Times New Roman" w:eastAsia="Times New Roman" w:hAnsi="Times New Roman" w:cs="Times New Roman"/>
          <w:kern w:val="0"/>
          <w:sz w:val="24"/>
          <w:szCs w:val="24"/>
          <w:lang w:eastAsia="en-IN"/>
          <w14:ligatures w14:val="none"/>
        </w:rPr>
        <w:br/>
        <w:t>The blending of herbal extracts with functional foods — such as teas, protein powders, and snacks — represents one of the most scalable growth opportunities. The boundary between supplements and functional foods is dissolving, particularly in Asia and North America.</w:t>
      </w:r>
    </w:p>
    <w:p w14:paraId="5425E1E1" w14:textId="78E6BCB3" w:rsidR="001E74A5" w:rsidRPr="001E74A5" w:rsidRDefault="001E74A5" w:rsidP="001E74A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Rapid Growth in Asia Pacific and Emerging Economies</w:t>
      </w:r>
      <w:r w:rsidRPr="001E74A5">
        <w:rPr>
          <w:rFonts w:ascii="Times New Roman" w:eastAsia="Times New Roman" w:hAnsi="Times New Roman" w:cs="Times New Roman"/>
          <w:kern w:val="0"/>
          <w:sz w:val="24"/>
          <w:szCs w:val="24"/>
          <w:lang w:eastAsia="en-IN"/>
          <w14:ligatures w14:val="none"/>
        </w:rPr>
        <w:br/>
        <w:t>China, India, Indonesia, and Brazil are scaling production and consumption simultaneously. Government initiatives promoting traditional medicine exports and digital retail expansion are accelerating market penetration.</w:t>
      </w:r>
    </w:p>
    <w:p w14:paraId="4C575445"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590E9EB3">
          <v:rect id="_x0000_i1033" style="width:0;height:1.5pt" o:hralign="center" o:hrstd="t" o:hr="t" fillcolor="#a0a0a0" stroked="f"/>
        </w:pict>
      </w:r>
    </w:p>
    <w:p w14:paraId="4D48CB9C" w14:textId="407F6941"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Restraints</w:t>
      </w:r>
    </w:p>
    <w:p w14:paraId="7CB7F2C4" w14:textId="575CEA8C" w:rsidR="001E74A5" w:rsidRPr="001E74A5" w:rsidRDefault="001E74A5" w:rsidP="001E74A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Lack of Global Regulatory Uniformity</w:t>
      </w:r>
      <w:r w:rsidRPr="001E74A5">
        <w:rPr>
          <w:rFonts w:ascii="Times New Roman" w:eastAsia="Times New Roman" w:hAnsi="Times New Roman" w:cs="Times New Roman"/>
          <w:kern w:val="0"/>
          <w:sz w:val="24"/>
          <w:szCs w:val="24"/>
          <w:lang w:eastAsia="en-IN"/>
          <w14:ligatures w14:val="none"/>
        </w:rPr>
        <w:br/>
        <w:t xml:space="preserve">The absence of harmonized global standards for herbal supplements remains a core challenge. Differing definitions of “natural,” variable </w:t>
      </w:r>
      <w:proofErr w:type="spellStart"/>
      <w:r w:rsidRPr="001E74A5">
        <w:rPr>
          <w:rFonts w:ascii="Times New Roman" w:eastAsia="Times New Roman" w:hAnsi="Times New Roman" w:cs="Times New Roman"/>
          <w:kern w:val="0"/>
          <w:sz w:val="24"/>
          <w:szCs w:val="24"/>
          <w:lang w:eastAsia="en-IN"/>
          <w14:ligatures w14:val="none"/>
        </w:rPr>
        <w:t>labeling</w:t>
      </w:r>
      <w:proofErr w:type="spellEnd"/>
      <w:r w:rsidRPr="001E74A5">
        <w:rPr>
          <w:rFonts w:ascii="Times New Roman" w:eastAsia="Times New Roman" w:hAnsi="Times New Roman" w:cs="Times New Roman"/>
          <w:kern w:val="0"/>
          <w:sz w:val="24"/>
          <w:szCs w:val="24"/>
          <w:lang w:eastAsia="en-IN"/>
          <w14:ligatures w14:val="none"/>
        </w:rPr>
        <w:t xml:space="preserve"> requirements, and inconsistent testing frameworks hinder cross-border scalability.</w:t>
      </w:r>
    </w:p>
    <w:p w14:paraId="37E933E7" w14:textId="421568E8" w:rsidR="001E74A5" w:rsidRPr="001E74A5" w:rsidRDefault="001E74A5" w:rsidP="001E74A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Raw Material Volatility and Climate Dependency</w:t>
      </w:r>
      <w:r w:rsidRPr="001E74A5">
        <w:rPr>
          <w:rFonts w:ascii="Times New Roman" w:eastAsia="Times New Roman" w:hAnsi="Times New Roman" w:cs="Times New Roman"/>
          <w:kern w:val="0"/>
          <w:sz w:val="24"/>
          <w:szCs w:val="24"/>
          <w:lang w:eastAsia="en-IN"/>
          <w14:ligatures w14:val="none"/>
        </w:rPr>
        <w:br/>
        <w:t>Many herbal ingredients depend on specific growing conditions. Droughts, overharvesting, and deforestation are disrupting supply of herbs like ginseng, ashwagandha, and rhodiola, leading to cost fluctuations and potential adulteration risks.</w:t>
      </w:r>
    </w:p>
    <w:p w14:paraId="0878F193" w14:textId="563D3B5D" w:rsidR="001E74A5" w:rsidRPr="001E74A5" w:rsidRDefault="001E74A5" w:rsidP="001E74A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E74A5">
        <w:rPr>
          <w:rFonts w:ascii="Times New Roman" w:eastAsia="Times New Roman" w:hAnsi="Times New Roman" w:cs="Times New Roman"/>
          <w:b/>
          <w:bCs/>
          <w:kern w:val="0"/>
          <w:sz w:val="24"/>
          <w:szCs w:val="24"/>
          <w:lang w:eastAsia="en-IN"/>
          <w14:ligatures w14:val="none"/>
        </w:rPr>
        <w:t>Skepticism</w:t>
      </w:r>
      <w:proofErr w:type="spellEnd"/>
      <w:r w:rsidRPr="001E74A5">
        <w:rPr>
          <w:rFonts w:ascii="Times New Roman" w:eastAsia="Times New Roman" w:hAnsi="Times New Roman" w:cs="Times New Roman"/>
          <w:b/>
          <w:bCs/>
          <w:kern w:val="0"/>
          <w:sz w:val="24"/>
          <w:szCs w:val="24"/>
          <w:lang w:eastAsia="en-IN"/>
          <w14:ligatures w14:val="none"/>
        </w:rPr>
        <w:t xml:space="preserve"> and Misinformation</w:t>
      </w:r>
      <w:r w:rsidRPr="001E74A5">
        <w:rPr>
          <w:rFonts w:ascii="Times New Roman" w:eastAsia="Times New Roman" w:hAnsi="Times New Roman" w:cs="Times New Roman"/>
          <w:kern w:val="0"/>
          <w:sz w:val="24"/>
          <w:szCs w:val="24"/>
          <w:lang w:eastAsia="en-IN"/>
          <w14:ligatures w14:val="none"/>
        </w:rPr>
        <w:br/>
        <w:t>Despite rising popularity, a portion of consumers and medical professionals still question efficacy claims. The presence of counterfeit or under-tested products in e-commerce channels undermines trust in legitimate brands.</w:t>
      </w:r>
    </w:p>
    <w:p w14:paraId="22D840E9" w14:textId="36E26850" w:rsidR="001E74A5" w:rsidRPr="001E74A5" w:rsidRDefault="001E74A5" w:rsidP="001E74A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Limited Clinical Evidence for Some Botanicals</w:t>
      </w:r>
      <w:r w:rsidRPr="001E74A5">
        <w:rPr>
          <w:rFonts w:ascii="Times New Roman" w:eastAsia="Times New Roman" w:hAnsi="Times New Roman" w:cs="Times New Roman"/>
          <w:kern w:val="0"/>
          <w:sz w:val="24"/>
          <w:szCs w:val="24"/>
          <w:lang w:eastAsia="en-IN"/>
          <w14:ligatures w14:val="none"/>
        </w:rPr>
        <w:br/>
        <w:t>While top-tier ingredients like turmeric and ashwagandha have growing scientific backing, many herbal blends lack robust data. Without stronger evidence, premium pricing and broader medical endorsement may remain limited.</w:t>
      </w:r>
    </w:p>
    <w:p w14:paraId="0484FF26" w14:textId="77777777" w:rsidR="001E74A5" w:rsidRDefault="001E74A5">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72F55BB" w14:textId="50B68123" w:rsidR="001E74A5" w:rsidRPr="001E74A5" w:rsidRDefault="001E74A5" w:rsidP="001E74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74A5">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1E74A5" w:rsidRPr="001E74A5" w14:paraId="75890F5C" w14:textId="77777777" w:rsidTr="001E7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DF8BD54" w14:textId="77777777" w:rsidR="001E74A5" w:rsidRPr="001E74A5" w:rsidRDefault="001E74A5" w:rsidP="001E74A5">
            <w:pPr>
              <w:jc w:val="center"/>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Report Attribute</w:t>
            </w:r>
          </w:p>
        </w:tc>
        <w:tc>
          <w:tcPr>
            <w:tcW w:w="6051" w:type="dxa"/>
            <w:hideMark/>
          </w:tcPr>
          <w:p w14:paraId="3A84038D" w14:textId="77777777" w:rsidR="001E74A5" w:rsidRPr="001E74A5" w:rsidRDefault="001E74A5" w:rsidP="001E74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Details</w:t>
            </w:r>
          </w:p>
        </w:tc>
      </w:tr>
      <w:tr w:rsidR="001E74A5" w:rsidRPr="001E74A5" w14:paraId="64718E5A" w14:textId="77777777" w:rsidTr="001E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61F4624" w14:textId="77777777" w:rsidR="001E74A5" w:rsidRPr="001E74A5" w:rsidRDefault="001E74A5" w:rsidP="001E74A5">
            <w:pPr>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Forecast Period</w:t>
            </w:r>
          </w:p>
        </w:tc>
        <w:tc>
          <w:tcPr>
            <w:tcW w:w="6051" w:type="dxa"/>
            <w:hideMark/>
          </w:tcPr>
          <w:p w14:paraId="18D2A786" w14:textId="77777777" w:rsidR="001E74A5" w:rsidRPr="001E74A5" w:rsidRDefault="001E74A5" w:rsidP="001E74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2024 – 2030</w:t>
            </w:r>
          </w:p>
        </w:tc>
      </w:tr>
      <w:tr w:rsidR="001E74A5" w:rsidRPr="001E74A5" w14:paraId="658974FC" w14:textId="77777777" w:rsidTr="001E74A5">
        <w:tc>
          <w:tcPr>
            <w:cnfStyle w:val="001000000000" w:firstRow="0" w:lastRow="0" w:firstColumn="1" w:lastColumn="0" w:oddVBand="0" w:evenVBand="0" w:oddHBand="0" w:evenHBand="0" w:firstRowFirstColumn="0" w:firstRowLastColumn="0" w:lastRowFirstColumn="0" w:lastRowLastColumn="0"/>
            <w:tcW w:w="2965" w:type="dxa"/>
            <w:hideMark/>
          </w:tcPr>
          <w:p w14:paraId="736F0841" w14:textId="77777777" w:rsidR="001E74A5" w:rsidRPr="001E74A5" w:rsidRDefault="001E74A5" w:rsidP="001E74A5">
            <w:pPr>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059CA598" w14:textId="77777777" w:rsidR="001E74A5" w:rsidRPr="001E74A5" w:rsidRDefault="001E74A5" w:rsidP="001E74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USD 138.2 Billion</w:t>
            </w:r>
          </w:p>
        </w:tc>
      </w:tr>
      <w:tr w:rsidR="001E74A5" w:rsidRPr="001E74A5" w14:paraId="62AC3F38" w14:textId="77777777" w:rsidTr="001E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559CD4C" w14:textId="77777777" w:rsidR="001E74A5" w:rsidRPr="001E74A5" w:rsidRDefault="001E74A5" w:rsidP="001E74A5">
            <w:pPr>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4125D013" w14:textId="77777777" w:rsidR="001E74A5" w:rsidRPr="001E74A5" w:rsidRDefault="001E74A5" w:rsidP="001E74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USD 201.9 Billion</w:t>
            </w:r>
          </w:p>
        </w:tc>
      </w:tr>
      <w:tr w:rsidR="001E74A5" w:rsidRPr="001E74A5" w14:paraId="27463FC8" w14:textId="77777777" w:rsidTr="001E74A5">
        <w:tc>
          <w:tcPr>
            <w:cnfStyle w:val="001000000000" w:firstRow="0" w:lastRow="0" w:firstColumn="1" w:lastColumn="0" w:oddVBand="0" w:evenVBand="0" w:oddHBand="0" w:evenHBand="0" w:firstRowFirstColumn="0" w:firstRowLastColumn="0" w:lastRowFirstColumn="0" w:lastRowLastColumn="0"/>
            <w:tcW w:w="2965" w:type="dxa"/>
            <w:hideMark/>
          </w:tcPr>
          <w:p w14:paraId="05022AC7" w14:textId="77777777" w:rsidR="001E74A5" w:rsidRPr="001E74A5" w:rsidRDefault="001E74A5" w:rsidP="001E74A5">
            <w:pPr>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3F2FC931" w14:textId="77777777" w:rsidR="001E74A5" w:rsidRPr="001E74A5" w:rsidRDefault="001E74A5" w:rsidP="001E74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CAGR of 6.4% (2024 – 2030)</w:t>
            </w:r>
          </w:p>
        </w:tc>
      </w:tr>
      <w:tr w:rsidR="001E74A5" w:rsidRPr="001E74A5" w14:paraId="40C6A58B" w14:textId="77777777" w:rsidTr="001E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D09B379" w14:textId="77777777" w:rsidR="001E74A5" w:rsidRPr="001E74A5" w:rsidRDefault="001E74A5" w:rsidP="001E74A5">
            <w:pPr>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0836FE4E" w14:textId="77777777" w:rsidR="001E74A5" w:rsidRPr="001E74A5" w:rsidRDefault="001E74A5" w:rsidP="001E74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2024</w:t>
            </w:r>
          </w:p>
        </w:tc>
      </w:tr>
      <w:tr w:rsidR="001E74A5" w:rsidRPr="001E74A5" w14:paraId="492B311B" w14:textId="77777777" w:rsidTr="001E74A5">
        <w:tc>
          <w:tcPr>
            <w:cnfStyle w:val="001000000000" w:firstRow="0" w:lastRow="0" w:firstColumn="1" w:lastColumn="0" w:oddVBand="0" w:evenVBand="0" w:oddHBand="0" w:evenHBand="0" w:firstRowFirstColumn="0" w:firstRowLastColumn="0" w:lastRowFirstColumn="0" w:lastRowLastColumn="0"/>
            <w:tcW w:w="2965" w:type="dxa"/>
            <w:hideMark/>
          </w:tcPr>
          <w:p w14:paraId="1FC9899C" w14:textId="77777777" w:rsidR="001E74A5" w:rsidRPr="001E74A5" w:rsidRDefault="001E74A5" w:rsidP="001E74A5">
            <w:pPr>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Historical Data</w:t>
            </w:r>
          </w:p>
        </w:tc>
        <w:tc>
          <w:tcPr>
            <w:tcW w:w="6051" w:type="dxa"/>
            <w:hideMark/>
          </w:tcPr>
          <w:p w14:paraId="11B0DD6C" w14:textId="77777777" w:rsidR="001E74A5" w:rsidRPr="001E74A5" w:rsidRDefault="001E74A5" w:rsidP="001E74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2019 – 2023</w:t>
            </w:r>
          </w:p>
        </w:tc>
      </w:tr>
      <w:tr w:rsidR="001E74A5" w:rsidRPr="001E74A5" w14:paraId="7AA3D4C0" w14:textId="77777777" w:rsidTr="001E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907AD7B" w14:textId="77777777" w:rsidR="001E74A5" w:rsidRPr="001E74A5" w:rsidRDefault="001E74A5" w:rsidP="001E74A5">
            <w:pPr>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Unit</w:t>
            </w:r>
          </w:p>
        </w:tc>
        <w:tc>
          <w:tcPr>
            <w:tcW w:w="6051" w:type="dxa"/>
            <w:hideMark/>
          </w:tcPr>
          <w:p w14:paraId="569704E6" w14:textId="77777777" w:rsidR="001E74A5" w:rsidRPr="001E74A5" w:rsidRDefault="001E74A5" w:rsidP="001E74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USD Million, CAGR (2024 – 2030)</w:t>
            </w:r>
          </w:p>
        </w:tc>
      </w:tr>
      <w:tr w:rsidR="001E74A5" w:rsidRPr="001E74A5" w14:paraId="3FF51816" w14:textId="77777777" w:rsidTr="001E74A5">
        <w:tc>
          <w:tcPr>
            <w:cnfStyle w:val="001000000000" w:firstRow="0" w:lastRow="0" w:firstColumn="1" w:lastColumn="0" w:oddVBand="0" w:evenVBand="0" w:oddHBand="0" w:evenHBand="0" w:firstRowFirstColumn="0" w:firstRowLastColumn="0" w:lastRowFirstColumn="0" w:lastRowLastColumn="0"/>
            <w:tcW w:w="2965" w:type="dxa"/>
            <w:hideMark/>
          </w:tcPr>
          <w:p w14:paraId="7A25CAD9" w14:textId="77777777" w:rsidR="001E74A5" w:rsidRPr="001E74A5" w:rsidRDefault="001E74A5" w:rsidP="001E74A5">
            <w:pPr>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Segmentation</w:t>
            </w:r>
          </w:p>
        </w:tc>
        <w:tc>
          <w:tcPr>
            <w:tcW w:w="6051" w:type="dxa"/>
            <w:hideMark/>
          </w:tcPr>
          <w:p w14:paraId="16E3E5D7" w14:textId="77777777" w:rsidR="001E74A5" w:rsidRPr="001E74A5" w:rsidRDefault="001E74A5" w:rsidP="001E74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By Product Type, By Application, By Distribution Channel, By Region</w:t>
            </w:r>
          </w:p>
        </w:tc>
      </w:tr>
      <w:tr w:rsidR="001E74A5" w:rsidRPr="001E74A5" w14:paraId="59376658" w14:textId="77777777" w:rsidTr="001E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8A9D990" w14:textId="77777777" w:rsidR="001E74A5" w:rsidRPr="001E74A5" w:rsidRDefault="001E74A5" w:rsidP="001E74A5">
            <w:pPr>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By Product Type</w:t>
            </w:r>
          </w:p>
        </w:tc>
        <w:tc>
          <w:tcPr>
            <w:tcW w:w="6051" w:type="dxa"/>
            <w:hideMark/>
          </w:tcPr>
          <w:p w14:paraId="670C2D6C" w14:textId="77777777" w:rsidR="001E74A5" w:rsidRPr="001E74A5" w:rsidRDefault="001E74A5" w:rsidP="001E74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Single-Herb Supplements, Combination Formulas, Herbal Gummies &amp; Liquids</w:t>
            </w:r>
          </w:p>
        </w:tc>
      </w:tr>
      <w:tr w:rsidR="001E74A5" w:rsidRPr="001E74A5" w14:paraId="4E87D987" w14:textId="77777777" w:rsidTr="001E74A5">
        <w:tc>
          <w:tcPr>
            <w:cnfStyle w:val="001000000000" w:firstRow="0" w:lastRow="0" w:firstColumn="1" w:lastColumn="0" w:oddVBand="0" w:evenVBand="0" w:oddHBand="0" w:evenHBand="0" w:firstRowFirstColumn="0" w:firstRowLastColumn="0" w:lastRowFirstColumn="0" w:lastRowLastColumn="0"/>
            <w:tcW w:w="2965" w:type="dxa"/>
            <w:hideMark/>
          </w:tcPr>
          <w:p w14:paraId="3D5E1D34" w14:textId="77777777" w:rsidR="001E74A5" w:rsidRPr="001E74A5" w:rsidRDefault="001E74A5" w:rsidP="001E74A5">
            <w:pPr>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By Application</w:t>
            </w:r>
          </w:p>
        </w:tc>
        <w:tc>
          <w:tcPr>
            <w:tcW w:w="6051" w:type="dxa"/>
            <w:hideMark/>
          </w:tcPr>
          <w:p w14:paraId="5E93288F" w14:textId="77777777" w:rsidR="001E74A5" w:rsidRPr="001E74A5" w:rsidRDefault="001E74A5" w:rsidP="001E74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Immunity &amp; Wellness, Digestive &amp; Gut Health, Stress &amp; Cognitive Health, Cardiovascular Support, Beauty &amp; Anti-Aging</w:t>
            </w:r>
          </w:p>
        </w:tc>
      </w:tr>
      <w:tr w:rsidR="001E74A5" w:rsidRPr="001E74A5" w14:paraId="6168D4E7" w14:textId="77777777" w:rsidTr="001E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CB0F93E" w14:textId="77777777" w:rsidR="001E74A5" w:rsidRPr="001E74A5" w:rsidRDefault="001E74A5" w:rsidP="001E74A5">
            <w:pPr>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By Distribution Channel</w:t>
            </w:r>
          </w:p>
        </w:tc>
        <w:tc>
          <w:tcPr>
            <w:tcW w:w="6051" w:type="dxa"/>
            <w:hideMark/>
          </w:tcPr>
          <w:p w14:paraId="3C569A43" w14:textId="77777777" w:rsidR="001E74A5" w:rsidRPr="001E74A5" w:rsidRDefault="001E74A5" w:rsidP="001E74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Pharmacies &amp; Drug Stores, Online/DTC Platforms, Supermarkets &amp; Health Stores, Specialty Wellness Boutiques</w:t>
            </w:r>
          </w:p>
        </w:tc>
      </w:tr>
      <w:tr w:rsidR="001E74A5" w:rsidRPr="001E74A5" w14:paraId="1C66070E" w14:textId="77777777" w:rsidTr="001E74A5">
        <w:tc>
          <w:tcPr>
            <w:cnfStyle w:val="001000000000" w:firstRow="0" w:lastRow="0" w:firstColumn="1" w:lastColumn="0" w:oddVBand="0" w:evenVBand="0" w:oddHBand="0" w:evenHBand="0" w:firstRowFirstColumn="0" w:firstRowLastColumn="0" w:lastRowFirstColumn="0" w:lastRowLastColumn="0"/>
            <w:tcW w:w="2965" w:type="dxa"/>
            <w:hideMark/>
          </w:tcPr>
          <w:p w14:paraId="0DBC9696" w14:textId="77777777" w:rsidR="001E74A5" w:rsidRPr="001E74A5" w:rsidRDefault="001E74A5" w:rsidP="001E74A5">
            <w:pPr>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By Region</w:t>
            </w:r>
          </w:p>
        </w:tc>
        <w:tc>
          <w:tcPr>
            <w:tcW w:w="6051" w:type="dxa"/>
            <w:hideMark/>
          </w:tcPr>
          <w:p w14:paraId="16E9A4DA" w14:textId="77777777" w:rsidR="001E74A5" w:rsidRPr="001E74A5" w:rsidRDefault="001E74A5" w:rsidP="001E74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1E74A5" w:rsidRPr="001E74A5" w14:paraId="1E9A901D" w14:textId="77777777" w:rsidTr="001E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1295EFC" w14:textId="77777777" w:rsidR="001E74A5" w:rsidRPr="001E74A5" w:rsidRDefault="001E74A5" w:rsidP="001E74A5">
            <w:pPr>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Country Scope</w:t>
            </w:r>
          </w:p>
        </w:tc>
        <w:tc>
          <w:tcPr>
            <w:tcW w:w="6051" w:type="dxa"/>
            <w:hideMark/>
          </w:tcPr>
          <w:p w14:paraId="7B2D942E" w14:textId="77777777" w:rsidR="001E74A5" w:rsidRPr="001E74A5" w:rsidRDefault="001E74A5" w:rsidP="001E74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U.S., Canada, Germany, UK, France, China, India, Japan, Brazil, Saudi Arabia, South Africa</w:t>
            </w:r>
          </w:p>
        </w:tc>
      </w:tr>
      <w:tr w:rsidR="001E74A5" w:rsidRPr="001E74A5" w14:paraId="305BA50E" w14:textId="77777777" w:rsidTr="001E74A5">
        <w:tc>
          <w:tcPr>
            <w:cnfStyle w:val="001000000000" w:firstRow="0" w:lastRow="0" w:firstColumn="1" w:lastColumn="0" w:oddVBand="0" w:evenVBand="0" w:oddHBand="0" w:evenHBand="0" w:firstRowFirstColumn="0" w:firstRowLastColumn="0" w:lastRowFirstColumn="0" w:lastRowLastColumn="0"/>
            <w:tcW w:w="2965" w:type="dxa"/>
            <w:hideMark/>
          </w:tcPr>
          <w:p w14:paraId="2A97757D" w14:textId="77777777" w:rsidR="001E74A5" w:rsidRPr="001E74A5" w:rsidRDefault="001E74A5" w:rsidP="001E74A5">
            <w:pPr>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Market Drivers</w:t>
            </w:r>
          </w:p>
        </w:tc>
        <w:tc>
          <w:tcPr>
            <w:tcW w:w="6051" w:type="dxa"/>
            <w:hideMark/>
          </w:tcPr>
          <w:p w14:paraId="0F8304CB" w14:textId="77777777" w:rsidR="001E74A5" w:rsidRPr="001E74A5" w:rsidRDefault="001E74A5" w:rsidP="001E74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Rising consumer demand for plant-based and natural healthcare alternatives</w:t>
            </w:r>
            <w:r w:rsidRPr="001E74A5">
              <w:rPr>
                <w:rFonts w:ascii="Times New Roman" w:eastAsia="Times New Roman" w:hAnsi="Times New Roman" w:cs="Times New Roman"/>
                <w:kern w:val="0"/>
                <w:sz w:val="24"/>
                <w:szCs w:val="24"/>
                <w:lang w:eastAsia="en-IN"/>
                <w14:ligatures w14:val="none"/>
              </w:rPr>
              <w:br/>
              <w:t>- Rapid growth of personalized and AI-enabled supplement platforms</w:t>
            </w:r>
            <w:r w:rsidRPr="001E74A5">
              <w:rPr>
                <w:rFonts w:ascii="Times New Roman" w:eastAsia="Times New Roman" w:hAnsi="Times New Roman" w:cs="Times New Roman"/>
                <w:kern w:val="0"/>
                <w:sz w:val="24"/>
                <w:szCs w:val="24"/>
                <w:lang w:eastAsia="en-IN"/>
                <w14:ligatures w14:val="none"/>
              </w:rPr>
              <w:br/>
              <w:t>- Expanding integration of herbal products into preventive healthcare and wellness programs</w:t>
            </w:r>
          </w:p>
        </w:tc>
      </w:tr>
      <w:tr w:rsidR="001E74A5" w:rsidRPr="001E74A5" w14:paraId="67E933F8" w14:textId="77777777" w:rsidTr="001E7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6D7E499" w14:textId="77777777" w:rsidR="001E74A5" w:rsidRPr="001E74A5" w:rsidRDefault="001E74A5" w:rsidP="001E74A5">
            <w:pPr>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6369AB9B" w14:textId="77777777" w:rsidR="001E74A5" w:rsidRPr="001E74A5" w:rsidRDefault="001E74A5" w:rsidP="001E74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Available upon request</w:t>
            </w:r>
          </w:p>
        </w:tc>
      </w:tr>
    </w:tbl>
    <w:p w14:paraId="6FCA28A7" w14:textId="77777777" w:rsidR="001E74A5" w:rsidRPr="001E74A5" w:rsidRDefault="001E74A5" w:rsidP="001E74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74A5">
        <w:rPr>
          <w:rFonts w:ascii="Times New Roman" w:eastAsia="Times New Roman" w:hAnsi="Times New Roman" w:cs="Times New Roman"/>
          <w:b/>
          <w:bCs/>
          <w:kern w:val="36"/>
          <w:sz w:val="48"/>
          <w:szCs w:val="48"/>
          <w:lang w:eastAsia="en-IN"/>
          <w14:ligatures w14:val="none"/>
        </w:rPr>
        <w:t>8. Report Summary, FAQs, and SEO Schema</w:t>
      </w:r>
    </w:p>
    <w:p w14:paraId="398687AE"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4B15D497">
          <v:rect id="_x0000_i1037" style="width:0;height:1.5pt" o:hralign="center" o:hrstd="t" o:hr="t" fillcolor="#a0a0a0" stroked="f"/>
        </w:pict>
      </w:r>
    </w:p>
    <w:p w14:paraId="790FDF2C" w14:textId="77777777" w:rsidR="001E74A5" w:rsidRPr="001E74A5" w:rsidRDefault="001E74A5" w:rsidP="001E74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74A5">
        <w:rPr>
          <w:rFonts w:ascii="Times New Roman" w:eastAsia="Times New Roman" w:hAnsi="Times New Roman" w:cs="Times New Roman"/>
          <w:b/>
          <w:bCs/>
          <w:kern w:val="0"/>
          <w:sz w:val="36"/>
          <w:szCs w:val="36"/>
          <w:lang w:eastAsia="en-IN"/>
          <w14:ligatures w14:val="none"/>
        </w:rPr>
        <w:t>A.1. Report Title (Long-Form)</w:t>
      </w:r>
    </w:p>
    <w:p w14:paraId="70F18754"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Herbal Supplements Market </w:t>
      </w:r>
      <w:proofErr w:type="gramStart"/>
      <w:r w:rsidRPr="001E74A5">
        <w:rPr>
          <w:rFonts w:ascii="Times New Roman" w:eastAsia="Times New Roman" w:hAnsi="Times New Roman" w:cs="Times New Roman"/>
          <w:kern w:val="0"/>
          <w:sz w:val="24"/>
          <w:szCs w:val="24"/>
          <w:lang w:eastAsia="en-IN"/>
          <w14:ligatures w14:val="none"/>
        </w:rPr>
        <w:t>By</w:t>
      </w:r>
      <w:proofErr w:type="gramEnd"/>
      <w:r w:rsidRPr="001E74A5">
        <w:rPr>
          <w:rFonts w:ascii="Times New Roman" w:eastAsia="Times New Roman" w:hAnsi="Times New Roman" w:cs="Times New Roman"/>
          <w:kern w:val="0"/>
          <w:sz w:val="24"/>
          <w:szCs w:val="24"/>
          <w:lang w:eastAsia="en-IN"/>
          <w14:ligatures w14:val="none"/>
        </w:rPr>
        <w:t xml:space="preserve"> Product Type (Single-Herb Supplements, Combination Formulas, Herbal Gummies &amp; Liquids); By Application (Immunity &amp; Wellness, Digestive &amp; Gut Health, Stress &amp; Cognitive Health, Cardiovascular Support, Beauty &amp; Anti-Aging); By Distribution Channel (Pharmacies &amp; Drug Stores, Online/DTC Platforms, Supermarkets &amp; Health Stores, Specialty Wellness Boutiques); By Geography, Segment Revenue Estimation, Forecast, 2024–2030</w:t>
      </w:r>
    </w:p>
    <w:p w14:paraId="7CE19487"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lastRenderedPageBreak/>
        <w:pict w14:anchorId="1F89934D">
          <v:rect id="_x0000_i1038" style="width:0;height:1.5pt" o:hralign="center" o:hrstd="t" o:hr="t" fillcolor="#a0a0a0" stroked="f"/>
        </w:pict>
      </w:r>
    </w:p>
    <w:p w14:paraId="750BF859" w14:textId="77777777" w:rsidR="001E74A5" w:rsidRPr="001E74A5" w:rsidRDefault="001E74A5" w:rsidP="001E74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74A5">
        <w:rPr>
          <w:rFonts w:ascii="Times New Roman" w:eastAsia="Times New Roman" w:hAnsi="Times New Roman" w:cs="Times New Roman"/>
          <w:b/>
          <w:bCs/>
          <w:kern w:val="0"/>
          <w:sz w:val="36"/>
          <w:szCs w:val="36"/>
          <w:lang w:eastAsia="en-IN"/>
          <w14:ligatures w14:val="none"/>
        </w:rPr>
        <w:t>A.2. Lowercase Market Name</w:t>
      </w:r>
    </w:p>
    <w:p w14:paraId="67437188"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herbal supplements market</w:t>
      </w:r>
    </w:p>
    <w:p w14:paraId="21674A58"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7BE4C0C5">
          <v:rect id="_x0000_i1039" style="width:0;height:1.5pt" o:hralign="center" o:hrstd="t" o:hr="t" fillcolor="#a0a0a0" stroked="f"/>
        </w:pict>
      </w:r>
    </w:p>
    <w:p w14:paraId="129BE6F1" w14:textId="77777777" w:rsidR="001E74A5" w:rsidRPr="001E74A5" w:rsidRDefault="001E74A5" w:rsidP="001E74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74A5">
        <w:rPr>
          <w:rFonts w:ascii="Times New Roman" w:eastAsia="Times New Roman" w:hAnsi="Times New Roman" w:cs="Times New Roman"/>
          <w:b/>
          <w:bCs/>
          <w:kern w:val="0"/>
          <w:sz w:val="36"/>
          <w:szCs w:val="36"/>
          <w:lang w:eastAsia="en-IN"/>
          <w14:ligatures w14:val="none"/>
        </w:rPr>
        <w:t>A.3. SEO-Friendly Market Size Tagline</w:t>
      </w:r>
    </w:p>
    <w:p w14:paraId="01F75E48"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Herbal Supplements Market Size (USD 201.9 Billion) 2030</w:t>
      </w:r>
    </w:p>
    <w:p w14:paraId="09E8A283"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11C43091">
          <v:rect id="_x0000_i1040" style="width:0;height:1.5pt" o:hralign="center" o:hrstd="t" o:hr="t" fillcolor="#a0a0a0" stroked="f"/>
        </w:pict>
      </w:r>
    </w:p>
    <w:p w14:paraId="3CAF3177" w14:textId="77777777" w:rsidR="001E74A5" w:rsidRPr="001E74A5" w:rsidRDefault="001E74A5" w:rsidP="001E74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74A5">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1E74A5">
        <w:rPr>
          <w:rFonts w:ascii="Times New Roman" w:eastAsia="Times New Roman" w:hAnsi="Times New Roman" w:cs="Times New Roman"/>
          <w:b/>
          <w:bCs/>
          <w:kern w:val="0"/>
          <w:sz w:val="36"/>
          <w:szCs w:val="36"/>
          <w:lang w:eastAsia="en-IN"/>
          <w14:ligatures w14:val="none"/>
        </w:rPr>
        <w:t>BreadCrumb</w:t>
      </w:r>
      <w:proofErr w:type="spellEnd"/>
    </w:p>
    <w:p w14:paraId="280983B4"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Herbal Supplements Market Report 2030</w:t>
      </w:r>
    </w:p>
    <w:p w14:paraId="100E6703"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2E87ECD7">
          <v:rect id="_x0000_i1041" style="width:0;height:1.5pt" o:hralign="center" o:hrstd="t" o:hr="t" fillcolor="#a0a0a0" stroked="f"/>
        </w:pict>
      </w:r>
    </w:p>
    <w:p w14:paraId="139290AB" w14:textId="77777777" w:rsidR="001E74A5" w:rsidRPr="001E74A5" w:rsidRDefault="001E74A5" w:rsidP="001E74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74A5">
        <w:rPr>
          <w:rFonts w:ascii="Times New Roman" w:eastAsia="Times New Roman" w:hAnsi="Times New Roman" w:cs="Times New Roman"/>
          <w:b/>
          <w:bCs/>
          <w:kern w:val="0"/>
          <w:sz w:val="36"/>
          <w:szCs w:val="36"/>
          <w:lang w:eastAsia="en-IN"/>
          <w14:ligatures w14:val="none"/>
        </w:rPr>
        <w:t>B. Top 5 FAQs</w:t>
      </w:r>
    </w:p>
    <w:p w14:paraId="78C4BAE5"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Q1.</w:t>
      </w:r>
      <w:r w:rsidRPr="001E74A5">
        <w:rPr>
          <w:rFonts w:ascii="Times New Roman" w:eastAsia="Times New Roman" w:hAnsi="Times New Roman" w:cs="Times New Roman"/>
          <w:kern w:val="0"/>
          <w:sz w:val="24"/>
          <w:szCs w:val="24"/>
          <w:lang w:eastAsia="en-IN"/>
          <w14:ligatures w14:val="none"/>
        </w:rPr>
        <w:t xml:space="preserve"> How big is the herbal supplements market?</w:t>
      </w:r>
      <w:r w:rsidRPr="001E74A5">
        <w:rPr>
          <w:rFonts w:ascii="Times New Roman" w:eastAsia="Times New Roman" w:hAnsi="Times New Roman" w:cs="Times New Roman"/>
          <w:kern w:val="0"/>
          <w:sz w:val="24"/>
          <w:szCs w:val="24"/>
          <w:lang w:eastAsia="en-IN"/>
          <w14:ligatures w14:val="none"/>
        </w:rPr>
        <w:br/>
      </w:r>
      <w:r w:rsidRPr="001E74A5">
        <w:rPr>
          <w:rFonts w:ascii="Times New Roman" w:eastAsia="Times New Roman" w:hAnsi="Times New Roman" w:cs="Times New Roman"/>
          <w:b/>
          <w:bCs/>
          <w:kern w:val="0"/>
          <w:sz w:val="24"/>
          <w:szCs w:val="24"/>
          <w:lang w:eastAsia="en-IN"/>
          <w14:ligatures w14:val="none"/>
        </w:rPr>
        <w:t>A1.</w:t>
      </w:r>
      <w:r w:rsidRPr="001E74A5">
        <w:rPr>
          <w:rFonts w:ascii="Times New Roman" w:eastAsia="Times New Roman" w:hAnsi="Times New Roman" w:cs="Times New Roman"/>
          <w:kern w:val="0"/>
          <w:sz w:val="24"/>
          <w:szCs w:val="24"/>
          <w:lang w:eastAsia="en-IN"/>
          <w14:ligatures w14:val="none"/>
        </w:rPr>
        <w:t xml:space="preserve"> The global herbal supplements market was valued at </w:t>
      </w:r>
      <w:r w:rsidRPr="001E74A5">
        <w:rPr>
          <w:rFonts w:ascii="Times New Roman" w:eastAsia="Times New Roman" w:hAnsi="Times New Roman" w:cs="Times New Roman"/>
          <w:b/>
          <w:bCs/>
          <w:kern w:val="0"/>
          <w:sz w:val="24"/>
          <w:szCs w:val="24"/>
          <w:lang w:eastAsia="en-IN"/>
          <w14:ligatures w14:val="none"/>
        </w:rPr>
        <w:t>USD 138.2 billion in 2024</w:t>
      </w:r>
      <w:r w:rsidRPr="001E74A5">
        <w:rPr>
          <w:rFonts w:ascii="Times New Roman" w:eastAsia="Times New Roman" w:hAnsi="Times New Roman" w:cs="Times New Roman"/>
          <w:kern w:val="0"/>
          <w:sz w:val="24"/>
          <w:szCs w:val="24"/>
          <w:lang w:eastAsia="en-IN"/>
          <w14:ligatures w14:val="none"/>
        </w:rPr>
        <w:t xml:space="preserve"> and is projected to reach </w:t>
      </w:r>
      <w:r w:rsidRPr="001E74A5">
        <w:rPr>
          <w:rFonts w:ascii="Times New Roman" w:eastAsia="Times New Roman" w:hAnsi="Times New Roman" w:cs="Times New Roman"/>
          <w:b/>
          <w:bCs/>
          <w:kern w:val="0"/>
          <w:sz w:val="24"/>
          <w:szCs w:val="24"/>
          <w:lang w:eastAsia="en-IN"/>
          <w14:ligatures w14:val="none"/>
        </w:rPr>
        <w:t>USD 201.9 billion by 2030</w:t>
      </w:r>
      <w:r w:rsidRPr="001E74A5">
        <w:rPr>
          <w:rFonts w:ascii="Times New Roman" w:eastAsia="Times New Roman" w:hAnsi="Times New Roman" w:cs="Times New Roman"/>
          <w:kern w:val="0"/>
          <w:sz w:val="24"/>
          <w:szCs w:val="24"/>
          <w:lang w:eastAsia="en-IN"/>
          <w14:ligatures w14:val="none"/>
        </w:rPr>
        <w:t>.</w:t>
      </w:r>
    </w:p>
    <w:p w14:paraId="2E42EE09"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Q2.</w:t>
      </w:r>
      <w:r w:rsidRPr="001E74A5">
        <w:rPr>
          <w:rFonts w:ascii="Times New Roman" w:eastAsia="Times New Roman" w:hAnsi="Times New Roman" w:cs="Times New Roman"/>
          <w:kern w:val="0"/>
          <w:sz w:val="24"/>
          <w:szCs w:val="24"/>
          <w:lang w:eastAsia="en-IN"/>
          <w14:ligatures w14:val="none"/>
        </w:rPr>
        <w:t xml:space="preserve"> What is the CAGR of the herbal supplements market during the forecast period?</w:t>
      </w:r>
      <w:r w:rsidRPr="001E74A5">
        <w:rPr>
          <w:rFonts w:ascii="Times New Roman" w:eastAsia="Times New Roman" w:hAnsi="Times New Roman" w:cs="Times New Roman"/>
          <w:kern w:val="0"/>
          <w:sz w:val="24"/>
          <w:szCs w:val="24"/>
          <w:lang w:eastAsia="en-IN"/>
          <w14:ligatures w14:val="none"/>
        </w:rPr>
        <w:br/>
      </w:r>
      <w:r w:rsidRPr="001E74A5">
        <w:rPr>
          <w:rFonts w:ascii="Times New Roman" w:eastAsia="Times New Roman" w:hAnsi="Times New Roman" w:cs="Times New Roman"/>
          <w:b/>
          <w:bCs/>
          <w:kern w:val="0"/>
          <w:sz w:val="24"/>
          <w:szCs w:val="24"/>
          <w:lang w:eastAsia="en-IN"/>
          <w14:ligatures w14:val="none"/>
        </w:rPr>
        <w:t>A2.</w:t>
      </w:r>
      <w:r w:rsidRPr="001E74A5">
        <w:rPr>
          <w:rFonts w:ascii="Times New Roman" w:eastAsia="Times New Roman" w:hAnsi="Times New Roman" w:cs="Times New Roman"/>
          <w:kern w:val="0"/>
          <w:sz w:val="24"/>
          <w:szCs w:val="24"/>
          <w:lang w:eastAsia="en-IN"/>
          <w14:ligatures w14:val="none"/>
        </w:rPr>
        <w:t xml:space="preserve"> The herbal supplements market is expected to grow at a </w:t>
      </w:r>
      <w:r w:rsidRPr="001E74A5">
        <w:rPr>
          <w:rFonts w:ascii="Times New Roman" w:eastAsia="Times New Roman" w:hAnsi="Times New Roman" w:cs="Times New Roman"/>
          <w:b/>
          <w:bCs/>
          <w:kern w:val="0"/>
          <w:sz w:val="24"/>
          <w:szCs w:val="24"/>
          <w:lang w:eastAsia="en-IN"/>
          <w14:ligatures w14:val="none"/>
        </w:rPr>
        <w:t>CAGR of 6.4%</w:t>
      </w:r>
      <w:r w:rsidRPr="001E74A5">
        <w:rPr>
          <w:rFonts w:ascii="Times New Roman" w:eastAsia="Times New Roman" w:hAnsi="Times New Roman" w:cs="Times New Roman"/>
          <w:kern w:val="0"/>
          <w:sz w:val="24"/>
          <w:szCs w:val="24"/>
          <w:lang w:eastAsia="en-IN"/>
          <w14:ligatures w14:val="none"/>
        </w:rPr>
        <w:t xml:space="preserve"> from 2024 to 2030.</w:t>
      </w:r>
    </w:p>
    <w:p w14:paraId="58B29913"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Q3.</w:t>
      </w:r>
      <w:r w:rsidRPr="001E74A5">
        <w:rPr>
          <w:rFonts w:ascii="Times New Roman" w:eastAsia="Times New Roman" w:hAnsi="Times New Roman" w:cs="Times New Roman"/>
          <w:kern w:val="0"/>
          <w:sz w:val="24"/>
          <w:szCs w:val="24"/>
          <w:lang w:eastAsia="en-IN"/>
          <w14:ligatures w14:val="none"/>
        </w:rPr>
        <w:t xml:space="preserve"> Who are the major players operating in the herbal supplements market?</w:t>
      </w:r>
      <w:r w:rsidRPr="001E74A5">
        <w:rPr>
          <w:rFonts w:ascii="Times New Roman" w:eastAsia="Times New Roman" w:hAnsi="Times New Roman" w:cs="Times New Roman"/>
          <w:kern w:val="0"/>
          <w:sz w:val="24"/>
          <w:szCs w:val="24"/>
          <w:lang w:eastAsia="en-IN"/>
          <w14:ligatures w14:val="none"/>
        </w:rPr>
        <w:br/>
      </w:r>
      <w:r w:rsidRPr="001E74A5">
        <w:rPr>
          <w:rFonts w:ascii="Times New Roman" w:eastAsia="Times New Roman" w:hAnsi="Times New Roman" w:cs="Times New Roman"/>
          <w:b/>
          <w:bCs/>
          <w:kern w:val="0"/>
          <w:sz w:val="24"/>
          <w:szCs w:val="24"/>
          <w:lang w:eastAsia="en-IN"/>
          <w14:ligatures w14:val="none"/>
        </w:rPr>
        <w:t>A3.</w:t>
      </w:r>
      <w:r w:rsidRPr="001E74A5">
        <w:rPr>
          <w:rFonts w:ascii="Times New Roman" w:eastAsia="Times New Roman" w:hAnsi="Times New Roman" w:cs="Times New Roman"/>
          <w:kern w:val="0"/>
          <w:sz w:val="24"/>
          <w:szCs w:val="24"/>
          <w:lang w:eastAsia="en-IN"/>
          <w14:ligatures w14:val="none"/>
        </w:rPr>
        <w:t xml:space="preserve"> Leading companies include </w:t>
      </w:r>
      <w:r w:rsidRPr="001E74A5">
        <w:rPr>
          <w:rFonts w:ascii="Times New Roman" w:eastAsia="Times New Roman" w:hAnsi="Times New Roman" w:cs="Times New Roman"/>
          <w:b/>
          <w:bCs/>
          <w:kern w:val="0"/>
          <w:sz w:val="24"/>
          <w:szCs w:val="24"/>
          <w:lang w:eastAsia="en-IN"/>
          <w14:ligatures w14:val="none"/>
        </w:rPr>
        <w:t>Nestlé Health Science, NOW Foods, Gaia Herbs, Himalaya Wellness, Herbalife Nutrition, Amway (</w:t>
      </w:r>
      <w:proofErr w:type="spellStart"/>
      <w:r w:rsidRPr="001E74A5">
        <w:rPr>
          <w:rFonts w:ascii="Times New Roman" w:eastAsia="Times New Roman" w:hAnsi="Times New Roman" w:cs="Times New Roman"/>
          <w:b/>
          <w:bCs/>
          <w:kern w:val="0"/>
          <w:sz w:val="24"/>
          <w:szCs w:val="24"/>
          <w:lang w:eastAsia="en-IN"/>
          <w14:ligatures w14:val="none"/>
        </w:rPr>
        <w:t>Nutrilite</w:t>
      </w:r>
      <w:proofErr w:type="spellEnd"/>
      <w:r w:rsidRPr="001E74A5">
        <w:rPr>
          <w:rFonts w:ascii="Times New Roman" w:eastAsia="Times New Roman" w:hAnsi="Times New Roman" w:cs="Times New Roman"/>
          <w:b/>
          <w:bCs/>
          <w:kern w:val="0"/>
          <w:sz w:val="24"/>
          <w:szCs w:val="24"/>
          <w:lang w:eastAsia="en-IN"/>
          <w14:ligatures w14:val="none"/>
        </w:rPr>
        <w:t>),</w:t>
      </w:r>
      <w:r w:rsidRPr="001E74A5">
        <w:rPr>
          <w:rFonts w:ascii="Times New Roman" w:eastAsia="Times New Roman" w:hAnsi="Times New Roman" w:cs="Times New Roman"/>
          <w:kern w:val="0"/>
          <w:sz w:val="24"/>
          <w:szCs w:val="24"/>
          <w:lang w:eastAsia="en-IN"/>
          <w14:ligatures w14:val="none"/>
        </w:rPr>
        <w:t xml:space="preserve"> and </w:t>
      </w:r>
      <w:proofErr w:type="spellStart"/>
      <w:r w:rsidRPr="001E74A5">
        <w:rPr>
          <w:rFonts w:ascii="Times New Roman" w:eastAsia="Times New Roman" w:hAnsi="Times New Roman" w:cs="Times New Roman"/>
          <w:b/>
          <w:bCs/>
          <w:kern w:val="0"/>
          <w:sz w:val="24"/>
          <w:szCs w:val="24"/>
          <w:lang w:eastAsia="en-IN"/>
          <w14:ligatures w14:val="none"/>
        </w:rPr>
        <w:t>Pharmavite</w:t>
      </w:r>
      <w:proofErr w:type="spellEnd"/>
      <w:r w:rsidRPr="001E74A5">
        <w:rPr>
          <w:rFonts w:ascii="Times New Roman" w:eastAsia="Times New Roman" w:hAnsi="Times New Roman" w:cs="Times New Roman"/>
          <w:kern w:val="0"/>
          <w:sz w:val="24"/>
          <w:szCs w:val="24"/>
          <w:lang w:eastAsia="en-IN"/>
          <w14:ligatures w14:val="none"/>
        </w:rPr>
        <w:t>.</w:t>
      </w:r>
    </w:p>
    <w:p w14:paraId="56A74485"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Q4.</w:t>
      </w:r>
      <w:r w:rsidRPr="001E74A5">
        <w:rPr>
          <w:rFonts w:ascii="Times New Roman" w:eastAsia="Times New Roman" w:hAnsi="Times New Roman" w:cs="Times New Roman"/>
          <w:kern w:val="0"/>
          <w:sz w:val="24"/>
          <w:szCs w:val="24"/>
          <w:lang w:eastAsia="en-IN"/>
          <w14:ligatures w14:val="none"/>
        </w:rPr>
        <w:t xml:space="preserve"> Which region dominates the global herbal supplements market?</w:t>
      </w:r>
      <w:r w:rsidRPr="001E74A5">
        <w:rPr>
          <w:rFonts w:ascii="Times New Roman" w:eastAsia="Times New Roman" w:hAnsi="Times New Roman" w:cs="Times New Roman"/>
          <w:kern w:val="0"/>
          <w:sz w:val="24"/>
          <w:szCs w:val="24"/>
          <w:lang w:eastAsia="en-IN"/>
          <w14:ligatures w14:val="none"/>
        </w:rPr>
        <w:br/>
      </w:r>
      <w:r w:rsidRPr="001E74A5">
        <w:rPr>
          <w:rFonts w:ascii="Times New Roman" w:eastAsia="Times New Roman" w:hAnsi="Times New Roman" w:cs="Times New Roman"/>
          <w:b/>
          <w:bCs/>
          <w:kern w:val="0"/>
          <w:sz w:val="24"/>
          <w:szCs w:val="24"/>
          <w:lang w:eastAsia="en-IN"/>
          <w14:ligatures w14:val="none"/>
        </w:rPr>
        <w:t>A4.</w:t>
      </w:r>
      <w:r w:rsidRPr="001E74A5">
        <w:rPr>
          <w:rFonts w:ascii="Times New Roman" w:eastAsia="Times New Roman" w:hAnsi="Times New Roman" w:cs="Times New Roman"/>
          <w:kern w:val="0"/>
          <w:sz w:val="24"/>
          <w:szCs w:val="24"/>
          <w:lang w:eastAsia="en-IN"/>
          <w14:ligatures w14:val="none"/>
        </w:rPr>
        <w:t xml:space="preserve"> </w:t>
      </w:r>
      <w:r w:rsidRPr="001E74A5">
        <w:rPr>
          <w:rFonts w:ascii="Times New Roman" w:eastAsia="Times New Roman" w:hAnsi="Times New Roman" w:cs="Times New Roman"/>
          <w:b/>
          <w:bCs/>
          <w:kern w:val="0"/>
          <w:sz w:val="24"/>
          <w:szCs w:val="24"/>
          <w:lang w:eastAsia="en-IN"/>
          <w14:ligatures w14:val="none"/>
        </w:rPr>
        <w:t>North America</w:t>
      </w:r>
      <w:r w:rsidRPr="001E74A5">
        <w:rPr>
          <w:rFonts w:ascii="Times New Roman" w:eastAsia="Times New Roman" w:hAnsi="Times New Roman" w:cs="Times New Roman"/>
          <w:kern w:val="0"/>
          <w:sz w:val="24"/>
          <w:szCs w:val="24"/>
          <w:lang w:eastAsia="en-IN"/>
          <w14:ligatures w14:val="none"/>
        </w:rPr>
        <w:t xml:space="preserve"> currently leads due to advanced regulatory frameworks, strong consumer health awareness, and widespread retail as well as online supplement availability.</w:t>
      </w:r>
    </w:p>
    <w:p w14:paraId="69FC7B41"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Q5.</w:t>
      </w:r>
      <w:r w:rsidRPr="001E74A5">
        <w:rPr>
          <w:rFonts w:ascii="Times New Roman" w:eastAsia="Times New Roman" w:hAnsi="Times New Roman" w:cs="Times New Roman"/>
          <w:kern w:val="0"/>
          <w:sz w:val="24"/>
          <w:szCs w:val="24"/>
          <w:lang w:eastAsia="en-IN"/>
          <w14:ligatures w14:val="none"/>
        </w:rPr>
        <w:t xml:space="preserve"> What factors are driving the growth of the herbal supplements market?</w:t>
      </w:r>
      <w:r w:rsidRPr="001E74A5">
        <w:rPr>
          <w:rFonts w:ascii="Times New Roman" w:eastAsia="Times New Roman" w:hAnsi="Times New Roman" w:cs="Times New Roman"/>
          <w:kern w:val="0"/>
          <w:sz w:val="24"/>
          <w:szCs w:val="24"/>
          <w:lang w:eastAsia="en-IN"/>
          <w14:ligatures w14:val="none"/>
        </w:rPr>
        <w:br/>
      </w:r>
      <w:r w:rsidRPr="001E74A5">
        <w:rPr>
          <w:rFonts w:ascii="Times New Roman" w:eastAsia="Times New Roman" w:hAnsi="Times New Roman" w:cs="Times New Roman"/>
          <w:b/>
          <w:bCs/>
          <w:kern w:val="0"/>
          <w:sz w:val="24"/>
          <w:szCs w:val="24"/>
          <w:lang w:eastAsia="en-IN"/>
          <w14:ligatures w14:val="none"/>
        </w:rPr>
        <w:t>A5.</w:t>
      </w:r>
      <w:r w:rsidRPr="001E74A5">
        <w:rPr>
          <w:rFonts w:ascii="Times New Roman" w:eastAsia="Times New Roman" w:hAnsi="Times New Roman" w:cs="Times New Roman"/>
          <w:kern w:val="0"/>
          <w:sz w:val="24"/>
          <w:szCs w:val="24"/>
          <w:lang w:eastAsia="en-IN"/>
          <w14:ligatures w14:val="none"/>
        </w:rPr>
        <w:t xml:space="preserve"> Growth is driven by increasing demand for natural and preventive healthcare, expansion of personalized supplement platforms, and rising adoption of sustainable sourcing and clean-label formulations.</w:t>
      </w:r>
    </w:p>
    <w:p w14:paraId="16115DC2"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2F95B67E">
          <v:rect id="_x0000_i1042" style="width:0;height:1.5pt" o:hralign="center" o:hrstd="t" o:hr="t" fillcolor="#a0a0a0" stroked="f"/>
        </w:pict>
      </w:r>
    </w:p>
    <w:p w14:paraId="33469998" w14:textId="77777777" w:rsidR="001E74A5" w:rsidRPr="001E74A5" w:rsidRDefault="001E74A5" w:rsidP="001E74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74A5">
        <w:rPr>
          <w:rFonts w:ascii="Times New Roman" w:eastAsia="Times New Roman" w:hAnsi="Times New Roman" w:cs="Times New Roman"/>
          <w:b/>
          <w:bCs/>
          <w:kern w:val="0"/>
          <w:sz w:val="36"/>
          <w:szCs w:val="36"/>
          <w:lang w:eastAsia="en-IN"/>
          <w14:ligatures w14:val="none"/>
        </w:rPr>
        <w:t>C. JSON-LD SEO Schema</w:t>
      </w:r>
    </w:p>
    <w:p w14:paraId="367F25F3"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lastRenderedPageBreak/>
        <w:t>1. Breadcrumb Schema</w:t>
      </w:r>
    </w:p>
    <w:p w14:paraId="46DFAAED"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w:t>
      </w:r>
    </w:p>
    <w:p w14:paraId="0DAD2329"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"@context": "https://schema.org",</w:t>
      </w:r>
    </w:p>
    <w:p w14:paraId="462AA64C"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"@type": "</w:t>
      </w:r>
      <w:proofErr w:type="spellStart"/>
      <w:r w:rsidRPr="001E74A5">
        <w:rPr>
          <w:rFonts w:ascii="Courier New" w:eastAsia="Times New Roman" w:hAnsi="Courier New" w:cs="Courier New"/>
          <w:kern w:val="0"/>
          <w:sz w:val="20"/>
          <w:szCs w:val="20"/>
          <w:lang w:eastAsia="en-IN"/>
          <w14:ligatures w14:val="none"/>
        </w:rPr>
        <w:t>BreadcrumbList</w:t>
      </w:r>
      <w:proofErr w:type="spellEnd"/>
      <w:r w:rsidRPr="001E74A5">
        <w:rPr>
          <w:rFonts w:ascii="Courier New" w:eastAsia="Times New Roman" w:hAnsi="Courier New" w:cs="Courier New"/>
          <w:kern w:val="0"/>
          <w:sz w:val="20"/>
          <w:szCs w:val="20"/>
          <w:lang w:eastAsia="en-IN"/>
          <w14:ligatures w14:val="none"/>
        </w:rPr>
        <w:t>",</w:t>
      </w:r>
    </w:p>
    <w:p w14:paraId="6D3A999B"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roofErr w:type="spellStart"/>
      <w:r w:rsidRPr="001E74A5">
        <w:rPr>
          <w:rFonts w:ascii="Courier New" w:eastAsia="Times New Roman" w:hAnsi="Courier New" w:cs="Courier New"/>
          <w:kern w:val="0"/>
          <w:sz w:val="20"/>
          <w:szCs w:val="20"/>
          <w:lang w:eastAsia="en-IN"/>
          <w14:ligatures w14:val="none"/>
        </w:rPr>
        <w:t>itemListElement</w:t>
      </w:r>
      <w:proofErr w:type="spellEnd"/>
      <w:r w:rsidRPr="001E74A5">
        <w:rPr>
          <w:rFonts w:ascii="Courier New" w:eastAsia="Times New Roman" w:hAnsi="Courier New" w:cs="Courier New"/>
          <w:kern w:val="0"/>
          <w:sz w:val="20"/>
          <w:szCs w:val="20"/>
          <w:lang w:eastAsia="en-IN"/>
          <w14:ligatures w14:val="none"/>
        </w:rPr>
        <w:t>": [</w:t>
      </w:r>
    </w:p>
    <w:p w14:paraId="7C23D401"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05891E95"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"@type": "</w:t>
      </w:r>
      <w:proofErr w:type="spellStart"/>
      <w:r w:rsidRPr="001E74A5">
        <w:rPr>
          <w:rFonts w:ascii="Courier New" w:eastAsia="Times New Roman" w:hAnsi="Courier New" w:cs="Courier New"/>
          <w:kern w:val="0"/>
          <w:sz w:val="20"/>
          <w:szCs w:val="20"/>
          <w:lang w:eastAsia="en-IN"/>
          <w14:ligatures w14:val="none"/>
        </w:rPr>
        <w:t>ListItem</w:t>
      </w:r>
      <w:proofErr w:type="spellEnd"/>
      <w:r w:rsidRPr="001E74A5">
        <w:rPr>
          <w:rFonts w:ascii="Courier New" w:eastAsia="Times New Roman" w:hAnsi="Courier New" w:cs="Courier New"/>
          <w:kern w:val="0"/>
          <w:sz w:val="20"/>
          <w:szCs w:val="20"/>
          <w:lang w:eastAsia="en-IN"/>
          <w14:ligatures w14:val="none"/>
        </w:rPr>
        <w:t>",</w:t>
      </w:r>
    </w:p>
    <w:p w14:paraId="7866E31D"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"position": 1,</w:t>
      </w:r>
    </w:p>
    <w:p w14:paraId="1E23B717"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"name": "Home",</w:t>
      </w:r>
    </w:p>
    <w:p w14:paraId="5B33A207"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"item": "https://www.strategicmarketresearch.com/"</w:t>
      </w:r>
    </w:p>
    <w:p w14:paraId="66DBDAFB"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1B6CB35E"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3429CB01"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"@type": "</w:t>
      </w:r>
      <w:proofErr w:type="spellStart"/>
      <w:r w:rsidRPr="001E74A5">
        <w:rPr>
          <w:rFonts w:ascii="Courier New" w:eastAsia="Times New Roman" w:hAnsi="Courier New" w:cs="Courier New"/>
          <w:kern w:val="0"/>
          <w:sz w:val="20"/>
          <w:szCs w:val="20"/>
          <w:lang w:eastAsia="en-IN"/>
          <w14:ligatures w14:val="none"/>
        </w:rPr>
        <w:t>ListItem</w:t>
      </w:r>
      <w:proofErr w:type="spellEnd"/>
      <w:r w:rsidRPr="001E74A5">
        <w:rPr>
          <w:rFonts w:ascii="Courier New" w:eastAsia="Times New Roman" w:hAnsi="Courier New" w:cs="Courier New"/>
          <w:kern w:val="0"/>
          <w:sz w:val="20"/>
          <w:szCs w:val="20"/>
          <w:lang w:eastAsia="en-IN"/>
          <w14:ligatures w14:val="none"/>
        </w:rPr>
        <w:t>",</w:t>
      </w:r>
    </w:p>
    <w:p w14:paraId="425DC57F"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"position": 2,</w:t>
      </w:r>
    </w:p>
    <w:p w14:paraId="226E74B4" w14:textId="3BD59960"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"name": "Health </w:t>
      </w:r>
      <w:proofErr w:type="gramStart"/>
      <w:r>
        <w:rPr>
          <w:rFonts w:ascii="Courier New" w:eastAsia="Times New Roman" w:hAnsi="Courier New" w:cs="Courier New"/>
          <w:kern w:val="0"/>
          <w:sz w:val="20"/>
          <w:szCs w:val="20"/>
          <w:lang w:eastAsia="en-IN"/>
          <w14:ligatures w14:val="none"/>
        </w:rPr>
        <w:t>A</w:t>
      </w:r>
      <w:r w:rsidRPr="001E74A5">
        <w:rPr>
          <w:rFonts w:ascii="Courier New" w:eastAsia="Times New Roman" w:hAnsi="Courier New" w:cs="Courier New"/>
          <w:kern w:val="0"/>
          <w:sz w:val="20"/>
          <w:szCs w:val="20"/>
          <w:lang w:eastAsia="en-IN"/>
          <w14:ligatures w14:val="none"/>
        </w:rPr>
        <w:t>nd</w:t>
      </w:r>
      <w:proofErr w:type="gramEnd"/>
      <w:r w:rsidRPr="001E74A5">
        <w:rPr>
          <w:rFonts w:ascii="Courier New" w:eastAsia="Times New Roman" w:hAnsi="Courier New" w:cs="Courier New"/>
          <w:kern w:val="0"/>
          <w:sz w:val="20"/>
          <w:szCs w:val="20"/>
          <w:lang w:eastAsia="en-IN"/>
          <w14:ligatures w14:val="none"/>
        </w:rPr>
        <w:t xml:space="preserve"> Wellness",</w:t>
      </w:r>
    </w:p>
    <w:p w14:paraId="027FCF86" w14:textId="0C69C4FB"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"item": "https://www.strategicmarketresearch.com/report/health-and-wellness"</w:t>
      </w:r>
    </w:p>
    <w:p w14:paraId="7C48E8A5"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1411FF27"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1176334B"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"@type": "</w:t>
      </w:r>
      <w:proofErr w:type="spellStart"/>
      <w:r w:rsidRPr="001E74A5">
        <w:rPr>
          <w:rFonts w:ascii="Courier New" w:eastAsia="Times New Roman" w:hAnsi="Courier New" w:cs="Courier New"/>
          <w:kern w:val="0"/>
          <w:sz w:val="20"/>
          <w:szCs w:val="20"/>
          <w:lang w:eastAsia="en-IN"/>
          <w14:ligatures w14:val="none"/>
        </w:rPr>
        <w:t>ListItem</w:t>
      </w:r>
      <w:proofErr w:type="spellEnd"/>
      <w:r w:rsidRPr="001E74A5">
        <w:rPr>
          <w:rFonts w:ascii="Courier New" w:eastAsia="Times New Roman" w:hAnsi="Courier New" w:cs="Courier New"/>
          <w:kern w:val="0"/>
          <w:sz w:val="20"/>
          <w:szCs w:val="20"/>
          <w:lang w:eastAsia="en-IN"/>
          <w14:ligatures w14:val="none"/>
        </w:rPr>
        <w:t>",</w:t>
      </w:r>
    </w:p>
    <w:p w14:paraId="7E9A7997"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"position": 3,</w:t>
      </w:r>
    </w:p>
    <w:p w14:paraId="0737A2A6"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"name": "Herbal Supplements Market Report 2030",</w:t>
      </w:r>
    </w:p>
    <w:p w14:paraId="7C677977"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"item": "https://www.strategicmarketresearch.com/market-report/herbal-supplements-market"</w:t>
      </w:r>
    </w:p>
    <w:p w14:paraId="28ABCF28"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6236EDFF"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70553FE0"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w:t>
      </w:r>
    </w:p>
    <w:p w14:paraId="11807854"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1D86D711">
          <v:rect id="_x0000_i1043" style="width:0;height:1.5pt" o:hralign="center" o:hrstd="t" o:hr="t" fillcolor="#a0a0a0" stroked="f"/>
        </w:pict>
      </w:r>
    </w:p>
    <w:p w14:paraId="0894DD0D"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2. FAQ Schema</w:t>
      </w:r>
    </w:p>
    <w:p w14:paraId="51F0E77B"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w:t>
      </w:r>
    </w:p>
    <w:p w14:paraId="21ED3686"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"@context": "https://schema.org",</w:t>
      </w:r>
    </w:p>
    <w:p w14:paraId="2451682E"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"@type": "</w:t>
      </w:r>
      <w:proofErr w:type="spellStart"/>
      <w:r w:rsidRPr="001E74A5">
        <w:rPr>
          <w:rFonts w:ascii="Courier New" w:eastAsia="Times New Roman" w:hAnsi="Courier New" w:cs="Courier New"/>
          <w:kern w:val="0"/>
          <w:sz w:val="20"/>
          <w:szCs w:val="20"/>
          <w:lang w:eastAsia="en-IN"/>
          <w14:ligatures w14:val="none"/>
        </w:rPr>
        <w:t>FAQPage</w:t>
      </w:r>
      <w:proofErr w:type="spellEnd"/>
      <w:r w:rsidRPr="001E74A5">
        <w:rPr>
          <w:rFonts w:ascii="Courier New" w:eastAsia="Times New Roman" w:hAnsi="Courier New" w:cs="Courier New"/>
          <w:kern w:val="0"/>
          <w:sz w:val="20"/>
          <w:szCs w:val="20"/>
          <w:lang w:eastAsia="en-IN"/>
          <w14:ligatures w14:val="none"/>
        </w:rPr>
        <w:t>",</w:t>
      </w:r>
    </w:p>
    <w:p w14:paraId="62167AB6"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roofErr w:type="spellStart"/>
      <w:r w:rsidRPr="001E74A5">
        <w:rPr>
          <w:rFonts w:ascii="Courier New" w:eastAsia="Times New Roman" w:hAnsi="Courier New" w:cs="Courier New"/>
          <w:kern w:val="0"/>
          <w:sz w:val="20"/>
          <w:szCs w:val="20"/>
          <w:lang w:eastAsia="en-IN"/>
          <w14:ligatures w14:val="none"/>
        </w:rPr>
        <w:t>mainEntity</w:t>
      </w:r>
      <w:proofErr w:type="spellEnd"/>
      <w:r w:rsidRPr="001E74A5">
        <w:rPr>
          <w:rFonts w:ascii="Courier New" w:eastAsia="Times New Roman" w:hAnsi="Courier New" w:cs="Courier New"/>
          <w:kern w:val="0"/>
          <w:sz w:val="20"/>
          <w:szCs w:val="20"/>
          <w:lang w:eastAsia="en-IN"/>
          <w14:ligatures w14:val="none"/>
        </w:rPr>
        <w:t>": [</w:t>
      </w:r>
    </w:p>
    <w:p w14:paraId="136E7555"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0F97EFDC"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"@type": "Question",</w:t>
      </w:r>
    </w:p>
    <w:p w14:paraId="52D98451"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"name": "How big is the herbal supplements market?",</w:t>
      </w:r>
    </w:p>
    <w:p w14:paraId="7DB5F682"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roofErr w:type="spellStart"/>
      <w:r w:rsidRPr="001E74A5">
        <w:rPr>
          <w:rFonts w:ascii="Courier New" w:eastAsia="Times New Roman" w:hAnsi="Courier New" w:cs="Courier New"/>
          <w:kern w:val="0"/>
          <w:sz w:val="20"/>
          <w:szCs w:val="20"/>
          <w:lang w:eastAsia="en-IN"/>
          <w14:ligatures w14:val="none"/>
        </w:rPr>
        <w:t>acceptedAnswer</w:t>
      </w:r>
      <w:proofErr w:type="spellEnd"/>
      <w:r w:rsidRPr="001E74A5">
        <w:rPr>
          <w:rFonts w:ascii="Courier New" w:eastAsia="Times New Roman" w:hAnsi="Courier New" w:cs="Courier New"/>
          <w:kern w:val="0"/>
          <w:sz w:val="20"/>
          <w:szCs w:val="20"/>
          <w:lang w:eastAsia="en-IN"/>
          <w14:ligatures w14:val="none"/>
        </w:rPr>
        <w:t>": {</w:t>
      </w:r>
    </w:p>
    <w:p w14:paraId="48BEC652"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"@type": "Answer",</w:t>
      </w:r>
    </w:p>
    <w:p w14:paraId="59CB239C"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"text": "The global herbal supplements market was valued at USD 138.2 billion in 2024 and is projected to reach USD 201.9 billion by 2030."</w:t>
      </w:r>
    </w:p>
    <w:p w14:paraId="6122001F"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706B870A"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68288C68"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769F62B2"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"@type": "Question",</w:t>
      </w:r>
    </w:p>
    <w:p w14:paraId="5B9A3C9A"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"name": "What is the CAGR of the herbal supplements market during the forecast period?",</w:t>
      </w:r>
    </w:p>
    <w:p w14:paraId="4713B630"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roofErr w:type="spellStart"/>
      <w:r w:rsidRPr="001E74A5">
        <w:rPr>
          <w:rFonts w:ascii="Courier New" w:eastAsia="Times New Roman" w:hAnsi="Courier New" w:cs="Courier New"/>
          <w:kern w:val="0"/>
          <w:sz w:val="20"/>
          <w:szCs w:val="20"/>
          <w:lang w:eastAsia="en-IN"/>
          <w14:ligatures w14:val="none"/>
        </w:rPr>
        <w:t>acceptedAnswer</w:t>
      </w:r>
      <w:proofErr w:type="spellEnd"/>
      <w:r w:rsidRPr="001E74A5">
        <w:rPr>
          <w:rFonts w:ascii="Courier New" w:eastAsia="Times New Roman" w:hAnsi="Courier New" w:cs="Courier New"/>
          <w:kern w:val="0"/>
          <w:sz w:val="20"/>
          <w:szCs w:val="20"/>
          <w:lang w:eastAsia="en-IN"/>
          <w14:ligatures w14:val="none"/>
        </w:rPr>
        <w:t>": {</w:t>
      </w:r>
    </w:p>
    <w:p w14:paraId="5A412BE6"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"@type": "Answer",</w:t>
      </w:r>
    </w:p>
    <w:p w14:paraId="113DF5F1"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"text": "The herbal supplements market is expected to grow at a CAGR of 6.4% from 2024 to 2030."</w:t>
      </w:r>
    </w:p>
    <w:p w14:paraId="1110DACC"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4EA67915"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63800493"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413C7576"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"@type": "Question",</w:t>
      </w:r>
    </w:p>
    <w:p w14:paraId="47730596"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"name": "Who are the major players operating in the herbal supplements market?",</w:t>
      </w:r>
    </w:p>
    <w:p w14:paraId="22AA1D8A"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lastRenderedPageBreak/>
        <w:t xml:space="preserve">      "</w:t>
      </w:r>
      <w:proofErr w:type="spellStart"/>
      <w:r w:rsidRPr="001E74A5">
        <w:rPr>
          <w:rFonts w:ascii="Courier New" w:eastAsia="Times New Roman" w:hAnsi="Courier New" w:cs="Courier New"/>
          <w:kern w:val="0"/>
          <w:sz w:val="20"/>
          <w:szCs w:val="20"/>
          <w:lang w:eastAsia="en-IN"/>
          <w14:ligatures w14:val="none"/>
        </w:rPr>
        <w:t>acceptedAnswer</w:t>
      </w:r>
      <w:proofErr w:type="spellEnd"/>
      <w:r w:rsidRPr="001E74A5">
        <w:rPr>
          <w:rFonts w:ascii="Courier New" w:eastAsia="Times New Roman" w:hAnsi="Courier New" w:cs="Courier New"/>
          <w:kern w:val="0"/>
          <w:sz w:val="20"/>
          <w:szCs w:val="20"/>
          <w:lang w:eastAsia="en-IN"/>
          <w14:ligatures w14:val="none"/>
        </w:rPr>
        <w:t>": {</w:t>
      </w:r>
    </w:p>
    <w:p w14:paraId="733C0CFF"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"@type": "Answer",</w:t>
      </w:r>
    </w:p>
    <w:p w14:paraId="61CB98FB"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"text": "Leading companies include Nestlé Health Science, NOW Foods, Gaia Herbs, Himalaya Wellness, Herbalife Nutrition, Amway (</w:t>
      </w:r>
      <w:proofErr w:type="spellStart"/>
      <w:r w:rsidRPr="001E74A5">
        <w:rPr>
          <w:rFonts w:ascii="Courier New" w:eastAsia="Times New Roman" w:hAnsi="Courier New" w:cs="Courier New"/>
          <w:kern w:val="0"/>
          <w:sz w:val="20"/>
          <w:szCs w:val="20"/>
          <w:lang w:eastAsia="en-IN"/>
          <w14:ligatures w14:val="none"/>
        </w:rPr>
        <w:t>Nutrilite</w:t>
      </w:r>
      <w:proofErr w:type="spellEnd"/>
      <w:r w:rsidRPr="001E74A5">
        <w:rPr>
          <w:rFonts w:ascii="Courier New" w:eastAsia="Times New Roman" w:hAnsi="Courier New" w:cs="Courier New"/>
          <w:kern w:val="0"/>
          <w:sz w:val="20"/>
          <w:szCs w:val="20"/>
          <w:lang w:eastAsia="en-IN"/>
          <w14:ligatures w14:val="none"/>
        </w:rPr>
        <w:t xml:space="preserve">), and </w:t>
      </w:r>
      <w:proofErr w:type="spellStart"/>
      <w:r w:rsidRPr="001E74A5">
        <w:rPr>
          <w:rFonts w:ascii="Courier New" w:eastAsia="Times New Roman" w:hAnsi="Courier New" w:cs="Courier New"/>
          <w:kern w:val="0"/>
          <w:sz w:val="20"/>
          <w:szCs w:val="20"/>
          <w:lang w:eastAsia="en-IN"/>
          <w14:ligatures w14:val="none"/>
        </w:rPr>
        <w:t>Pharmavite</w:t>
      </w:r>
      <w:proofErr w:type="spellEnd"/>
      <w:r w:rsidRPr="001E74A5">
        <w:rPr>
          <w:rFonts w:ascii="Courier New" w:eastAsia="Times New Roman" w:hAnsi="Courier New" w:cs="Courier New"/>
          <w:kern w:val="0"/>
          <w:sz w:val="20"/>
          <w:szCs w:val="20"/>
          <w:lang w:eastAsia="en-IN"/>
          <w14:ligatures w14:val="none"/>
        </w:rPr>
        <w:t>."</w:t>
      </w:r>
    </w:p>
    <w:p w14:paraId="5AB8C93F"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7E0D5D96"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61CC2C51"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70CCFDC2"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"@type": "Question",</w:t>
      </w:r>
    </w:p>
    <w:p w14:paraId="032FEF9F"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"name": "Which region dominates the global herbal supplements market?",</w:t>
      </w:r>
    </w:p>
    <w:p w14:paraId="610848DA"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roofErr w:type="spellStart"/>
      <w:r w:rsidRPr="001E74A5">
        <w:rPr>
          <w:rFonts w:ascii="Courier New" w:eastAsia="Times New Roman" w:hAnsi="Courier New" w:cs="Courier New"/>
          <w:kern w:val="0"/>
          <w:sz w:val="20"/>
          <w:szCs w:val="20"/>
          <w:lang w:eastAsia="en-IN"/>
          <w14:ligatures w14:val="none"/>
        </w:rPr>
        <w:t>acceptedAnswer</w:t>
      </w:r>
      <w:proofErr w:type="spellEnd"/>
      <w:r w:rsidRPr="001E74A5">
        <w:rPr>
          <w:rFonts w:ascii="Courier New" w:eastAsia="Times New Roman" w:hAnsi="Courier New" w:cs="Courier New"/>
          <w:kern w:val="0"/>
          <w:sz w:val="20"/>
          <w:szCs w:val="20"/>
          <w:lang w:eastAsia="en-IN"/>
          <w14:ligatures w14:val="none"/>
        </w:rPr>
        <w:t>": {</w:t>
      </w:r>
    </w:p>
    <w:p w14:paraId="15DFC5D7"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"@type": "Answer",</w:t>
      </w:r>
    </w:p>
    <w:p w14:paraId="44B59023"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"text": "North America currently leads due to advanced regulatory frameworks, strong consumer health awareness, and widespread retail as well as online supplement availability."</w:t>
      </w:r>
    </w:p>
    <w:p w14:paraId="0467700D"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0F425454"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7EA9D76E"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54BA8AA6"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"@type": "Question",</w:t>
      </w:r>
    </w:p>
    <w:p w14:paraId="1365ED88"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"name": "What factors are driving the growth of the herbal supplements market?",</w:t>
      </w:r>
    </w:p>
    <w:p w14:paraId="48562B1C"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roofErr w:type="spellStart"/>
      <w:r w:rsidRPr="001E74A5">
        <w:rPr>
          <w:rFonts w:ascii="Courier New" w:eastAsia="Times New Roman" w:hAnsi="Courier New" w:cs="Courier New"/>
          <w:kern w:val="0"/>
          <w:sz w:val="20"/>
          <w:szCs w:val="20"/>
          <w:lang w:eastAsia="en-IN"/>
          <w14:ligatures w14:val="none"/>
        </w:rPr>
        <w:t>acceptedAnswer</w:t>
      </w:r>
      <w:proofErr w:type="spellEnd"/>
      <w:r w:rsidRPr="001E74A5">
        <w:rPr>
          <w:rFonts w:ascii="Courier New" w:eastAsia="Times New Roman" w:hAnsi="Courier New" w:cs="Courier New"/>
          <w:kern w:val="0"/>
          <w:sz w:val="20"/>
          <w:szCs w:val="20"/>
          <w:lang w:eastAsia="en-IN"/>
          <w14:ligatures w14:val="none"/>
        </w:rPr>
        <w:t>": {</w:t>
      </w:r>
    </w:p>
    <w:p w14:paraId="2CC0AD8F"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"@type": "Answer",</w:t>
      </w:r>
    </w:p>
    <w:p w14:paraId="76CF1F5D"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"text": "Growth is driven by increasing demand for natural and preventive healthcare, expansion of personalized supplement platforms, and rising adoption of sustainable sourcing and clean-label formulations."</w:t>
      </w:r>
    </w:p>
    <w:p w14:paraId="02F31984"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432691A1"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39AD9B91"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 xml:space="preserve">  ]</w:t>
      </w:r>
    </w:p>
    <w:p w14:paraId="5435DE7E" w14:textId="77777777" w:rsidR="001E74A5" w:rsidRPr="001E74A5" w:rsidRDefault="001E74A5" w:rsidP="001E7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4A5">
        <w:rPr>
          <w:rFonts w:ascii="Courier New" w:eastAsia="Times New Roman" w:hAnsi="Courier New" w:cs="Courier New"/>
          <w:kern w:val="0"/>
          <w:sz w:val="20"/>
          <w:szCs w:val="20"/>
          <w:lang w:eastAsia="en-IN"/>
          <w14:ligatures w14:val="none"/>
        </w:rPr>
        <w:t>}</w:t>
      </w:r>
    </w:p>
    <w:p w14:paraId="052F9E93" w14:textId="77777777" w:rsidR="001E74A5" w:rsidRDefault="001E74A5">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5B1735C9" w14:textId="7E790E89" w:rsidR="001E74A5" w:rsidRPr="001E74A5" w:rsidRDefault="001E74A5" w:rsidP="001E74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74A5">
        <w:rPr>
          <w:rFonts w:ascii="Times New Roman" w:eastAsia="Times New Roman" w:hAnsi="Times New Roman" w:cs="Times New Roman"/>
          <w:b/>
          <w:bCs/>
          <w:kern w:val="36"/>
          <w:sz w:val="48"/>
          <w:szCs w:val="48"/>
          <w:lang w:eastAsia="en-IN"/>
          <w14:ligatures w14:val="none"/>
        </w:rPr>
        <w:lastRenderedPageBreak/>
        <w:t>9. Table of Contents</w:t>
      </w:r>
    </w:p>
    <w:p w14:paraId="24775163"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Title:</w:t>
      </w:r>
      <w:r w:rsidRPr="001E74A5">
        <w:rPr>
          <w:rFonts w:ascii="Times New Roman" w:eastAsia="Times New Roman" w:hAnsi="Times New Roman" w:cs="Times New Roman"/>
          <w:kern w:val="0"/>
          <w:sz w:val="24"/>
          <w:szCs w:val="24"/>
          <w:lang w:eastAsia="en-IN"/>
          <w14:ligatures w14:val="none"/>
        </w:rPr>
        <w:t xml:space="preserve"> </w:t>
      </w:r>
      <w:r w:rsidRPr="001E74A5">
        <w:rPr>
          <w:rFonts w:ascii="Times New Roman" w:eastAsia="Times New Roman" w:hAnsi="Times New Roman" w:cs="Times New Roman"/>
          <w:i/>
          <w:iCs/>
          <w:kern w:val="0"/>
          <w:sz w:val="24"/>
          <w:szCs w:val="24"/>
          <w:lang w:eastAsia="en-IN"/>
          <w14:ligatures w14:val="none"/>
        </w:rPr>
        <w:t>Table of Contents for Herbal Supplements Market Report (2024–2030)</w:t>
      </w:r>
    </w:p>
    <w:p w14:paraId="107A15FD"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5B2741DC">
          <v:rect id="_x0000_i1045" style="width:0;height:1.5pt" o:hralign="center" o:hrstd="t" o:hr="t" fillcolor="#a0a0a0" stroked="f"/>
        </w:pict>
      </w:r>
    </w:p>
    <w:p w14:paraId="36AA4847"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Executive Summary</w:t>
      </w:r>
    </w:p>
    <w:p w14:paraId="3DA39C91" w14:textId="77777777" w:rsidR="001E74A5" w:rsidRPr="001E74A5" w:rsidRDefault="001E74A5" w:rsidP="001E74A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Market Overview</w:t>
      </w:r>
    </w:p>
    <w:p w14:paraId="48BA392C" w14:textId="77777777" w:rsidR="001E74A5" w:rsidRPr="001E74A5" w:rsidRDefault="001E74A5" w:rsidP="001E74A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Market Attractiveness by Product Type, Application, Distribution Channel, and Region</w:t>
      </w:r>
    </w:p>
    <w:p w14:paraId="2B30264D" w14:textId="77777777" w:rsidR="001E74A5" w:rsidRPr="001E74A5" w:rsidRDefault="001E74A5" w:rsidP="001E74A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Strategic Insights from Key Executives (CXO Perspective)</w:t>
      </w:r>
    </w:p>
    <w:p w14:paraId="713A1F3A" w14:textId="77777777" w:rsidR="001E74A5" w:rsidRPr="001E74A5" w:rsidRDefault="001E74A5" w:rsidP="001E74A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Historical Market Size and Future Projections (2019–2030)</w:t>
      </w:r>
    </w:p>
    <w:p w14:paraId="5DCCEA4E" w14:textId="77777777" w:rsidR="001E74A5" w:rsidRPr="001E74A5" w:rsidRDefault="001E74A5" w:rsidP="001E74A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Summary of Market Segmentation by Product Type, Application, Distribution Channel, and Region</w:t>
      </w:r>
    </w:p>
    <w:p w14:paraId="1945A474"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0C167CC7">
          <v:rect id="_x0000_i1046" style="width:0;height:1.5pt" o:hralign="center" o:hrstd="t" o:hr="t" fillcolor="#a0a0a0" stroked="f"/>
        </w:pict>
      </w:r>
    </w:p>
    <w:p w14:paraId="1FC2C21F"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Market Share Analysis</w:t>
      </w:r>
    </w:p>
    <w:p w14:paraId="0D9DD9C9" w14:textId="77777777" w:rsidR="001E74A5" w:rsidRPr="001E74A5" w:rsidRDefault="001E74A5" w:rsidP="001E74A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Leading Players by Revenue and Market Share</w:t>
      </w:r>
    </w:p>
    <w:p w14:paraId="7BB8A22C" w14:textId="77777777" w:rsidR="001E74A5" w:rsidRPr="001E74A5" w:rsidRDefault="001E74A5" w:rsidP="001E74A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Market Share Analysis by Product Type, Application, and Distribution Channel</w:t>
      </w:r>
    </w:p>
    <w:p w14:paraId="75326DFD"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55BD8854">
          <v:rect id="_x0000_i1047" style="width:0;height:1.5pt" o:hralign="center" o:hrstd="t" o:hr="t" fillcolor="#a0a0a0" stroked="f"/>
        </w:pict>
      </w:r>
    </w:p>
    <w:p w14:paraId="2AB2746E"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Investment Opportunities in the Herbal Supplements Market</w:t>
      </w:r>
    </w:p>
    <w:p w14:paraId="1B295AA2" w14:textId="77777777" w:rsidR="001E74A5" w:rsidRPr="001E74A5" w:rsidRDefault="001E74A5" w:rsidP="001E74A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Key Developments and Innovations (2023–2025)</w:t>
      </w:r>
    </w:p>
    <w:p w14:paraId="1C86B4F2" w14:textId="77777777" w:rsidR="001E74A5" w:rsidRPr="001E74A5" w:rsidRDefault="001E74A5" w:rsidP="001E74A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Mergers, Acquisitions, and Strategic Partnerships</w:t>
      </w:r>
    </w:p>
    <w:p w14:paraId="76D87550" w14:textId="77777777" w:rsidR="001E74A5" w:rsidRPr="001E74A5" w:rsidRDefault="001E74A5" w:rsidP="001E74A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High-Growth Segments for Investment (2024–2030)</w:t>
      </w:r>
    </w:p>
    <w:p w14:paraId="69197040"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6323D488">
          <v:rect id="_x0000_i1048" style="width:0;height:1.5pt" o:hralign="center" o:hrstd="t" o:hr="t" fillcolor="#a0a0a0" stroked="f"/>
        </w:pict>
      </w:r>
    </w:p>
    <w:p w14:paraId="0FF44090"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Market Introduction</w:t>
      </w:r>
    </w:p>
    <w:p w14:paraId="285D8AB6" w14:textId="77777777" w:rsidR="001E74A5" w:rsidRPr="001E74A5" w:rsidRDefault="001E74A5" w:rsidP="001E74A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Definition and Scope of the Study</w:t>
      </w:r>
    </w:p>
    <w:p w14:paraId="279F3D03" w14:textId="77777777" w:rsidR="001E74A5" w:rsidRPr="001E74A5" w:rsidRDefault="001E74A5" w:rsidP="001E74A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Market Structure and Key Findings</w:t>
      </w:r>
    </w:p>
    <w:p w14:paraId="22F46E37" w14:textId="77777777" w:rsidR="001E74A5" w:rsidRPr="001E74A5" w:rsidRDefault="001E74A5" w:rsidP="001E74A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Overview of Top Investment Pockets</w:t>
      </w:r>
    </w:p>
    <w:p w14:paraId="1634EA75"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709D5353">
          <v:rect id="_x0000_i1049" style="width:0;height:1.5pt" o:hralign="center" o:hrstd="t" o:hr="t" fillcolor="#a0a0a0" stroked="f"/>
        </w:pict>
      </w:r>
    </w:p>
    <w:p w14:paraId="07134002"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Research Methodology</w:t>
      </w:r>
    </w:p>
    <w:p w14:paraId="088B345E" w14:textId="77777777" w:rsidR="001E74A5" w:rsidRPr="001E74A5" w:rsidRDefault="001E74A5" w:rsidP="001E74A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Research Process Overview</w:t>
      </w:r>
    </w:p>
    <w:p w14:paraId="5F64B0FF" w14:textId="77777777" w:rsidR="001E74A5" w:rsidRPr="001E74A5" w:rsidRDefault="001E74A5" w:rsidP="001E74A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Primary and Secondary Research Approaches</w:t>
      </w:r>
    </w:p>
    <w:p w14:paraId="34E6FEFA" w14:textId="77777777" w:rsidR="001E74A5" w:rsidRPr="001E74A5" w:rsidRDefault="001E74A5" w:rsidP="001E74A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Market Size Estimation and Forecasting Techniques</w:t>
      </w:r>
    </w:p>
    <w:p w14:paraId="1CD09C95" w14:textId="77777777" w:rsidR="001E74A5" w:rsidRPr="001E74A5" w:rsidRDefault="001E74A5" w:rsidP="001E74A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Data Validation and Triangulation</w:t>
      </w:r>
    </w:p>
    <w:p w14:paraId="0A13B8DA"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lastRenderedPageBreak/>
        <w:pict w14:anchorId="5E9282E6">
          <v:rect id="_x0000_i1050" style="width:0;height:1.5pt" o:hralign="center" o:hrstd="t" o:hr="t" fillcolor="#a0a0a0" stroked="f"/>
        </w:pict>
      </w:r>
    </w:p>
    <w:p w14:paraId="31A749EE"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Market Dynamics</w:t>
      </w:r>
    </w:p>
    <w:p w14:paraId="79CBF4EB" w14:textId="77777777" w:rsidR="001E74A5" w:rsidRPr="001E74A5" w:rsidRDefault="001E74A5" w:rsidP="001E74A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Key Market Drivers</w:t>
      </w:r>
    </w:p>
    <w:p w14:paraId="207FC3D3" w14:textId="77777777" w:rsidR="001E74A5" w:rsidRPr="001E74A5" w:rsidRDefault="001E74A5" w:rsidP="001E74A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Restraints Impacting Growth</w:t>
      </w:r>
    </w:p>
    <w:p w14:paraId="60883138" w14:textId="77777777" w:rsidR="001E74A5" w:rsidRPr="001E74A5" w:rsidRDefault="001E74A5" w:rsidP="001E74A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Emerging Opportunities for Stakeholders</w:t>
      </w:r>
    </w:p>
    <w:p w14:paraId="63D51AB1" w14:textId="77777777" w:rsidR="001E74A5" w:rsidRPr="001E74A5" w:rsidRDefault="001E74A5" w:rsidP="001E74A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 xml:space="preserve">Impact of Regulatory and Consumer </w:t>
      </w:r>
      <w:proofErr w:type="spellStart"/>
      <w:r w:rsidRPr="001E74A5">
        <w:rPr>
          <w:rFonts w:ascii="Times New Roman" w:eastAsia="Times New Roman" w:hAnsi="Times New Roman" w:cs="Times New Roman"/>
          <w:kern w:val="0"/>
          <w:sz w:val="24"/>
          <w:szCs w:val="24"/>
          <w:lang w:eastAsia="en-IN"/>
          <w14:ligatures w14:val="none"/>
        </w:rPr>
        <w:t>Behavior</w:t>
      </w:r>
      <w:proofErr w:type="spellEnd"/>
      <w:r w:rsidRPr="001E74A5">
        <w:rPr>
          <w:rFonts w:ascii="Times New Roman" w:eastAsia="Times New Roman" w:hAnsi="Times New Roman" w:cs="Times New Roman"/>
          <w:kern w:val="0"/>
          <w:sz w:val="24"/>
          <w:szCs w:val="24"/>
          <w:lang w:eastAsia="en-IN"/>
          <w14:ligatures w14:val="none"/>
        </w:rPr>
        <w:t xml:space="preserve"> Factors</w:t>
      </w:r>
    </w:p>
    <w:p w14:paraId="016DE0FB" w14:textId="77777777" w:rsidR="001E74A5" w:rsidRPr="001E74A5" w:rsidRDefault="001E74A5" w:rsidP="001E74A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Role of Sustainability and Transparency in Market Expansion</w:t>
      </w:r>
    </w:p>
    <w:p w14:paraId="6F5CA724"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35B49330">
          <v:rect id="_x0000_i1051" style="width:0;height:1.5pt" o:hralign="center" o:hrstd="t" o:hr="t" fillcolor="#a0a0a0" stroked="f"/>
        </w:pict>
      </w:r>
    </w:p>
    <w:p w14:paraId="5085057E"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Global Herbal Supplements Market Analysis (2019–2030)</w:t>
      </w:r>
    </w:p>
    <w:p w14:paraId="1A308A11" w14:textId="77777777" w:rsidR="001E74A5" w:rsidRPr="001E74A5" w:rsidRDefault="001E74A5" w:rsidP="001E74A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Historical Market Size and Volume (2019–2023)</w:t>
      </w:r>
    </w:p>
    <w:p w14:paraId="532D791A" w14:textId="77777777" w:rsidR="001E74A5" w:rsidRPr="001E74A5" w:rsidRDefault="001E74A5" w:rsidP="001E74A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Market Size and Volume Forecasts (2024–2030)</w:t>
      </w:r>
    </w:p>
    <w:p w14:paraId="128BCCDD"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Market Analysis by Product Type:</w:t>
      </w:r>
    </w:p>
    <w:p w14:paraId="183EFBC6" w14:textId="77777777" w:rsidR="001E74A5" w:rsidRPr="001E74A5" w:rsidRDefault="001E74A5" w:rsidP="001E74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Single-Herb Supplements</w:t>
      </w:r>
    </w:p>
    <w:p w14:paraId="434DAB54" w14:textId="77777777" w:rsidR="001E74A5" w:rsidRPr="001E74A5" w:rsidRDefault="001E74A5" w:rsidP="001E74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Combination Formulas</w:t>
      </w:r>
    </w:p>
    <w:p w14:paraId="15B28B89" w14:textId="77777777" w:rsidR="001E74A5" w:rsidRPr="001E74A5" w:rsidRDefault="001E74A5" w:rsidP="001E74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Herbal Gummies and Liquid Tonics</w:t>
      </w:r>
    </w:p>
    <w:p w14:paraId="7D9FCE53"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Market Analysis by Application:</w:t>
      </w:r>
    </w:p>
    <w:p w14:paraId="76BB31E5" w14:textId="77777777" w:rsidR="001E74A5" w:rsidRPr="001E74A5" w:rsidRDefault="001E74A5" w:rsidP="001E74A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Immunity &amp; Wellness</w:t>
      </w:r>
    </w:p>
    <w:p w14:paraId="06762631" w14:textId="77777777" w:rsidR="001E74A5" w:rsidRPr="001E74A5" w:rsidRDefault="001E74A5" w:rsidP="001E74A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Digestive &amp; Gut Health</w:t>
      </w:r>
    </w:p>
    <w:p w14:paraId="7DA3CCFC" w14:textId="77777777" w:rsidR="001E74A5" w:rsidRPr="001E74A5" w:rsidRDefault="001E74A5" w:rsidP="001E74A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Stress &amp; Cognitive Health</w:t>
      </w:r>
    </w:p>
    <w:p w14:paraId="0FFBDFAD" w14:textId="77777777" w:rsidR="001E74A5" w:rsidRPr="001E74A5" w:rsidRDefault="001E74A5" w:rsidP="001E74A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Cardiovascular Support</w:t>
      </w:r>
    </w:p>
    <w:p w14:paraId="4CC0BAB3" w14:textId="77777777" w:rsidR="001E74A5" w:rsidRPr="001E74A5" w:rsidRDefault="001E74A5" w:rsidP="001E74A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Beauty &amp; Anti-Aging</w:t>
      </w:r>
    </w:p>
    <w:p w14:paraId="18C7507A"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Market Analysis by Distribution Channel:</w:t>
      </w:r>
    </w:p>
    <w:p w14:paraId="31671DEE" w14:textId="77777777" w:rsidR="001E74A5" w:rsidRPr="001E74A5" w:rsidRDefault="001E74A5" w:rsidP="001E74A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Pharmacies &amp; Drug Stores</w:t>
      </w:r>
    </w:p>
    <w:p w14:paraId="5BF4037C" w14:textId="77777777" w:rsidR="001E74A5" w:rsidRPr="001E74A5" w:rsidRDefault="001E74A5" w:rsidP="001E74A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Online/DTC Platforms</w:t>
      </w:r>
    </w:p>
    <w:p w14:paraId="3B368596" w14:textId="77777777" w:rsidR="001E74A5" w:rsidRPr="001E74A5" w:rsidRDefault="001E74A5" w:rsidP="001E74A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Supermarkets &amp; Health Stores</w:t>
      </w:r>
    </w:p>
    <w:p w14:paraId="35AFA7A8" w14:textId="77777777" w:rsidR="001E74A5" w:rsidRPr="001E74A5" w:rsidRDefault="001E74A5" w:rsidP="001E74A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Specialty Wellness Boutiques</w:t>
      </w:r>
    </w:p>
    <w:p w14:paraId="2EBF9B8B"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Market Analysis by Region:</w:t>
      </w:r>
    </w:p>
    <w:p w14:paraId="07BEF03A" w14:textId="77777777" w:rsidR="001E74A5" w:rsidRPr="001E74A5" w:rsidRDefault="001E74A5" w:rsidP="001E74A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North America</w:t>
      </w:r>
    </w:p>
    <w:p w14:paraId="4312948C" w14:textId="77777777" w:rsidR="001E74A5" w:rsidRPr="001E74A5" w:rsidRDefault="001E74A5" w:rsidP="001E74A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Europe</w:t>
      </w:r>
    </w:p>
    <w:p w14:paraId="3AD99088" w14:textId="77777777" w:rsidR="001E74A5" w:rsidRPr="001E74A5" w:rsidRDefault="001E74A5" w:rsidP="001E74A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Asia-Pacific</w:t>
      </w:r>
    </w:p>
    <w:p w14:paraId="478A8ACC" w14:textId="77777777" w:rsidR="001E74A5" w:rsidRPr="001E74A5" w:rsidRDefault="001E74A5" w:rsidP="001E74A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Latin America</w:t>
      </w:r>
    </w:p>
    <w:p w14:paraId="28FB8256" w14:textId="77777777" w:rsidR="001E74A5" w:rsidRPr="001E74A5" w:rsidRDefault="001E74A5" w:rsidP="001E74A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Middle East &amp; Africa</w:t>
      </w:r>
    </w:p>
    <w:p w14:paraId="53C3E8FE"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6B7F65E9">
          <v:rect id="_x0000_i1052" style="width:0;height:1.5pt" o:hralign="center" o:hrstd="t" o:hr="t" fillcolor="#a0a0a0" stroked="f"/>
        </w:pict>
      </w:r>
    </w:p>
    <w:p w14:paraId="1DCE4A9E"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Regional Market Analysis</w:t>
      </w:r>
    </w:p>
    <w:p w14:paraId="0E1149EC"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lastRenderedPageBreak/>
        <w:t>North America Herbal Supplements Market (2019–2030)</w:t>
      </w:r>
    </w:p>
    <w:p w14:paraId="484D90E4" w14:textId="77777777" w:rsidR="001E74A5" w:rsidRPr="001E74A5" w:rsidRDefault="001E74A5" w:rsidP="001E74A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Historical Market Size and Volume (2019–2023)</w:t>
      </w:r>
    </w:p>
    <w:p w14:paraId="62BC5078" w14:textId="77777777" w:rsidR="001E74A5" w:rsidRPr="001E74A5" w:rsidRDefault="001E74A5" w:rsidP="001E74A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Market Size and Volume Forecasts (2024–2030)</w:t>
      </w:r>
    </w:p>
    <w:p w14:paraId="6D67FD08" w14:textId="77777777" w:rsidR="001E74A5" w:rsidRPr="001E74A5" w:rsidRDefault="001E74A5" w:rsidP="001E74A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Market Analysis by Product Type, Application, and Distribution Channel</w:t>
      </w:r>
    </w:p>
    <w:p w14:paraId="49631C42" w14:textId="77777777" w:rsidR="001E74A5" w:rsidRPr="001E74A5" w:rsidRDefault="001E74A5" w:rsidP="001E74A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Country-Level Breakdown: United States, Canada, Mexico</w:t>
      </w:r>
    </w:p>
    <w:p w14:paraId="7A3FEFA8"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Europe Herbal Supplements Market (2019–2030)</w:t>
      </w:r>
    </w:p>
    <w:p w14:paraId="01D9FE84" w14:textId="77777777" w:rsidR="001E74A5" w:rsidRPr="001E74A5" w:rsidRDefault="001E74A5" w:rsidP="001E74A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Market Analysis by Product Type, Application, and Distribution Channel</w:t>
      </w:r>
    </w:p>
    <w:p w14:paraId="2305B272" w14:textId="77777777" w:rsidR="001E74A5" w:rsidRPr="001E74A5" w:rsidRDefault="001E74A5" w:rsidP="001E74A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2C9B8480"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Asia-Pacific Herbal Supplements Market (2019–2030)</w:t>
      </w:r>
    </w:p>
    <w:p w14:paraId="6536FF1C" w14:textId="77777777" w:rsidR="001E74A5" w:rsidRPr="001E74A5" w:rsidRDefault="001E74A5" w:rsidP="001E74A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Market Analysis by Product Type, Application, and Distribution Channel</w:t>
      </w:r>
    </w:p>
    <w:p w14:paraId="09E5C27F" w14:textId="77777777" w:rsidR="001E74A5" w:rsidRPr="001E74A5" w:rsidRDefault="001E74A5" w:rsidP="001E74A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Country-Level Breakdown: China, India, Japan, South Korea, Australia, Rest of Asia-Pacific</w:t>
      </w:r>
    </w:p>
    <w:p w14:paraId="4E633623"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Latin America Herbal Supplements Market (2019–2030)</w:t>
      </w:r>
    </w:p>
    <w:p w14:paraId="4F20B8CD" w14:textId="77777777" w:rsidR="001E74A5" w:rsidRPr="001E74A5" w:rsidRDefault="001E74A5" w:rsidP="001E74A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Market Analysis by Product Type, Application, and Distribution Channel</w:t>
      </w:r>
    </w:p>
    <w:p w14:paraId="355E7361" w14:textId="77777777" w:rsidR="001E74A5" w:rsidRPr="001E74A5" w:rsidRDefault="001E74A5" w:rsidP="001E74A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Country-Level Breakdown: Brazil, Argentina, Chile, Rest of Latin America</w:t>
      </w:r>
    </w:p>
    <w:p w14:paraId="037D2117"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Middle East &amp; Africa Herbal Supplements Market (2019–2030)</w:t>
      </w:r>
    </w:p>
    <w:p w14:paraId="726B2274" w14:textId="77777777" w:rsidR="001E74A5" w:rsidRPr="001E74A5" w:rsidRDefault="001E74A5" w:rsidP="001E74A5">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Market Analysis by Product Type, Application, and Distribution Channel</w:t>
      </w:r>
    </w:p>
    <w:p w14:paraId="1315B7B3" w14:textId="77777777" w:rsidR="001E74A5" w:rsidRPr="001E74A5" w:rsidRDefault="001E74A5" w:rsidP="001E74A5">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Country-Level Breakdown: Saudi Arabia, United Arab Emirates, South Africa, Rest of Middle East &amp; Africa</w:t>
      </w:r>
    </w:p>
    <w:p w14:paraId="433515BC"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117594CF">
          <v:rect id="_x0000_i1053" style="width:0;height:1.5pt" o:hralign="center" o:hrstd="t" o:hr="t" fillcolor="#a0a0a0" stroked="f"/>
        </w:pict>
      </w:r>
    </w:p>
    <w:p w14:paraId="668FA09D"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Key Players and Competitive Analysis</w:t>
      </w:r>
    </w:p>
    <w:p w14:paraId="2F11A6A4" w14:textId="77777777" w:rsidR="001E74A5" w:rsidRPr="001E74A5" w:rsidRDefault="001E74A5" w:rsidP="001E74A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Nestlé Health Science</w:t>
      </w:r>
    </w:p>
    <w:p w14:paraId="5332A1DE" w14:textId="77777777" w:rsidR="001E74A5" w:rsidRPr="001E74A5" w:rsidRDefault="001E74A5" w:rsidP="001E74A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NOW Foods</w:t>
      </w:r>
    </w:p>
    <w:p w14:paraId="587895A4" w14:textId="77777777" w:rsidR="001E74A5" w:rsidRPr="001E74A5" w:rsidRDefault="001E74A5" w:rsidP="001E74A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Gaia Herbs</w:t>
      </w:r>
    </w:p>
    <w:p w14:paraId="2511A62C" w14:textId="77777777" w:rsidR="001E74A5" w:rsidRPr="001E74A5" w:rsidRDefault="001E74A5" w:rsidP="001E74A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Himalaya Wellness</w:t>
      </w:r>
    </w:p>
    <w:p w14:paraId="3120A78C" w14:textId="77777777" w:rsidR="001E74A5" w:rsidRPr="001E74A5" w:rsidRDefault="001E74A5" w:rsidP="001E74A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Herbalife Nutrition Ltd.</w:t>
      </w:r>
    </w:p>
    <w:p w14:paraId="4CC87D3A" w14:textId="77777777" w:rsidR="001E74A5" w:rsidRPr="001E74A5" w:rsidRDefault="001E74A5" w:rsidP="001E74A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Amway (</w:t>
      </w:r>
      <w:proofErr w:type="spellStart"/>
      <w:r w:rsidRPr="001E74A5">
        <w:rPr>
          <w:rFonts w:ascii="Times New Roman" w:eastAsia="Times New Roman" w:hAnsi="Times New Roman" w:cs="Times New Roman"/>
          <w:kern w:val="0"/>
          <w:sz w:val="24"/>
          <w:szCs w:val="24"/>
          <w:lang w:eastAsia="en-IN"/>
          <w14:ligatures w14:val="none"/>
        </w:rPr>
        <w:t>Nutrilite</w:t>
      </w:r>
      <w:proofErr w:type="spellEnd"/>
      <w:r w:rsidRPr="001E74A5">
        <w:rPr>
          <w:rFonts w:ascii="Times New Roman" w:eastAsia="Times New Roman" w:hAnsi="Times New Roman" w:cs="Times New Roman"/>
          <w:kern w:val="0"/>
          <w:sz w:val="24"/>
          <w:szCs w:val="24"/>
          <w:lang w:eastAsia="en-IN"/>
          <w14:ligatures w14:val="none"/>
        </w:rPr>
        <w:t>)</w:t>
      </w:r>
    </w:p>
    <w:p w14:paraId="4278EBF8" w14:textId="77777777" w:rsidR="001E74A5" w:rsidRPr="001E74A5" w:rsidRDefault="001E74A5" w:rsidP="001E74A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E74A5">
        <w:rPr>
          <w:rFonts w:ascii="Times New Roman" w:eastAsia="Times New Roman" w:hAnsi="Times New Roman" w:cs="Times New Roman"/>
          <w:kern w:val="0"/>
          <w:sz w:val="24"/>
          <w:szCs w:val="24"/>
          <w:lang w:eastAsia="en-IN"/>
          <w14:ligatures w14:val="none"/>
        </w:rPr>
        <w:t>Pharmavite</w:t>
      </w:r>
      <w:proofErr w:type="spellEnd"/>
    </w:p>
    <w:p w14:paraId="34015107" w14:textId="77777777" w:rsidR="001E74A5" w:rsidRPr="001E74A5" w:rsidRDefault="001E74A5" w:rsidP="001E74A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Nature’s Bounty</w:t>
      </w:r>
    </w:p>
    <w:p w14:paraId="318E3B68" w14:textId="77777777" w:rsidR="001E74A5" w:rsidRPr="001E74A5" w:rsidRDefault="001E74A5" w:rsidP="001E74A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GNC Holdings LLC</w:t>
      </w:r>
    </w:p>
    <w:p w14:paraId="3889D1A9" w14:textId="77777777" w:rsidR="001E74A5" w:rsidRPr="001E74A5" w:rsidRDefault="001E74A5" w:rsidP="001E74A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Jamieson Wellness Inc.</w:t>
      </w:r>
    </w:p>
    <w:p w14:paraId="1A3D01CF" w14:textId="77777777" w:rsidR="001E74A5" w:rsidRPr="001E74A5" w:rsidRDefault="001E74A5" w:rsidP="001E74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b/>
          <w:bCs/>
          <w:kern w:val="0"/>
          <w:sz w:val="24"/>
          <w:szCs w:val="24"/>
          <w:lang w:eastAsia="en-IN"/>
          <w14:ligatures w14:val="none"/>
        </w:rPr>
        <w:t>Competitive Insights:</w:t>
      </w:r>
    </w:p>
    <w:p w14:paraId="317B2BA1" w14:textId="77777777" w:rsidR="001E74A5" w:rsidRPr="001E74A5" w:rsidRDefault="001E74A5" w:rsidP="001E74A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Company Overview and Financial Performance</w:t>
      </w:r>
    </w:p>
    <w:p w14:paraId="5D4599A0" w14:textId="77777777" w:rsidR="001E74A5" w:rsidRPr="001E74A5" w:rsidRDefault="001E74A5" w:rsidP="001E74A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Product Portfolio and Core Competencies</w:t>
      </w:r>
    </w:p>
    <w:p w14:paraId="52237CAB" w14:textId="77777777" w:rsidR="001E74A5" w:rsidRPr="001E74A5" w:rsidRDefault="001E74A5" w:rsidP="001E74A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Strategic Initiatives: Partnerships, M&amp;A, Product Launches</w:t>
      </w:r>
    </w:p>
    <w:p w14:paraId="36729B64" w14:textId="77777777" w:rsidR="001E74A5" w:rsidRPr="001E74A5" w:rsidRDefault="001E74A5" w:rsidP="001E74A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lastRenderedPageBreak/>
        <w:t>SWOT Analysis for Leading Players</w:t>
      </w:r>
    </w:p>
    <w:p w14:paraId="65C01B0D"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66DA71BC">
          <v:rect id="_x0000_i1054" style="width:0;height:1.5pt" o:hralign="center" o:hrstd="t" o:hr="t" fillcolor="#a0a0a0" stroked="f"/>
        </w:pict>
      </w:r>
    </w:p>
    <w:p w14:paraId="15DAA5C1"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Appendix</w:t>
      </w:r>
    </w:p>
    <w:p w14:paraId="0015A366" w14:textId="77777777" w:rsidR="001E74A5" w:rsidRPr="001E74A5" w:rsidRDefault="001E74A5" w:rsidP="001E74A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Abbreviations and Terminologies Used in the Report</w:t>
      </w:r>
    </w:p>
    <w:p w14:paraId="592A4211" w14:textId="77777777" w:rsidR="001E74A5" w:rsidRPr="001E74A5" w:rsidRDefault="001E74A5" w:rsidP="001E74A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References and Data Sources</w:t>
      </w:r>
    </w:p>
    <w:p w14:paraId="453560FE" w14:textId="77777777" w:rsidR="001E74A5" w:rsidRPr="001E74A5" w:rsidRDefault="001E74A5" w:rsidP="001E74A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Methodological Notes</w:t>
      </w:r>
    </w:p>
    <w:p w14:paraId="2BD6B715" w14:textId="77777777" w:rsidR="001E74A5" w:rsidRPr="001E74A5" w:rsidRDefault="001E74A5" w:rsidP="001E74A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Research Assumptions and Limitations</w:t>
      </w:r>
    </w:p>
    <w:p w14:paraId="673A6D0E"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654A1D66">
          <v:rect id="_x0000_i1055" style="width:0;height:1.5pt" o:hralign="center" o:hrstd="t" o:hr="t" fillcolor="#a0a0a0" stroked="f"/>
        </w:pict>
      </w:r>
    </w:p>
    <w:p w14:paraId="4776966A"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List of Tables</w:t>
      </w:r>
    </w:p>
    <w:p w14:paraId="2B7542AA" w14:textId="77777777" w:rsidR="001E74A5" w:rsidRPr="001E74A5" w:rsidRDefault="001E74A5" w:rsidP="001E74A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Market Size by Product Type, Application, Distribution Channel, and Region (2024–2030)</w:t>
      </w:r>
    </w:p>
    <w:p w14:paraId="4C8B4BA6" w14:textId="77777777" w:rsidR="001E74A5" w:rsidRPr="001E74A5" w:rsidRDefault="001E74A5" w:rsidP="001E74A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Regional Market Breakdown by Product Type and Application (2024–2030)</w:t>
      </w:r>
    </w:p>
    <w:p w14:paraId="16E1FB9F" w14:textId="77777777" w:rsidR="001E74A5" w:rsidRPr="001E74A5" w:rsidRDefault="001E74A5" w:rsidP="001E74A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Company Benchmarking by Revenue and Market Presence</w:t>
      </w:r>
    </w:p>
    <w:p w14:paraId="767EADD8" w14:textId="77777777" w:rsidR="001E74A5" w:rsidRPr="001E74A5" w:rsidRDefault="001E74A5" w:rsidP="001E74A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Growth Rate Comparison by Region and Category</w:t>
      </w:r>
    </w:p>
    <w:p w14:paraId="74E02250" w14:textId="77777777" w:rsidR="001E74A5" w:rsidRPr="001E74A5" w:rsidRDefault="001E74A5" w:rsidP="001E74A5">
      <w:pPr>
        <w:spacing w:after="0"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pict w14:anchorId="6756C5AB">
          <v:rect id="_x0000_i1056" style="width:0;height:1.5pt" o:hralign="center" o:hrstd="t" o:hr="t" fillcolor="#a0a0a0" stroked="f"/>
        </w:pict>
      </w:r>
    </w:p>
    <w:p w14:paraId="5591582A" w14:textId="77777777" w:rsidR="001E74A5" w:rsidRPr="001E74A5" w:rsidRDefault="001E74A5" w:rsidP="001E74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A5">
        <w:rPr>
          <w:rFonts w:ascii="Times New Roman" w:eastAsia="Times New Roman" w:hAnsi="Times New Roman" w:cs="Times New Roman"/>
          <w:b/>
          <w:bCs/>
          <w:kern w:val="0"/>
          <w:sz w:val="27"/>
          <w:szCs w:val="27"/>
          <w:lang w:eastAsia="en-IN"/>
          <w14:ligatures w14:val="none"/>
        </w:rPr>
        <w:t>List of Figures</w:t>
      </w:r>
    </w:p>
    <w:p w14:paraId="43F01BE6" w14:textId="77777777" w:rsidR="001E74A5" w:rsidRPr="001E74A5" w:rsidRDefault="001E74A5" w:rsidP="001E74A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Market Dynamics: Drivers, Restraints, and Opportunities</w:t>
      </w:r>
    </w:p>
    <w:p w14:paraId="6D6B1BD2" w14:textId="77777777" w:rsidR="001E74A5" w:rsidRPr="001E74A5" w:rsidRDefault="001E74A5" w:rsidP="001E74A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Global Herbal Supplements Market Size Forecast (2024–2030)</w:t>
      </w:r>
    </w:p>
    <w:p w14:paraId="41173C41" w14:textId="77777777" w:rsidR="001E74A5" w:rsidRPr="001E74A5" w:rsidRDefault="001E74A5" w:rsidP="001E74A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Regional Market Share Snapshot (2024 vs. 2030)</w:t>
      </w:r>
    </w:p>
    <w:p w14:paraId="336F51EC" w14:textId="77777777" w:rsidR="001E74A5" w:rsidRPr="001E74A5" w:rsidRDefault="001E74A5" w:rsidP="001E74A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Competitive Landscape and Market Share Analysis</w:t>
      </w:r>
    </w:p>
    <w:p w14:paraId="50A68913" w14:textId="77777777" w:rsidR="001E74A5" w:rsidRPr="001E74A5" w:rsidRDefault="001E74A5" w:rsidP="001E74A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Investment Hotspots by Application and Product Type</w:t>
      </w:r>
    </w:p>
    <w:p w14:paraId="15623D19" w14:textId="7C8B1387" w:rsidR="00FC77B6" w:rsidRPr="001E74A5" w:rsidRDefault="001E74A5" w:rsidP="001E74A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A5">
        <w:rPr>
          <w:rFonts w:ascii="Times New Roman" w:eastAsia="Times New Roman" w:hAnsi="Times New Roman" w:cs="Times New Roman"/>
          <w:kern w:val="0"/>
          <w:sz w:val="24"/>
          <w:szCs w:val="24"/>
          <w:lang w:eastAsia="en-IN"/>
          <w14:ligatures w14:val="none"/>
        </w:rPr>
        <w:t>Growth Strategies Adopted by Key Players</w:t>
      </w:r>
    </w:p>
    <w:sectPr w:rsidR="00FC77B6" w:rsidRPr="001E74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F76BC"/>
    <w:multiLevelType w:val="multilevel"/>
    <w:tmpl w:val="9C6C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836C5"/>
    <w:multiLevelType w:val="multilevel"/>
    <w:tmpl w:val="D370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81451"/>
    <w:multiLevelType w:val="multilevel"/>
    <w:tmpl w:val="28F6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D3468"/>
    <w:multiLevelType w:val="multilevel"/>
    <w:tmpl w:val="5D1C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72D9B"/>
    <w:multiLevelType w:val="multilevel"/>
    <w:tmpl w:val="BF74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778EB"/>
    <w:multiLevelType w:val="multilevel"/>
    <w:tmpl w:val="53B8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6372D"/>
    <w:multiLevelType w:val="multilevel"/>
    <w:tmpl w:val="0AB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A684E"/>
    <w:multiLevelType w:val="multilevel"/>
    <w:tmpl w:val="ADF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4194C"/>
    <w:multiLevelType w:val="multilevel"/>
    <w:tmpl w:val="5F14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82C90"/>
    <w:multiLevelType w:val="multilevel"/>
    <w:tmpl w:val="857A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C2602"/>
    <w:multiLevelType w:val="multilevel"/>
    <w:tmpl w:val="9304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B0EC0"/>
    <w:multiLevelType w:val="multilevel"/>
    <w:tmpl w:val="19FE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619E2"/>
    <w:multiLevelType w:val="multilevel"/>
    <w:tmpl w:val="36AA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26CD8"/>
    <w:multiLevelType w:val="multilevel"/>
    <w:tmpl w:val="B61C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84251"/>
    <w:multiLevelType w:val="multilevel"/>
    <w:tmpl w:val="D234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21A88"/>
    <w:multiLevelType w:val="multilevel"/>
    <w:tmpl w:val="F180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C6EC0"/>
    <w:multiLevelType w:val="multilevel"/>
    <w:tmpl w:val="F09C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2284E"/>
    <w:multiLevelType w:val="multilevel"/>
    <w:tmpl w:val="E972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76267"/>
    <w:multiLevelType w:val="multilevel"/>
    <w:tmpl w:val="994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D2799"/>
    <w:multiLevelType w:val="multilevel"/>
    <w:tmpl w:val="A734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01379"/>
    <w:multiLevelType w:val="multilevel"/>
    <w:tmpl w:val="7292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D8784A"/>
    <w:multiLevelType w:val="multilevel"/>
    <w:tmpl w:val="E016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17CE1"/>
    <w:multiLevelType w:val="multilevel"/>
    <w:tmpl w:val="3A4E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1102B"/>
    <w:multiLevelType w:val="multilevel"/>
    <w:tmpl w:val="F32E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616A4B"/>
    <w:multiLevelType w:val="multilevel"/>
    <w:tmpl w:val="211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4040A"/>
    <w:multiLevelType w:val="multilevel"/>
    <w:tmpl w:val="65E6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34C7C"/>
    <w:multiLevelType w:val="multilevel"/>
    <w:tmpl w:val="06EE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123C7"/>
    <w:multiLevelType w:val="multilevel"/>
    <w:tmpl w:val="608C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972888"/>
    <w:multiLevelType w:val="multilevel"/>
    <w:tmpl w:val="541A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058776">
    <w:abstractNumId w:val="5"/>
  </w:num>
  <w:num w:numId="2" w16cid:durableId="2010057745">
    <w:abstractNumId w:val="26"/>
  </w:num>
  <w:num w:numId="3" w16cid:durableId="334383705">
    <w:abstractNumId w:val="2"/>
  </w:num>
  <w:num w:numId="4" w16cid:durableId="783305721">
    <w:abstractNumId w:val="11"/>
  </w:num>
  <w:num w:numId="5" w16cid:durableId="419135435">
    <w:abstractNumId w:val="19"/>
  </w:num>
  <w:num w:numId="6" w16cid:durableId="2006473068">
    <w:abstractNumId w:val="25"/>
  </w:num>
  <w:num w:numId="7" w16cid:durableId="1638603064">
    <w:abstractNumId w:val="16"/>
  </w:num>
  <w:num w:numId="8" w16cid:durableId="681012144">
    <w:abstractNumId w:val="7"/>
  </w:num>
  <w:num w:numId="9" w16cid:durableId="1875388074">
    <w:abstractNumId w:val="18"/>
  </w:num>
  <w:num w:numId="10" w16cid:durableId="1145465358">
    <w:abstractNumId w:val="0"/>
  </w:num>
  <w:num w:numId="11" w16cid:durableId="99037323">
    <w:abstractNumId w:val="23"/>
  </w:num>
  <w:num w:numId="12" w16cid:durableId="1972204599">
    <w:abstractNumId w:val="4"/>
  </w:num>
  <w:num w:numId="13" w16cid:durableId="899629734">
    <w:abstractNumId w:val="13"/>
  </w:num>
  <w:num w:numId="14" w16cid:durableId="131944003">
    <w:abstractNumId w:val="3"/>
  </w:num>
  <w:num w:numId="15" w16cid:durableId="251670353">
    <w:abstractNumId w:val="6"/>
  </w:num>
  <w:num w:numId="16" w16cid:durableId="1252349965">
    <w:abstractNumId w:val="28"/>
  </w:num>
  <w:num w:numId="17" w16cid:durableId="1779061127">
    <w:abstractNumId w:val="9"/>
  </w:num>
  <w:num w:numId="18" w16cid:durableId="2008097375">
    <w:abstractNumId w:val="21"/>
  </w:num>
  <w:num w:numId="19" w16cid:durableId="1331063080">
    <w:abstractNumId w:val="17"/>
  </w:num>
  <w:num w:numId="20" w16cid:durableId="90056223">
    <w:abstractNumId w:val="24"/>
  </w:num>
  <w:num w:numId="21" w16cid:durableId="834881128">
    <w:abstractNumId w:val="12"/>
  </w:num>
  <w:num w:numId="22" w16cid:durableId="1142383976">
    <w:abstractNumId w:val="15"/>
  </w:num>
  <w:num w:numId="23" w16cid:durableId="257639279">
    <w:abstractNumId w:val="1"/>
  </w:num>
  <w:num w:numId="24" w16cid:durableId="504827015">
    <w:abstractNumId w:val="10"/>
  </w:num>
  <w:num w:numId="25" w16cid:durableId="874461141">
    <w:abstractNumId w:val="14"/>
  </w:num>
  <w:num w:numId="26" w16cid:durableId="1768889311">
    <w:abstractNumId w:val="8"/>
  </w:num>
  <w:num w:numId="27" w16cid:durableId="784080690">
    <w:abstractNumId w:val="27"/>
  </w:num>
  <w:num w:numId="28" w16cid:durableId="1262880890">
    <w:abstractNumId w:val="22"/>
  </w:num>
  <w:num w:numId="29" w16cid:durableId="17846929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4A5"/>
    <w:rsid w:val="0013754B"/>
    <w:rsid w:val="001E74A5"/>
    <w:rsid w:val="00344AB7"/>
    <w:rsid w:val="00543B3D"/>
    <w:rsid w:val="0095754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4D381"/>
  <w15:chartTrackingRefBased/>
  <w15:docId w15:val="{1F340FFB-5030-4545-97DE-2A52C74BB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7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1E7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7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4A5"/>
    <w:rPr>
      <w:rFonts w:eastAsiaTheme="majorEastAsia" w:cstheme="majorBidi"/>
      <w:color w:val="272727" w:themeColor="text1" w:themeTint="D8"/>
    </w:rPr>
  </w:style>
  <w:style w:type="paragraph" w:styleId="Title">
    <w:name w:val="Title"/>
    <w:basedOn w:val="Normal"/>
    <w:next w:val="Normal"/>
    <w:link w:val="TitleChar"/>
    <w:uiPriority w:val="10"/>
    <w:qFormat/>
    <w:rsid w:val="001E7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4A5"/>
    <w:pPr>
      <w:spacing w:before="160"/>
      <w:jc w:val="center"/>
    </w:pPr>
    <w:rPr>
      <w:i/>
      <w:iCs/>
      <w:color w:val="404040" w:themeColor="text1" w:themeTint="BF"/>
    </w:rPr>
  </w:style>
  <w:style w:type="character" w:customStyle="1" w:styleId="QuoteChar">
    <w:name w:val="Quote Char"/>
    <w:basedOn w:val="DefaultParagraphFont"/>
    <w:link w:val="Quote"/>
    <w:uiPriority w:val="29"/>
    <w:rsid w:val="001E74A5"/>
    <w:rPr>
      <w:i/>
      <w:iCs/>
      <w:color w:val="404040" w:themeColor="text1" w:themeTint="BF"/>
    </w:rPr>
  </w:style>
  <w:style w:type="paragraph" w:styleId="ListParagraph">
    <w:name w:val="List Paragraph"/>
    <w:basedOn w:val="Normal"/>
    <w:uiPriority w:val="34"/>
    <w:qFormat/>
    <w:rsid w:val="001E74A5"/>
    <w:pPr>
      <w:ind w:left="720"/>
      <w:contextualSpacing/>
    </w:pPr>
  </w:style>
  <w:style w:type="character" w:styleId="IntenseEmphasis">
    <w:name w:val="Intense Emphasis"/>
    <w:basedOn w:val="DefaultParagraphFont"/>
    <w:uiPriority w:val="21"/>
    <w:qFormat/>
    <w:rsid w:val="001E74A5"/>
    <w:rPr>
      <w:i/>
      <w:iCs/>
      <w:color w:val="2F5496" w:themeColor="accent1" w:themeShade="BF"/>
    </w:rPr>
  </w:style>
  <w:style w:type="paragraph" w:styleId="IntenseQuote">
    <w:name w:val="Intense Quote"/>
    <w:basedOn w:val="Normal"/>
    <w:next w:val="Normal"/>
    <w:link w:val="IntenseQuoteChar"/>
    <w:uiPriority w:val="30"/>
    <w:qFormat/>
    <w:rsid w:val="001E7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4A5"/>
    <w:rPr>
      <w:i/>
      <w:iCs/>
      <w:color w:val="2F5496" w:themeColor="accent1" w:themeShade="BF"/>
    </w:rPr>
  </w:style>
  <w:style w:type="character" w:styleId="IntenseReference">
    <w:name w:val="Intense Reference"/>
    <w:basedOn w:val="DefaultParagraphFont"/>
    <w:uiPriority w:val="32"/>
    <w:qFormat/>
    <w:rsid w:val="001E74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401931">
      <w:bodyDiv w:val="1"/>
      <w:marLeft w:val="0"/>
      <w:marRight w:val="0"/>
      <w:marTop w:val="0"/>
      <w:marBottom w:val="0"/>
      <w:divBdr>
        <w:top w:val="none" w:sz="0" w:space="0" w:color="auto"/>
        <w:left w:val="none" w:sz="0" w:space="0" w:color="auto"/>
        <w:bottom w:val="none" w:sz="0" w:space="0" w:color="auto"/>
        <w:right w:val="none" w:sz="0" w:space="0" w:color="auto"/>
      </w:divBdr>
      <w:divsChild>
        <w:div w:id="1213157356">
          <w:marLeft w:val="0"/>
          <w:marRight w:val="0"/>
          <w:marTop w:val="0"/>
          <w:marBottom w:val="0"/>
          <w:divBdr>
            <w:top w:val="none" w:sz="0" w:space="0" w:color="auto"/>
            <w:left w:val="none" w:sz="0" w:space="0" w:color="auto"/>
            <w:bottom w:val="none" w:sz="0" w:space="0" w:color="auto"/>
            <w:right w:val="none" w:sz="0" w:space="0" w:color="auto"/>
          </w:divBdr>
          <w:divsChild>
            <w:div w:id="1700546263">
              <w:marLeft w:val="0"/>
              <w:marRight w:val="0"/>
              <w:marTop w:val="0"/>
              <w:marBottom w:val="0"/>
              <w:divBdr>
                <w:top w:val="none" w:sz="0" w:space="0" w:color="auto"/>
                <w:left w:val="none" w:sz="0" w:space="0" w:color="auto"/>
                <w:bottom w:val="none" w:sz="0" w:space="0" w:color="auto"/>
                <w:right w:val="none" w:sz="0" w:space="0" w:color="auto"/>
              </w:divBdr>
              <w:divsChild>
                <w:div w:id="992105644">
                  <w:marLeft w:val="0"/>
                  <w:marRight w:val="0"/>
                  <w:marTop w:val="0"/>
                  <w:marBottom w:val="0"/>
                  <w:divBdr>
                    <w:top w:val="none" w:sz="0" w:space="0" w:color="auto"/>
                    <w:left w:val="none" w:sz="0" w:space="0" w:color="auto"/>
                    <w:bottom w:val="none" w:sz="0" w:space="0" w:color="auto"/>
                    <w:right w:val="none" w:sz="0" w:space="0" w:color="auto"/>
                  </w:divBdr>
                  <w:divsChild>
                    <w:div w:id="1129936539">
                      <w:marLeft w:val="0"/>
                      <w:marRight w:val="0"/>
                      <w:marTop w:val="0"/>
                      <w:marBottom w:val="0"/>
                      <w:divBdr>
                        <w:top w:val="none" w:sz="0" w:space="0" w:color="auto"/>
                        <w:left w:val="none" w:sz="0" w:space="0" w:color="auto"/>
                        <w:bottom w:val="none" w:sz="0" w:space="0" w:color="auto"/>
                        <w:right w:val="none" w:sz="0" w:space="0" w:color="auto"/>
                      </w:divBdr>
                      <w:divsChild>
                        <w:div w:id="661087918">
                          <w:marLeft w:val="0"/>
                          <w:marRight w:val="0"/>
                          <w:marTop w:val="0"/>
                          <w:marBottom w:val="0"/>
                          <w:divBdr>
                            <w:top w:val="none" w:sz="0" w:space="0" w:color="auto"/>
                            <w:left w:val="none" w:sz="0" w:space="0" w:color="auto"/>
                            <w:bottom w:val="none" w:sz="0" w:space="0" w:color="auto"/>
                            <w:right w:val="none" w:sz="0" w:space="0" w:color="auto"/>
                          </w:divBdr>
                          <w:divsChild>
                            <w:div w:id="71265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116105">
          <w:marLeft w:val="0"/>
          <w:marRight w:val="0"/>
          <w:marTop w:val="0"/>
          <w:marBottom w:val="0"/>
          <w:divBdr>
            <w:top w:val="none" w:sz="0" w:space="0" w:color="auto"/>
            <w:left w:val="none" w:sz="0" w:space="0" w:color="auto"/>
            <w:bottom w:val="none" w:sz="0" w:space="0" w:color="auto"/>
            <w:right w:val="none" w:sz="0" w:space="0" w:color="auto"/>
          </w:divBdr>
          <w:divsChild>
            <w:div w:id="1013610358">
              <w:marLeft w:val="0"/>
              <w:marRight w:val="0"/>
              <w:marTop w:val="0"/>
              <w:marBottom w:val="0"/>
              <w:divBdr>
                <w:top w:val="none" w:sz="0" w:space="0" w:color="auto"/>
                <w:left w:val="none" w:sz="0" w:space="0" w:color="auto"/>
                <w:bottom w:val="none" w:sz="0" w:space="0" w:color="auto"/>
                <w:right w:val="none" w:sz="0" w:space="0" w:color="auto"/>
              </w:divBdr>
              <w:divsChild>
                <w:div w:id="1864054212">
                  <w:marLeft w:val="0"/>
                  <w:marRight w:val="0"/>
                  <w:marTop w:val="0"/>
                  <w:marBottom w:val="0"/>
                  <w:divBdr>
                    <w:top w:val="none" w:sz="0" w:space="0" w:color="auto"/>
                    <w:left w:val="none" w:sz="0" w:space="0" w:color="auto"/>
                    <w:bottom w:val="none" w:sz="0" w:space="0" w:color="auto"/>
                    <w:right w:val="none" w:sz="0" w:space="0" w:color="auto"/>
                  </w:divBdr>
                  <w:divsChild>
                    <w:div w:id="1411544735">
                      <w:marLeft w:val="0"/>
                      <w:marRight w:val="0"/>
                      <w:marTop w:val="0"/>
                      <w:marBottom w:val="0"/>
                      <w:divBdr>
                        <w:top w:val="none" w:sz="0" w:space="0" w:color="auto"/>
                        <w:left w:val="none" w:sz="0" w:space="0" w:color="auto"/>
                        <w:bottom w:val="none" w:sz="0" w:space="0" w:color="auto"/>
                        <w:right w:val="none" w:sz="0" w:space="0" w:color="auto"/>
                      </w:divBdr>
                      <w:divsChild>
                        <w:div w:id="839127951">
                          <w:marLeft w:val="0"/>
                          <w:marRight w:val="0"/>
                          <w:marTop w:val="0"/>
                          <w:marBottom w:val="0"/>
                          <w:divBdr>
                            <w:top w:val="none" w:sz="0" w:space="0" w:color="auto"/>
                            <w:left w:val="none" w:sz="0" w:space="0" w:color="auto"/>
                            <w:bottom w:val="none" w:sz="0" w:space="0" w:color="auto"/>
                            <w:right w:val="none" w:sz="0" w:space="0" w:color="auto"/>
                          </w:divBdr>
                          <w:divsChild>
                            <w:div w:id="876963585">
                              <w:marLeft w:val="0"/>
                              <w:marRight w:val="0"/>
                              <w:marTop w:val="0"/>
                              <w:marBottom w:val="0"/>
                              <w:divBdr>
                                <w:top w:val="none" w:sz="0" w:space="0" w:color="auto"/>
                                <w:left w:val="none" w:sz="0" w:space="0" w:color="auto"/>
                                <w:bottom w:val="none" w:sz="0" w:space="0" w:color="auto"/>
                                <w:right w:val="none" w:sz="0" w:space="0" w:color="auto"/>
                              </w:divBdr>
                              <w:divsChild>
                                <w:div w:id="57574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998947">
          <w:marLeft w:val="0"/>
          <w:marRight w:val="0"/>
          <w:marTop w:val="0"/>
          <w:marBottom w:val="0"/>
          <w:divBdr>
            <w:top w:val="none" w:sz="0" w:space="0" w:color="auto"/>
            <w:left w:val="none" w:sz="0" w:space="0" w:color="auto"/>
            <w:bottom w:val="none" w:sz="0" w:space="0" w:color="auto"/>
            <w:right w:val="none" w:sz="0" w:space="0" w:color="auto"/>
          </w:divBdr>
          <w:divsChild>
            <w:div w:id="1787188182">
              <w:marLeft w:val="0"/>
              <w:marRight w:val="0"/>
              <w:marTop w:val="0"/>
              <w:marBottom w:val="0"/>
              <w:divBdr>
                <w:top w:val="none" w:sz="0" w:space="0" w:color="auto"/>
                <w:left w:val="none" w:sz="0" w:space="0" w:color="auto"/>
                <w:bottom w:val="none" w:sz="0" w:space="0" w:color="auto"/>
                <w:right w:val="none" w:sz="0" w:space="0" w:color="auto"/>
              </w:divBdr>
              <w:divsChild>
                <w:div w:id="1527256852">
                  <w:marLeft w:val="0"/>
                  <w:marRight w:val="0"/>
                  <w:marTop w:val="0"/>
                  <w:marBottom w:val="0"/>
                  <w:divBdr>
                    <w:top w:val="none" w:sz="0" w:space="0" w:color="auto"/>
                    <w:left w:val="none" w:sz="0" w:space="0" w:color="auto"/>
                    <w:bottom w:val="none" w:sz="0" w:space="0" w:color="auto"/>
                    <w:right w:val="none" w:sz="0" w:space="0" w:color="auto"/>
                  </w:divBdr>
                  <w:divsChild>
                    <w:div w:id="1245338202">
                      <w:marLeft w:val="0"/>
                      <w:marRight w:val="0"/>
                      <w:marTop w:val="0"/>
                      <w:marBottom w:val="0"/>
                      <w:divBdr>
                        <w:top w:val="none" w:sz="0" w:space="0" w:color="auto"/>
                        <w:left w:val="none" w:sz="0" w:space="0" w:color="auto"/>
                        <w:bottom w:val="none" w:sz="0" w:space="0" w:color="auto"/>
                        <w:right w:val="none" w:sz="0" w:space="0" w:color="auto"/>
                      </w:divBdr>
                      <w:divsChild>
                        <w:div w:id="1873685002">
                          <w:marLeft w:val="0"/>
                          <w:marRight w:val="0"/>
                          <w:marTop w:val="0"/>
                          <w:marBottom w:val="0"/>
                          <w:divBdr>
                            <w:top w:val="none" w:sz="0" w:space="0" w:color="auto"/>
                            <w:left w:val="none" w:sz="0" w:space="0" w:color="auto"/>
                            <w:bottom w:val="none" w:sz="0" w:space="0" w:color="auto"/>
                            <w:right w:val="none" w:sz="0" w:space="0" w:color="auto"/>
                          </w:divBdr>
                          <w:divsChild>
                            <w:div w:id="198307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936948">
          <w:marLeft w:val="0"/>
          <w:marRight w:val="0"/>
          <w:marTop w:val="0"/>
          <w:marBottom w:val="0"/>
          <w:divBdr>
            <w:top w:val="none" w:sz="0" w:space="0" w:color="auto"/>
            <w:left w:val="none" w:sz="0" w:space="0" w:color="auto"/>
            <w:bottom w:val="none" w:sz="0" w:space="0" w:color="auto"/>
            <w:right w:val="none" w:sz="0" w:space="0" w:color="auto"/>
          </w:divBdr>
          <w:divsChild>
            <w:div w:id="1783987807">
              <w:marLeft w:val="0"/>
              <w:marRight w:val="0"/>
              <w:marTop w:val="0"/>
              <w:marBottom w:val="0"/>
              <w:divBdr>
                <w:top w:val="none" w:sz="0" w:space="0" w:color="auto"/>
                <w:left w:val="none" w:sz="0" w:space="0" w:color="auto"/>
                <w:bottom w:val="none" w:sz="0" w:space="0" w:color="auto"/>
                <w:right w:val="none" w:sz="0" w:space="0" w:color="auto"/>
              </w:divBdr>
              <w:divsChild>
                <w:div w:id="1018238627">
                  <w:marLeft w:val="0"/>
                  <w:marRight w:val="0"/>
                  <w:marTop w:val="0"/>
                  <w:marBottom w:val="0"/>
                  <w:divBdr>
                    <w:top w:val="none" w:sz="0" w:space="0" w:color="auto"/>
                    <w:left w:val="none" w:sz="0" w:space="0" w:color="auto"/>
                    <w:bottom w:val="none" w:sz="0" w:space="0" w:color="auto"/>
                    <w:right w:val="none" w:sz="0" w:space="0" w:color="auto"/>
                  </w:divBdr>
                  <w:divsChild>
                    <w:div w:id="1585916215">
                      <w:marLeft w:val="0"/>
                      <w:marRight w:val="0"/>
                      <w:marTop w:val="0"/>
                      <w:marBottom w:val="0"/>
                      <w:divBdr>
                        <w:top w:val="none" w:sz="0" w:space="0" w:color="auto"/>
                        <w:left w:val="none" w:sz="0" w:space="0" w:color="auto"/>
                        <w:bottom w:val="none" w:sz="0" w:space="0" w:color="auto"/>
                        <w:right w:val="none" w:sz="0" w:space="0" w:color="auto"/>
                      </w:divBdr>
                      <w:divsChild>
                        <w:div w:id="545264147">
                          <w:marLeft w:val="0"/>
                          <w:marRight w:val="0"/>
                          <w:marTop w:val="0"/>
                          <w:marBottom w:val="0"/>
                          <w:divBdr>
                            <w:top w:val="none" w:sz="0" w:space="0" w:color="auto"/>
                            <w:left w:val="none" w:sz="0" w:space="0" w:color="auto"/>
                            <w:bottom w:val="none" w:sz="0" w:space="0" w:color="auto"/>
                            <w:right w:val="none" w:sz="0" w:space="0" w:color="auto"/>
                          </w:divBdr>
                          <w:divsChild>
                            <w:div w:id="2046636807">
                              <w:marLeft w:val="0"/>
                              <w:marRight w:val="0"/>
                              <w:marTop w:val="0"/>
                              <w:marBottom w:val="0"/>
                              <w:divBdr>
                                <w:top w:val="none" w:sz="0" w:space="0" w:color="auto"/>
                                <w:left w:val="none" w:sz="0" w:space="0" w:color="auto"/>
                                <w:bottom w:val="none" w:sz="0" w:space="0" w:color="auto"/>
                                <w:right w:val="none" w:sz="0" w:space="0" w:color="auto"/>
                              </w:divBdr>
                              <w:divsChild>
                                <w:div w:id="123149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036450">
          <w:marLeft w:val="0"/>
          <w:marRight w:val="0"/>
          <w:marTop w:val="0"/>
          <w:marBottom w:val="0"/>
          <w:divBdr>
            <w:top w:val="none" w:sz="0" w:space="0" w:color="auto"/>
            <w:left w:val="none" w:sz="0" w:space="0" w:color="auto"/>
            <w:bottom w:val="none" w:sz="0" w:space="0" w:color="auto"/>
            <w:right w:val="none" w:sz="0" w:space="0" w:color="auto"/>
          </w:divBdr>
          <w:divsChild>
            <w:div w:id="1021706949">
              <w:marLeft w:val="0"/>
              <w:marRight w:val="0"/>
              <w:marTop w:val="0"/>
              <w:marBottom w:val="0"/>
              <w:divBdr>
                <w:top w:val="none" w:sz="0" w:space="0" w:color="auto"/>
                <w:left w:val="none" w:sz="0" w:space="0" w:color="auto"/>
                <w:bottom w:val="none" w:sz="0" w:space="0" w:color="auto"/>
                <w:right w:val="none" w:sz="0" w:space="0" w:color="auto"/>
              </w:divBdr>
              <w:divsChild>
                <w:div w:id="1464730989">
                  <w:marLeft w:val="0"/>
                  <w:marRight w:val="0"/>
                  <w:marTop w:val="0"/>
                  <w:marBottom w:val="0"/>
                  <w:divBdr>
                    <w:top w:val="none" w:sz="0" w:space="0" w:color="auto"/>
                    <w:left w:val="none" w:sz="0" w:space="0" w:color="auto"/>
                    <w:bottom w:val="none" w:sz="0" w:space="0" w:color="auto"/>
                    <w:right w:val="none" w:sz="0" w:space="0" w:color="auto"/>
                  </w:divBdr>
                  <w:divsChild>
                    <w:div w:id="662126872">
                      <w:marLeft w:val="0"/>
                      <w:marRight w:val="0"/>
                      <w:marTop w:val="0"/>
                      <w:marBottom w:val="0"/>
                      <w:divBdr>
                        <w:top w:val="none" w:sz="0" w:space="0" w:color="auto"/>
                        <w:left w:val="none" w:sz="0" w:space="0" w:color="auto"/>
                        <w:bottom w:val="none" w:sz="0" w:space="0" w:color="auto"/>
                        <w:right w:val="none" w:sz="0" w:space="0" w:color="auto"/>
                      </w:divBdr>
                      <w:divsChild>
                        <w:div w:id="2101631847">
                          <w:marLeft w:val="0"/>
                          <w:marRight w:val="0"/>
                          <w:marTop w:val="0"/>
                          <w:marBottom w:val="0"/>
                          <w:divBdr>
                            <w:top w:val="none" w:sz="0" w:space="0" w:color="auto"/>
                            <w:left w:val="none" w:sz="0" w:space="0" w:color="auto"/>
                            <w:bottom w:val="none" w:sz="0" w:space="0" w:color="auto"/>
                            <w:right w:val="none" w:sz="0" w:space="0" w:color="auto"/>
                          </w:divBdr>
                          <w:divsChild>
                            <w:div w:id="7605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118572">
          <w:marLeft w:val="0"/>
          <w:marRight w:val="0"/>
          <w:marTop w:val="0"/>
          <w:marBottom w:val="0"/>
          <w:divBdr>
            <w:top w:val="none" w:sz="0" w:space="0" w:color="auto"/>
            <w:left w:val="none" w:sz="0" w:space="0" w:color="auto"/>
            <w:bottom w:val="none" w:sz="0" w:space="0" w:color="auto"/>
            <w:right w:val="none" w:sz="0" w:space="0" w:color="auto"/>
          </w:divBdr>
          <w:divsChild>
            <w:div w:id="797181283">
              <w:marLeft w:val="0"/>
              <w:marRight w:val="0"/>
              <w:marTop w:val="0"/>
              <w:marBottom w:val="0"/>
              <w:divBdr>
                <w:top w:val="none" w:sz="0" w:space="0" w:color="auto"/>
                <w:left w:val="none" w:sz="0" w:space="0" w:color="auto"/>
                <w:bottom w:val="none" w:sz="0" w:space="0" w:color="auto"/>
                <w:right w:val="none" w:sz="0" w:space="0" w:color="auto"/>
              </w:divBdr>
              <w:divsChild>
                <w:div w:id="260070931">
                  <w:marLeft w:val="0"/>
                  <w:marRight w:val="0"/>
                  <w:marTop w:val="0"/>
                  <w:marBottom w:val="0"/>
                  <w:divBdr>
                    <w:top w:val="none" w:sz="0" w:space="0" w:color="auto"/>
                    <w:left w:val="none" w:sz="0" w:space="0" w:color="auto"/>
                    <w:bottom w:val="none" w:sz="0" w:space="0" w:color="auto"/>
                    <w:right w:val="none" w:sz="0" w:space="0" w:color="auto"/>
                  </w:divBdr>
                  <w:divsChild>
                    <w:div w:id="742409004">
                      <w:marLeft w:val="0"/>
                      <w:marRight w:val="0"/>
                      <w:marTop w:val="0"/>
                      <w:marBottom w:val="0"/>
                      <w:divBdr>
                        <w:top w:val="none" w:sz="0" w:space="0" w:color="auto"/>
                        <w:left w:val="none" w:sz="0" w:space="0" w:color="auto"/>
                        <w:bottom w:val="none" w:sz="0" w:space="0" w:color="auto"/>
                        <w:right w:val="none" w:sz="0" w:space="0" w:color="auto"/>
                      </w:divBdr>
                      <w:divsChild>
                        <w:div w:id="1110468122">
                          <w:marLeft w:val="0"/>
                          <w:marRight w:val="0"/>
                          <w:marTop w:val="0"/>
                          <w:marBottom w:val="0"/>
                          <w:divBdr>
                            <w:top w:val="none" w:sz="0" w:space="0" w:color="auto"/>
                            <w:left w:val="none" w:sz="0" w:space="0" w:color="auto"/>
                            <w:bottom w:val="none" w:sz="0" w:space="0" w:color="auto"/>
                            <w:right w:val="none" w:sz="0" w:space="0" w:color="auto"/>
                          </w:divBdr>
                          <w:divsChild>
                            <w:div w:id="889801505">
                              <w:marLeft w:val="0"/>
                              <w:marRight w:val="0"/>
                              <w:marTop w:val="0"/>
                              <w:marBottom w:val="0"/>
                              <w:divBdr>
                                <w:top w:val="none" w:sz="0" w:space="0" w:color="auto"/>
                                <w:left w:val="none" w:sz="0" w:space="0" w:color="auto"/>
                                <w:bottom w:val="none" w:sz="0" w:space="0" w:color="auto"/>
                                <w:right w:val="none" w:sz="0" w:space="0" w:color="auto"/>
                              </w:divBdr>
                              <w:divsChild>
                                <w:div w:id="154208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818338">
          <w:marLeft w:val="0"/>
          <w:marRight w:val="0"/>
          <w:marTop w:val="0"/>
          <w:marBottom w:val="0"/>
          <w:divBdr>
            <w:top w:val="none" w:sz="0" w:space="0" w:color="auto"/>
            <w:left w:val="none" w:sz="0" w:space="0" w:color="auto"/>
            <w:bottom w:val="none" w:sz="0" w:space="0" w:color="auto"/>
            <w:right w:val="none" w:sz="0" w:space="0" w:color="auto"/>
          </w:divBdr>
          <w:divsChild>
            <w:div w:id="1801994161">
              <w:marLeft w:val="0"/>
              <w:marRight w:val="0"/>
              <w:marTop w:val="0"/>
              <w:marBottom w:val="0"/>
              <w:divBdr>
                <w:top w:val="none" w:sz="0" w:space="0" w:color="auto"/>
                <w:left w:val="none" w:sz="0" w:space="0" w:color="auto"/>
                <w:bottom w:val="none" w:sz="0" w:space="0" w:color="auto"/>
                <w:right w:val="none" w:sz="0" w:space="0" w:color="auto"/>
              </w:divBdr>
              <w:divsChild>
                <w:div w:id="812678696">
                  <w:marLeft w:val="0"/>
                  <w:marRight w:val="0"/>
                  <w:marTop w:val="0"/>
                  <w:marBottom w:val="0"/>
                  <w:divBdr>
                    <w:top w:val="none" w:sz="0" w:space="0" w:color="auto"/>
                    <w:left w:val="none" w:sz="0" w:space="0" w:color="auto"/>
                    <w:bottom w:val="none" w:sz="0" w:space="0" w:color="auto"/>
                    <w:right w:val="none" w:sz="0" w:space="0" w:color="auto"/>
                  </w:divBdr>
                  <w:divsChild>
                    <w:div w:id="1776363207">
                      <w:marLeft w:val="0"/>
                      <w:marRight w:val="0"/>
                      <w:marTop w:val="0"/>
                      <w:marBottom w:val="0"/>
                      <w:divBdr>
                        <w:top w:val="none" w:sz="0" w:space="0" w:color="auto"/>
                        <w:left w:val="none" w:sz="0" w:space="0" w:color="auto"/>
                        <w:bottom w:val="none" w:sz="0" w:space="0" w:color="auto"/>
                        <w:right w:val="none" w:sz="0" w:space="0" w:color="auto"/>
                      </w:divBdr>
                      <w:divsChild>
                        <w:div w:id="64188256">
                          <w:marLeft w:val="0"/>
                          <w:marRight w:val="0"/>
                          <w:marTop w:val="0"/>
                          <w:marBottom w:val="0"/>
                          <w:divBdr>
                            <w:top w:val="none" w:sz="0" w:space="0" w:color="auto"/>
                            <w:left w:val="none" w:sz="0" w:space="0" w:color="auto"/>
                            <w:bottom w:val="none" w:sz="0" w:space="0" w:color="auto"/>
                            <w:right w:val="none" w:sz="0" w:space="0" w:color="auto"/>
                          </w:divBdr>
                          <w:divsChild>
                            <w:div w:id="78986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413553">
          <w:marLeft w:val="0"/>
          <w:marRight w:val="0"/>
          <w:marTop w:val="0"/>
          <w:marBottom w:val="0"/>
          <w:divBdr>
            <w:top w:val="none" w:sz="0" w:space="0" w:color="auto"/>
            <w:left w:val="none" w:sz="0" w:space="0" w:color="auto"/>
            <w:bottom w:val="none" w:sz="0" w:space="0" w:color="auto"/>
            <w:right w:val="none" w:sz="0" w:space="0" w:color="auto"/>
          </w:divBdr>
          <w:divsChild>
            <w:div w:id="2108883933">
              <w:marLeft w:val="0"/>
              <w:marRight w:val="0"/>
              <w:marTop w:val="0"/>
              <w:marBottom w:val="0"/>
              <w:divBdr>
                <w:top w:val="none" w:sz="0" w:space="0" w:color="auto"/>
                <w:left w:val="none" w:sz="0" w:space="0" w:color="auto"/>
                <w:bottom w:val="none" w:sz="0" w:space="0" w:color="auto"/>
                <w:right w:val="none" w:sz="0" w:space="0" w:color="auto"/>
              </w:divBdr>
              <w:divsChild>
                <w:div w:id="1097216887">
                  <w:marLeft w:val="0"/>
                  <w:marRight w:val="0"/>
                  <w:marTop w:val="0"/>
                  <w:marBottom w:val="0"/>
                  <w:divBdr>
                    <w:top w:val="none" w:sz="0" w:space="0" w:color="auto"/>
                    <w:left w:val="none" w:sz="0" w:space="0" w:color="auto"/>
                    <w:bottom w:val="none" w:sz="0" w:space="0" w:color="auto"/>
                    <w:right w:val="none" w:sz="0" w:space="0" w:color="auto"/>
                  </w:divBdr>
                  <w:divsChild>
                    <w:div w:id="1149515558">
                      <w:marLeft w:val="0"/>
                      <w:marRight w:val="0"/>
                      <w:marTop w:val="0"/>
                      <w:marBottom w:val="0"/>
                      <w:divBdr>
                        <w:top w:val="none" w:sz="0" w:space="0" w:color="auto"/>
                        <w:left w:val="none" w:sz="0" w:space="0" w:color="auto"/>
                        <w:bottom w:val="none" w:sz="0" w:space="0" w:color="auto"/>
                        <w:right w:val="none" w:sz="0" w:space="0" w:color="auto"/>
                      </w:divBdr>
                      <w:divsChild>
                        <w:div w:id="126706250">
                          <w:marLeft w:val="0"/>
                          <w:marRight w:val="0"/>
                          <w:marTop w:val="0"/>
                          <w:marBottom w:val="0"/>
                          <w:divBdr>
                            <w:top w:val="none" w:sz="0" w:space="0" w:color="auto"/>
                            <w:left w:val="none" w:sz="0" w:space="0" w:color="auto"/>
                            <w:bottom w:val="none" w:sz="0" w:space="0" w:color="auto"/>
                            <w:right w:val="none" w:sz="0" w:space="0" w:color="auto"/>
                          </w:divBdr>
                          <w:divsChild>
                            <w:div w:id="996692584">
                              <w:marLeft w:val="0"/>
                              <w:marRight w:val="0"/>
                              <w:marTop w:val="0"/>
                              <w:marBottom w:val="0"/>
                              <w:divBdr>
                                <w:top w:val="none" w:sz="0" w:space="0" w:color="auto"/>
                                <w:left w:val="none" w:sz="0" w:space="0" w:color="auto"/>
                                <w:bottom w:val="none" w:sz="0" w:space="0" w:color="auto"/>
                                <w:right w:val="none" w:sz="0" w:space="0" w:color="auto"/>
                              </w:divBdr>
                              <w:divsChild>
                                <w:div w:id="7918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893075">
          <w:marLeft w:val="0"/>
          <w:marRight w:val="0"/>
          <w:marTop w:val="0"/>
          <w:marBottom w:val="0"/>
          <w:divBdr>
            <w:top w:val="none" w:sz="0" w:space="0" w:color="auto"/>
            <w:left w:val="none" w:sz="0" w:space="0" w:color="auto"/>
            <w:bottom w:val="none" w:sz="0" w:space="0" w:color="auto"/>
            <w:right w:val="none" w:sz="0" w:space="0" w:color="auto"/>
          </w:divBdr>
          <w:divsChild>
            <w:div w:id="1407069194">
              <w:marLeft w:val="0"/>
              <w:marRight w:val="0"/>
              <w:marTop w:val="0"/>
              <w:marBottom w:val="0"/>
              <w:divBdr>
                <w:top w:val="none" w:sz="0" w:space="0" w:color="auto"/>
                <w:left w:val="none" w:sz="0" w:space="0" w:color="auto"/>
                <w:bottom w:val="none" w:sz="0" w:space="0" w:color="auto"/>
                <w:right w:val="none" w:sz="0" w:space="0" w:color="auto"/>
              </w:divBdr>
              <w:divsChild>
                <w:div w:id="2071536524">
                  <w:marLeft w:val="0"/>
                  <w:marRight w:val="0"/>
                  <w:marTop w:val="0"/>
                  <w:marBottom w:val="0"/>
                  <w:divBdr>
                    <w:top w:val="none" w:sz="0" w:space="0" w:color="auto"/>
                    <w:left w:val="none" w:sz="0" w:space="0" w:color="auto"/>
                    <w:bottom w:val="none" w:sz="0" w:space="0" w:color="auto"/>
                    <w:right w:val="none" w:sz="0" w:space="0" w:color="auto"/>
                  </w:divBdr>
                  <w:divsChild>
                    <w:div w:id="1551721315">
                      <w:marLeft w:val="0"/>
                      <w:marRight w:val="0"/>
                      <w:marTop w:val="0"/>
                      <w:marBottom w:val="0"/>
                      <w:divBdr>
                        <w:top w:val="none" w:sz="0" w:space="0" w:color="auto"/>
                        <w:left w:val="none" w:sz="0" w:space="0" w:color="auto"/>
                        <w:bottom w:val="none" w:sz="0" w:space="0" w:color="auto"/>
                        <w:right w:val="none" w:sz="0" w:space="0" w:color="auto"/>
                      </w:divBdr>
                      <w:divsChild>
                        <w:div w:id="157697231">
                          <w:marLeft w:val="0"/>
                          <w:marRight w:val="0"/>
                          <w:marTop w:val="0"/>
                          <w:marBottom w:val="0"/>
                          <w:divBdr>
                            <w:top w:val="none" w:sz="0" w:space="0" w:color="auto"/>
                            <w:left w:val="none" w:sz="0" w:space="0" w:color="auto"/>
                            <w:bottom w:val="none" w:sz="0" w:space="0" w:color="auto"/>
                            <w:right w:val="none" w:sz="0" w:space="0" w:color="auto"/>
                          </w:divBdr>
                          <w:divsChild>
                            <w:div w:id="14350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577020">
          <w:marLeft w:val="0"/>
          <w:marRight w:val="0"/>
          <w:marTop w:val="0"/>
          <w:marBottom w:val="0"/>
          <w:divBdr>
            <w:top w:val="none" w:sz="0" w:space="0" w:color="auto"/>
            <w:left w:val="none" w:sz="0" w:space="0" w:color="auto"/>
            <w:bottom w:val="none" w:sz="0" w:space="0" w:color="auto"/>
            <w:right w:val="none" w:sz="0" w:space="0" w:color="auto"/>
          </w:divBdr>
          <w:divsChild>
            <w:div w:id="1018894029">
              <w:marLeft w:val="0"/>
              <w:marRight w:val="0"/>
              <w:marTop w:val="0"/>
              <w:marBottom w:val="0"/>
              <w:divBdr>
                <w:top w:val="none" w:sz="0" w:space="0" w:color="auto"/>
                <w:left w:val="none" w:sz="0" w:space="0" w:color="auto"/>
                <w:bottom w:val="none" w:sz="0" w:space="0" w:color="auto"/>
                <w:right w:val="none" w:sz="0" w:space="0" w:color="auto"/>
              </w:divBdr>
              <w:divsChild>
                <w:div w:id="526913849">
                  <w:marLeft w:val="0"/>
                  <w:marRight w:val="0"/>
                  <w:marTop w:val="0"/>
                  <w:marBottom w:val="0"/>
                  <w:divBdr>
                    <w:top w:val="none" w:sz="0" w:space="0" w:color="auto"/>
                    <w:left w:val="none" w:sz="0" w:space="0" w:color="auto"/>
                    <w:bottom w:val="none" w:sz="0" w:space="0" w:color="auto"/>
                    <w:right w:val="none" w:sz="0" w:space="0" w:color="auto"/>
                  </w:divBdr>
                  <w:divsChild>
                    <w:div w:id="806244652">
                      <w:marLeft w:val="0"/>
                      <w:marRight w:val="0"/>
                      <w:marTop w:val="0"/>
                      <w:marBottom w:val="0"/>
                      <w:divBdr>
                        <w:top w:val="none" w:sz="0" w:space="0" w:color="auto"/>
                        <w:left w:val="none" w:sz="0" w:space="0" w:color="auto"/>
                        <w:bottom w:val="none" w:sz="0" w:space="0" w:color="auto"/>
                        <w:right w:val="none" w:sz="0" w:space="0" w:color="auto"/>
                      </w:divBdr>
                      <w:divsChild>
                        <w:div w:id="1904556317">
                          <w:marLeft w:val="0"/>
                          <w:marRight w:val="0"/>
                          <w:marTop w:val="0"/>
                          <w:marBottom w:val="0"/>
                          <w:divBdr>
                            <w:top w:val="none" w:sz="0" w:space="0" w:color="auto"/>
                            <w:left w:val="none" w:sz="0" w:space="0" w:color="auto"/>
                            <w:bottom w:val="none" w:sz="0" w:space="0" w:color="auto"/>
                            <w:right w:val="none" w:sz="0" w:space="0" w:color="auto"/>
                          </w:divBdr>
                          <w:divsChild>
                            <w:div w:id="1684168263">
                              <w:marLeft w:val="0"/>
                              <w:marRight w:val="0"/>
                              <w:marTop w:val="0"/>
                              <w:marBottom w:val="0"/>
                              <w:divBdr>
                                <w:top w:val="none" w:sz="0" w:space="0" w:color="auto"/>
                                <w:left w:val="none" w:sz="0" w:space="0" w:color="auto"/>
                                <w:bottom w:val="none" w:sz="0" w:space="0" w:color="auto"/>
                                <w:right w:val="none" w:sz="0" w:space="0" w:color="auto"/>
                              </w:divBdr>
                              <w:divsChild>
                                <w:div w:id="23305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930714">
          <w:marLeft w:val="0"/>
          <w:marRight w:val="0"/>
          <w:marTop w:val="0"/>
          <w:marBottom w:val="0"/>
          <w:divBdr>
            <w:top w:val="none" w:sz="0" w:space="0" w:color="auto"/>
            <w:left w:val="none" w:sz="0" w:space="0" w:color="auto"/>
            <w:bottom w:val="none" w:sz="0" w:space="0" w:color="auto"/>
            <w:right w:val="none" w:sz="0" w:space="0" w:color="auto"/>
          </w:divBdr>
          <w:divsChild>
            <w:div w:id="1630043174">
              <w:marLeft w:val="0"/>
              <w:marRight w:val="0"/>
              <w:marTop w:val="0"/>
              <w:marBottom w:val="0"/>
              <w:divBdr>
                <w:top w:val="none" w:sz="0" w:space="0" w:color="auto"/>
                <w:left w:val="none" w:sz="0" w:space="0" w:color="auto"/>
                <w:bottom w:val="none" w:sz="0" w:space="0" w:color="auto"/>
                <w:right w:val="none" w:sz="0" w:space="0" w:color="auto"/>
              </w:divBdr>
              <w:divsChild>
                <w:div w:id="973679892">
                  <w:marLeft w:val="0"/>
                  <w:marRight w:val="0"/>
                  <w:marTop w:val="0"/>
                  <w:marBottom w:val="0"/>
                  <w:divBdr>
                    <w:top w:val="none" w:sz="0" w:space="0" w:color="auto"/>
                    <w:left w:val="none" w:sz="0" w:space="0" w:color="auto"/>
                    <w:bottom w:val="none" w:sz="0" w:space="0" w:color="auto"/>
                    <w:right w:val="none" w:sz="0" w:space="0" w:color="auto"/>
                  </w:divBdr>
                  <w:divsChild>
                    <w:div w:id="1870341234">
                      <w:marLeft w:val="0"/>
                      <w:marRight w:val="0"/>
                      <w:marTop w:val="0"/>
                      <w:marBottom w:val="0"/>
                      <w:divBdr>
                        <w:top w:val="none" w:sz="0" w:space="0" w:color="auto"/>
                        <w:left w:val="none" w:sz="0" w:space="0" w:color="auto"/>
                        <w:bottom w:val="none" w:sz="0" w:space="0" w:color="auto"/>
                        <w:right w:val="none" w:sz="0" w:space="0" w:color="auto"/>
                      </w:divBdr>
                      <w:divsChild>
                        <w:div w:id="431708112">
                          <w:marLeft w:val="0"/>
                          <w:marRight w:val="0"/>
                          <w:marTop w:val="0"/>
                          <w:marBottom w:val="0"/>
                          <w:divBdr>
                            <w:top w:val="none" w:sz="0" w:space="0" w:color="auto"/>
                            <w:left w:val="none" w:sz="0" w:space="0" w:color="auto"/>
                            <w:bottom w:val="none" w:sz="0" w:space="0" w:color="auto"/>
                            <w:right w:val="none" w:sz="0" w:space="0" w:color="auto"/>
                          </w:divBdr>
                          <w:divsChild>
                            <w:div w:id="157045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15175">
          <w:marLeft w:val="0"/>
          <w:marRight w:val="0"/>
          <w:marTop w:val="0"/>
          <w:marBottom w:val="0"/>
          <w:divBdr>
            <w:top w:val="none" w:sz="0" w:space="0" w:color="auto"/>
            <w:left w:val="none" w:sz="0" w:space="0" w:color="auto"/>
            <w:bottom w:val="none" w:sz="0" w:space="0" w:color="auto"/>
            <w:right w:val="none" w:sz="0" w:space="0" w:color="auto"/>
          </w:divBdr>
          <w:divsChild>
            <w:div w:id="1346440904">
              <w:marLeft w:val="0"/>
              <w:marRight w:val="0"/>
              <w:marTop w:val="0"/>
              <w:marBottom w:val="0"/>
              <w:divBdr>
                <w:top w:val="none" w:sz="0" w:space="0" w:color="auto"/>
                <w:left w:val="none" w:sz="0" w:space="0" w:color="auto"/>
                <w:bottom w:val="none" w:sz="0" w:space="0" w:color="auto"/>
                <w:right w:val="none" w:sz="0" w:space="0" w:color="auto"/>
              </w:divBdr>
              <w:divsChild>
                <w:div w:id="1795555597">
                  <w:marLeft w:val="0"/>
                  <w:marRight w:val="0"/>
                  <w:marTop w:val="0"/>
                  <w:marBottom w:val="0"/>
                  <w:divBdr>
                    <w:top w:val="none" w:sz="0" w:space="0" w:color="auto"/>
                    <w:left w:val="none" w:sz="0" w:space="0" w:color="auto"/>
                    <w:bottom w:val="none" w:sz="0" w:space="0" w:color="auto"/>
                    <w:right w:val="none" w:sz="0" w:space="0" w:color="auto"/>
                  </w:divBdr>
                  <w:divsChild>
                    <w:div w:id="848061900">
                      <w:marLeft w:val="0"/>
                      <w:marRight w:val="0"/>
                      <w:marTop w:val="0"/>
                      <w:marBottom w:val="0"/>
                      <w:divBdr>
                        <w:top w:val="none" w:sz="0" w:space="0" w:color="auto"/>
                        <w:left w:val="none" w:sz="0" w:space="0" w:color="auto"/>
                        <w:bottom w:val="none" w:sz="0" w:space="0" w:color="auto"/>
                        <w:right w:val="none" w:sz="0" w:space="0" w:color="auto"/>
                      </w:divBdr>
                      <w:divsChild>
                        <w:div w:id="1487287321">
                          <w:marLeft w:val="0"/>
                          <w:marRight w:val="0"/>
                          <w:marTop w:val="0"/>
                          <w:marBottom w:val="0"/>
                          <w:divBdr>
                            <w:top w:val="none" w:sz="0" w:space="0" w:color="auto"/>
                            <w:left w:val="none" w:sz="0" w:space="0" w:color="auto"/>
                            <w:bottom w:val="none" w:sz="0" w:space="0" w:color="auto"/>
                            <w:right w:val="none" w:sz="0" w:space="0" w:color="auto"/>
                          </w:divBdr>
                          <w:divsChild>
                            <w:div w:id="1213466406">
                              <w:marLeft w:val="0"/>
                              <w:marRight w:val="0"/>
                              <w:marTop w:val="0"/>
                              <w:marBottom w:val="0"/>
                              <w:divBdr>
                                <w:top w:val="none" w:sz="0" w:space="0" w:color="auto"/>
                                <w:left w:val="none" w:sz="0" w:space="0" w:color="auto"/>
                                <w:bottom w:val="none" w:sz="0" w:space="0" w:color="auto"/>
                                <w:right w:val="none" w:sz="0" w:space="0" w:color="auto"/>
                              </w:divBdr>
                              <w:divsChild>
                                <w:div w:id="12693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300113">
          <w:marLeft w:val="0"/>
          <w:marRight w:val="0"/>
          <w:marTop w:val="0"/>
          <w:marBottom w:val="0"/>
          <w:divBdr>
            <w:top w:val="none" w:sz="0" w:space="0" w:color="auto"/>
            <w:left w:val="none" w:sz="0" w:space="0" w:color="auto"/>
            <w:bottom w:val="none" w:sz="0" w:space="0" w:color="auto"/>
            <w:right w:val="none" w:sz="0" w:space="0" w:color="auto"/>
          </w:divBdr>
          <w:divsChild>
            <w:div w:id="835152913">
              <w:marLeft w:val="0"/>
              <w:marRight w:val="0"/>
              <w:marTop w:val="0"/>
              <w:marBottom w:val="0"/>
              <w:divBdr>
                <w:top w:val="none" w:sz="0" w:space="0" w:color="auto"/>
                <w:left w:val="none" w:sz="0" w:space="0" w:color="auto"/>
                <w:bottom w:val="none" w:sz="0" w:space="0" w:color="auto"/>
                <w:right w:val="none" w:sz="0" w:space="0" w:color="auto"/>
              </w:divBdr>
              <w:divsChild>
                <w:div w:id="1429496790">
                  <w:marLeft w:val="0"/>
                  <w:marRight w:val="0"/>
                  <w:marTop w:val="0"/>
                  <w:marBottom w:val="0"/>
                  <w:divBdr>
                    <w:top w:val="none" w:sz="0" w:space="0" w:color="auto"/>
                    <w:left w:val="none" w:sz="0" w:space="0" w:color="auto"/>
                    <w:bottom w:val="none" w:sz="0" w:space="0" w:color="auto"/>
                    <w:right w:val="none" w:sz="0" w:space="0" w:color="auto"/>
                  </w:divBdr>
                  <w:divsChild>
                    <w:div w:id="866410378">
                      <w:marLeft w:val="0"/>
                      <w:marRight w:val="0"/>
                      <w:marTop w:val="0"/>
                      <w:marBottom w:val="0"/>
                      <w:divBdr>
                        <w:top w:val="none" w:sz="0" w:space="0" w:color="auto"/>
                        <w:left w:val="none" w:sz="0" w:space="0" w:color="auto"/>
                        <w:bottom w:val="none" w:sz="0" w:space="0" w:color="auto"/>
                        <w:right w:val="none" w:sz="0" w:space="0" w:color="auto"/>
                      </w:divBdr>
                      <w:divsChild>
                        <w:div w:id="155732742">
                          <w:marLeft w:val="0"/>
                          <w:marRight w:val="0"/>
                          <w:marTop w:val="0"/>
                          <w:marBottom w:val="0"/>
                          <w:divBdr>
                            <w:top w:val="none" w:sz="0" w:space="0" w:color="auto"/>
                            <w:left w:val="none" w:sz="0" w:space="0" w:color="auto"/>
                            <w:bottom w:val="none" w:sz="0" w:space="0" w:color="auto"/>
                            <w:right w:val="none" w:sz="0" w:space="0" w:color="auto"/>
                          </w:divBdr>
                          <w:divsChild>
                            <w:div w:id="16019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136085">
          <w:marLeft w:val="0"/>
          <w:marRight w:val="0"/>
          <w:marTop w:val="0"/>
          <w:marBottom w:val="0"/>
          <w:divBdr>
            <w:top w:val="none" w:sz="0" w:space="0" w:color="auto"/>
            <w:left w:val="none" w:sz="0" w:space="0" w:color="auto"/>
            <w:bottom w:val="none" w:sz="0" w:space="0" w:color="auto"/>
            <w:right w:val="none" w:sz="0" w:space="0" w:color="auto"/>
          </w:divBdr>
          <w:divsChild>
            <w:div w:id="1752196550">
              <w:marLeft w:val="0"/>
              <w:marRight w:val="0"/>
              <w:marTop w:val="0"/>
              <w:marBottom w:val="0"/>
              <w:divBdr>
                <w:top w:val="none" w:sz="0" w:space="0" w:color="auto"/>
                <w:left w:val="none" w:sz="0" w:space="0" w:color="auto"/>
                <w:bottom w:val="none" w:sz="0" w:space="0" w:color="auto"/>
                <w:right w:val="none" w:sz="0" w:space="0" w:color="auto"/>
              </w:divBdr>
              <w:divsChild>
                <w:div w:id="595140996">
                  <w:marLeft w:val="0"/>
                  <w:marRight w:val="0"/>
                  <w:marTop w:val="0"/>
                  <w:marBottom w:val="0"/>
                  <w:divBdr>
                    <w:top w:val="none" w:sz="0" w:space="0" w:color="auto"/>
                    <w:left w:val="none" w:sz="0" w:space="0" w:color="auto"/>
                    <w:bottom w:val="none" w:sz="0" w:space="0" w:color="auto"/>
                    <w:right w:val="none" w:sz="0" w:space="0" w:color="auto"/>
                  </w:divBdr>
                  <w:divsChild>
                    <w:div w:id="1620917146">
                      <w:marLeft w:val="0"/>
                      <w:marRight w:val="0"/>
                      <w:marTop w:val="0"/>
                      <w:marBottom w:val="0"/>
                      <w:divBdr>
                        <w:top w:val="none" w:sz="0" w:space="0" w:color="auto"/>
                        <w:left w:val="none" w:sz="0" w:space="0" w:color="auto"/>
                        <w:bottom w:val="none" w:sz="0" w:space="0" w:color="auto"/>
                        <w:right w:val="none" w:sz="0" w:space="0" w:color="auto"/>
                      </w:divBdr>
                      <w:divsChild>
                        <w:div w:id="1782145797">
                          <w:marLeft w:val="0"/>
                          <w:marRight w:val="0"/>
                          <w:marTop w:val="0"/>
                          <w:marBottom w:val="0"/>
                          <w:divBdr>
                            <w:top w:val="none" w:sz="0" w:space="0" w:color="auto"/>
                            <w:left w:val="none" w:sz="0" w:space="0" w:color="auto"/>
                            <w:bottom w:val="none" w:sz="0" w:space="0" w:color="auto"/>
                            <w:right w:val="none" w:sz="0" w:space="0" w:color="auto"/>
                          </w:divBdr>
                          <w:divsChild>
                            <w:div w:id="1129788179">
                              <w:marLeft w:val="0"/>
                              <w:marRight w:val="0"/>
                              <w:marTop w:val="0"/>
                              <w:marBottom w:val="0"/>
                              <w:divBdr>
                                <w:top w:val="none" w:sz="0" w:space="0" w:color="auto"/>
                                <w:left w:val="none" w:sz="0" w:space="0" w:color="auto"/>
                                <w:bottom w:val="none" w:sz="0" w:space="0" w:color="auto"/>
                                <w:right w:val="none" w:sz="0" w:space="0" w:color="auto"/>
                              </w:divBdr>
                              <w:divsChild>
                                <w:div w:id="60969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058815">
          <w:marLeft w:val="0"/>
          <w:marRight w:val="0"/>
          <w:marTop w:val="0"/>
          <w:marBottom w:val="0"/>
          <w:divBdr>
            <w:top w:val="none" w:sz="0" w:space="0" w:color="auto"/>
            <w:left w:val="none" w:sz="0" w:space="0" w:color="auto"/>
            <w:bottom w:val="none" w:sz="0" w:space="0" w:color="auto"/>
            <w:right w:val="none" w:sz="0" w:space="0" w:color="auto"/>
          </w:divBdr>
          <w:divsChild>
            <w:div w:id="1925411033">
              <w:marLeft w:val="0"/>
              <w:marRight w:val="0"/>
              <w:marTop w:val="0"/>
              <w:marBottom w:val="0"/>
              <w:divBdr>
                <w:top w:val="none" w:sz="0" w:space="0" w:color="auto"/>
                <w:left w:val="none" w:sz="0" w:space="0" w:color="auto"/>
                <w:bottom w:val="none" w:sz="0" w:space="0" w:color="auto"/>
                <w:right w:val="none" w:sz="0" w:space="0" w:color="auto"/>
              </w:divBdr>
              <w:divsChild>
                <w:div w:id="482048618">
                  <w:marLeft w:val="0"/>
                  <w:marRight w:val="0"/>
                  <w:marTop w:val="0"/>
                  <w:marBottom w:val="0"/>
                  <w:divBdr>
                    <w:top w:val="none" w:sz="0" w:space="0" w:color="auto"/>
                    <w:left w:val="none" w:sz="0" w:space="0" w:color="auto"/>
                    <w:bottom w:val="none" w:sz="0" w:space="0" w:color="auto"/>
                    <w:right w:val="none" w:sz="0" w:space="0" w:color="auto"/>
                  </w:divBdr>
                  <w:divsChild>
                    <w:div w:id="1959606613">
                      <w:marLeft w:val="0"/>
                      <w:marRight w:val="0"/>
                      <w:marTop w:val="0"/>
                      <w:marBottom w:val="0"/>
                      <w:divBdr>
                        <w:top w:val="none" w:sz="0" w:space="0" w:color="auto"/>
                        <w:left w:val="none" w:sz="0" w:space="0" w:color="auto"/>
                        <w:bottom w:val="none" w:sz="0" w:space="0" w:color="auto"/>
                        <w:right w:val="none" w:sz="0" w:space="0" w:color="auto"/>
                      </w:divBdr>
                      <w:divsChild>
                        <w:div w:id="1703282681">
                          <w:marLeft w:val="0"/>
                          <w:marRight w:val="0"/>
                          <w:marTop w:val="0"/>
                          <w:marBottom w:val="0"/>
                          <w:divBdr>
                            <w:top w:val="none" w:sz="0" w:space="0" w:color="auto"/>
                            <w:left w:val="none" w:sz="0" w:space="0" w:color="auto"/>
                            <w:bottom w:val="none" w:sz="0" w:space="0" w:color="auto"/>
                            <w:right w:val="none" w:sz="0" w:space="0" w:color="auto"/>
                          </w:divBdr>
                          <w:divsChild>
                            <w:div w:id="1518348607">
                              <w:marLeft w:val="0"/>
                              <w:marRight w:val="0"/>
                              <w:marTop w:val="0"/>
                              <w:marBottom w:val="0"/>
                              <w:divBdr>
                                <w:top w:val="none" w:sz="0" w:space="0" w:color="auto"/>
                                <w:left w:val="none" w:sz="0" w:space="0" w:color="auto"/>
                                <w:bottom w:val="none" w:sz="0" w:space="0" w:color="auto"/>
                                <w:right w:val="none" w:sz="0" w:space="0" w:color="auto"/>
                              </w:divBdr>
                              <w:divsChild>
                                <w:div w:id="1041826228">
                                  <w:marLeft w:val="0"/>
                                  <w:marRight w:val="0"/>
                                  <w:marTop w:val="0"/>
                                  <w:marBottom w:val="0"/>
                                  <w:divBdr>
                                    <w:top w:val="none" w:sz="0" w:space="0" w:color="auto"/>
                                    <w:left w:val="none" w:sz="0" w:space="0" w:color="auto"/>
                                    <w:bottom w:val="none" w:sz="0" w:space="0" w:color="auto"/>
                                    <w:right w:val="none" w:sz="0" w:space="0" w:color="auto"/>
                                  </w:divBdr>
                                  <w:divsChild>
                                    <w:div w:id="55405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8082694">
          <w:marLeft w:val="0"/>
          <w:marRight w:val="0"/>
          <w:marTop w:val="0"/>
          <w:marBottom w:val="0"/>
          <w:divBdr>
            <w:top w:val="none" w:sz="0" w:space="0" w:color="auto"/>
            <w:left w:val="none" w:sz="0" w:space="0" w:color="auto"/>
            <w:bottom w:val="none" w:sz="0" w:space="0" w:color="auto"/>
            <w:right w:val="none" w:sz="0" w:space="0" w:color="auto"/>
          </w:divBdr>
          <w:divsChild>
            <w:div w:id="2037461683">
              <w:marLeft w:val="0"/>
              <w:marRight w:val="0"/>
              <w:marTop w:val="0"/>
              <w:marBottom w:val="0"/>
              <w:divBdr>
                <w:top w:val="none" w:sz="0" w:space="0" w:color="auto"/>
                <w:left w:val="none" w:sz="0" w:space="0" w:color="auto"/>
                <w:bottom w:val="none" w:sz="0" w:space="0" w:color="auto"/>
                <w:right w:val="none" w:sz="0" w:space="0" w:color="auto"/>
              </w:divBdr>
              <w:divsChild>
                <w:div w:id="924609283">
                  <w:marLeft w:val="0"/>
                  <w:marRight w:val="0"/>
                  <w:marTop w:val="0"/>
                  <w:marBottom w:val="0"/>
                  <w:divBdr>
                    <w:top w:val="none" w:sz="0" w:space="0" w:color="auto"/>
                    <w:left w:val="none" w:sz="0" w:space="0" w:color="auto"/>
                    <w:bottom w:val="none" w:sz="0" w:space="0" w:color="auto"/>
                    <w:right w:val="none" w:sz="0" w:space="0" w:color="auto"/>
                  </w:divBdr>
                  <w:divsChild>
                    <w:div w:id="1113552699">
                      <w:marLeft w:val="0"/>
                      <w:marRight w:val="0"/>
                      <w:marTop w:val="0"/>
                      <w:marBottom w:val="0"/>
                      <w:divBdr>
                        <w:top w:val="none" w:sz="0" w:space="0" w:color="auto"/>
                        <w:left w:val="none" w:sz="0" w:space="0" w:color="auto"/>
                        <w:bottom w:val="none" w:sz="0" w:space="0" w:color="auto"/>
                        <w:right w:val="none" w:sz="0" w:space="0" w:color="auto"/>
                      </w:divBdr>
                      <w:divsChild>
                        <w:div w:id="2065331607">
                          <w:marLeft w:val="0"/>
                          <w:marRight w:val="0"/>
                          <w:marTop w:val="0"/>
                          <w:marBottom w:val="0"/>
                          <w:divBdr>
                            <w:top w:val="none" w:sz="0" w:space="0" w:color="auto"/>
                            <w:left w:val="none" w:sz="0" w:space="0" w:color="auto"/>
                            <w:bottom w:val="none" w:sz="0" w:space="0" w:color="auto"/>
                            <w:right w:val="none" w:sz="0" w:space="0" w:color="auto"/>
                          </w:divBdr>
                          <w:divsChild>
                            <w:div w:id="1861355053">
                              <w:marLeft w:val="0"/>
                              <w:marRight w:val="0"/>
                              <w:marTop w:val="0"/>
                              <w:marBottom w:val="0"/>
                              <w:divBdr>
                                <w:top w:val="none" w:sz="0" w:space="0" w:color="auto"/>
                                <w:left w:val="none" w:sz="0" w:space="0" w:color="auto"/>
                                <w:bottom w:val="none" w:sz="0" w:space="0" w:color="auto"/>
                                <w:right w:val="none" w:sz="0" w:space="0" w:color="auto"/>
                              </w:divBdr>
                              <w:divsChild>
                                <w:div w:id="80485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711656">
          <w:marLeft w:val="0"/>
          <w:marRight w:val="0"/>
          <w:marTop w:val="0"/>
          <w:marBottom w:val="0"/>
          <w:divBdr>
            <w:top w:val="none" w:sz="0" w:space="0" w:color="auto"/>
            <w:left w:val="none" w:sz="0" w:space="0" w:color="auto"/>
            <w:bottom w:val="none" w:sz="0" w:space="0" w:color="auto"/>
            <w:right w:val="none" w:sz="0" w:space="0" w:color="auto"/>
          </w:divBdr>
          <w:divsChild>
            <w:div w:id="197285340">
              <w:marLeft w:val="0"/>
              <w:marRight w:val="0"/>
              <w:marTop w:val="0"/>
              <w:marBottom w:val="0"/>
              <w:divBdr>
                <w:top w:val="none" w:sz="0" w:space="0" w:color="auto"/>
                <w:left w:val="none" w:sz="0" w:space="0" w:color="auto"/>
                <w:bottom w:val="none" w:sz="0" w:space="0" w:color="auto"/>
                <w:right w:val="none" w:sz="0" w:space="0" w:color="auto"/>
              </w:divBdr>
              <w:divsChild>
                <w:div w:id="1832407663">
                  <w:marLeft w:val="0"/>
                  <w:marRight w:val="0"/>
                  <w:marTop w:val="0"/>
                  <w:marBottom w:val="0"/>
                  <w:divBdr>
                    <w:top w:val="none" w:sz="0" w:space="0" w:color="auto"/>
                    <w:left w:val="none" w:sz="0" w:space="0" w:color="auto"/>
                    <w:bottom w:val="none" w:sz="0" w:space="0" w:color="auto"/>
                    <w:right w:val="none" w:sz="0" w:space="0" w:color="auto"/>
                  </w:divBdr>
                  <w:divsChild>
                    <w:div w:id="1656449741">
                      <w:marLeft w:val="0"/>
                      <w:marRight w:val="0"/>
                      <w:marTop w:val="0"/>
                      <w:marBottom w:val="0"/>
                      <w:divBdr>
                        <w:top w:val="none" w:sz="0" w:space="0" w:color="auto"/>
                        <w:left w:val="none" w:sz="0" w:space="0" w:color="auto"/>
                        <w:bottom w:val="none" w:sz="0" w:space="0" w:color="auto"/>
                        <w:right w:val="none" w:sz="0" w:space="0" w:color="auto"/>
                      </w:divBdr>
                      <w:divsChild>
                        <w:div w:id="1754736899">
                          <w:marLeft w:val="0"/>
                          <w:marRight w:val="0"/>
                          <w:marTop w:val="0"/>
                          <w:marBottom w:val="0"/>
                          <w:divBdr>
                            <w:top w:val="none" w:sz="0" w:space="0" w:color="auto"/>
                            <w:left w:val="none" w:sz="0" w:space="0" w:color="auto"/>
                            <w:bottom w:val="none" w:sz="0" w:space="0" w:color="auto"/>
                            <w:right w:val="none" w:sz="0" w:space="0" w:color="auto"/>
                          </w:divBdr>
                          <w:divsChild>
                            <w:div w:id="1717198187">
                              <w:marLeft w:val="0"/>
                              <w:marRight w:val="0"/>
                              <w:marTop w:val="0"/>
                              <w:marBottom w:val="0"/>
                              <w:divBdr>
                                <w:top w:val="none" w:sz="0" w:space="0" w:color="auto"/>
                                <w:left w:val="none" w:sz="0" w:space="0" w:color="auto"/>
                                <w:bottom w:val="none" w:sz="0" w:space="0" w:color="auto"/>
                                <w:right w:val="none" w:sz="0" w:space="0" w:color="auto"/>
                              </w:divBdr>
                              <w:divsChild>
                                <w:div w:id="1187479075">
                                  <w:marLeft w:val="0"/>
                                  <w:marRight w:val="0"/>
                                  <w:marTop w:val="0"/>
                                  <w:marBottom w:val="0"/>
                                  <w:divBdr>
                                    <w:top w:val="none" w:sz="0" w:space="0" w:color="auto"/>
                                    <w:left w:val="none" w:sz="0" w:space="0" w:color="auto"/>
                                    <w:bottom w:val="none" w:sz="0" w:space="0" w:color="auto"/>
                                    <w:right w:val="none" w:sz="0" w:space="0" w:color="auto"/>
                                  </w:divBdr>
                                  <w:divsChild>
                                    <w:div w:id="414547241">
                                      <w:marLeft w:val="0"/>
                                      <w:marRight w:val="0"/>
                                      <w:marTop w:val="0"/>
                                      <w:marBottom w:val="0"/>
                                      <w:divBdr>
                                        <w:top w:val="none" w:sz="0" w:space="0" w:color="auto"/>
                                        <w:left w:val="none" w:sz="0" w:space="0" w:color="auto"/>
                                        <w:bottom w:val="none" w:sz="0" w:space="0" w:color="auto"/>
                                        <w:right w:val="none" w:sz="0" w:space="0" w:color="auto"/>
                                      </w:divBdr>
                                    </w:div>
                                  </w:divsChild>
                                </w:div>
                                <w:div w:id="1670250885">
                                  <w:marLeft w:val="0"/>
                                  <w:marRight w:val="0"/>
                                  <w:marTop w:val="0"/>
                                  <w:marBottom w:val="0"/>
                                  <w:divBdr>
                                    <w:top w:val="none" w:sz="0" w:space="0" w:color="auto"/>
                                    <w:left w:val="none" w:sz="0" w:space="0" w:color="auto"/>
                                    <w:bottom w:val="none" w:sz="0" w:space="0" w:color="auto"/>
                                    <w:right w:val="none" w:sz="0" w:space="0" w:color="auto"/>
                                  </w:divBdr>
                                  <w:divsChild>
                                    <w:div w:id="8522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4293019">
          <w:marLeft w:val="0"/>
          <w:marRight w:val="0"/>
          <w:marTop w:val="0"/>
          <w:marBottom w:val="0"/>
          <w:divBdr>
            <w:top w:val="none" w:sz="0" w:space="0" w:color="auto"/>
            <w:left w:val="none" w:sz="0" w:space="0" w:color="auto"/>
            <w:bottom w:val="none" w:sz="0" w:space="0" w:color="auto"/>
            <w:right w:val="none" w:sz="0" w:space="0" w:color="auto"/>
          </w:divBdr>
          <w:divsChild>
            <w:div w:id="1499731205">
              <w:marLeft w:val="0"/>
              <w:marRight w:val="0"/>
              <w:marTop w:val="0"/>
              <w:marBottom w:val="0"/>
              <w:divBdr>
                <w:top w:val="none" w:sz="0" w:space="0" w:color="auto"/>
                <w:left w:val="none" w:sz="0" w:space="0" w:color="auto"/>
                <w:bottom w:val="none" w:sz="0" w:space="0" w:color="auto"/>
                <w:right w:val="none" w:sz="0" w:space="0" w:color="auto"/>
              </w:divBdr>
              <w:divsChild>
                <w:div w:id="62681612">
                  <w:marLeft w:val="0"/>
                  <w:marRight w:val="0"/>
                  <w:marTop w:val="0"/>
                  <w:marBottom w:val="0"/>
                  <w:divBdr>
                    <w:top w:val="none" w:sz="0" w:space="0" w:color="auto"/>
                    <w:left w:val="none" w:sz="0" w:space="0" w:color="auto"/>
                    <w:bottom w:val="none" w:sz="0" w:space="0" w:color="auto"/>
                    <w:right w:val="none" w:sz="0" w:space="0" w:color="auto"/>
                  </w:divBdr>
                  <w:divsChild>
                    <w:div w:id="6913206">
                      <w:marLeft w:val="0"/>
                      <w:marRight w:val="0"/>
                      <w:marTop w:val="0"/>
                      <w:marBottom w:val="0"/>
                      <w:divBdr>
                        <w:top w:val="none" w:sz="0" w:space="0" w:color="auto"/>
                        <w:left w:val="none" w:sz="0" w:space="0" w:color="auto"/>
                        <w:bottom w:val="none" w:sz="0" w:space="0" w:color="auto"/>
                        <w:right w:val="none" w:sz="0" w:space="0" w:color="auto"/>
                      </w:divBdr>
                      <w:divsChild>
                        <w:div w:id="226112475">
                          <w:marLeft w:val="0"/>
                          <w:marRight w:val="0"/>
                          <w:marTop w:val="0"/>
                          <w:marBottom w:val="0"/>
                          <w:divBdr>
                            <w:top w:val="none" w:sz="0" w:space="0" w:color="auto"/>
                            <w:left w:val="none" w:sz="0" w:space="0" w:color="auto"/>
                            <w:bottom w:val="none" w:sz="0" w:space="0" w:color="auto"/>
                            <w:right w:val="none" w:sz="0" w:space="0" w:color="auto"/>
                          </w:divBdr>
                          <w:divsChild>
                            <w:div w:id="1873763778">
                              <w:marLeft w:val="0"/>
                              <w:marRight w:val="0"/>
                              <w:marTop w:val="0"/>
                              <w:marBottom w:val="0"/>
                              <w:divBdr>
                                <w:top w:val="none" w:sz="0" w:space="0" w:color="auto"/>
                                <w:left w:val="none" w:sz="0" w:space="0" w:color="auto"/>
                                <w:bottom w:val="none" w:sz="0" w:space="0" w:color="auto"/>
                                <w:right w:val="none" w:sz="0" w:space="0" w:color="auto"/>
                              </w:divBdr>
                              <w:divsChild>
                                <w:div w:id="36984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287119">
          <w:marLeft w:val="0"/>
          <w:marRight w:val="0"/>
          <w:marTop w:val="0"/>
          <w:marBottom w:val="0"/>
          <w:divBdr>
            <w:top w:val="none" w:sz="0" w:space="0" w:color="auto"/>
            <w:left w:val="none" w:sz="0" w:space="0" w:color="auto"/>
            <w:bottom w:val="none" w:sz="0" w:space="0" w:color="auto"/>
            <w:right w:val="none" w:sz="0" w:space="0" w:color="auto"/>
          </w:divBdr>
          <w:divsChild>
            <w:div w:id="360590521">
              <w:marLeft w:val="0"/>
              <w:marRight w:val="0"/>
              <w:marTop w:val="0"/>
              <w:marBottom w:val="0"/>
              <w:divBdr>
                <w:top w:val="none" w:sz="0" w:space="0" w:color="auto"/>
                <w:left w:val="none" w:sz="0" w:space="0" w:color="auto"/>
                <w:bottom w:val="none" w:sz="0" w:space="0" w:color="auto"/>
                <w:right w:val="none" w:sz="0" w:space="0" w:color="auto"/>
              </w:divBdr>
              <w:divsChild>
                <w:div w:id="1075712746">
                  <w:marLeft w:val="0"/>
                  <w:marRight w:val="0"/>
                  <w:marTop w:val="0"/>
                  <w:marBottom w:val="0"/>
                  <w:divBdr>
                    <w:top w:val="none" w:sz="0" w:space="0" w:color="auto"/>
                    <w:left w:val="none" w:sz="0" w:space="0" w:color="auto"/>
                    <w:bottom w:val="none" w:sz="0" w:space="0" w:color="auto"/>
                    <w:right w:val="none" w:sz="0" w:space="0" w:color="auto"/>
                  </w:divBdr>
                  <w:divsChild>
                    <w:div w:id="848065416">
                      <w:marLeft w:val="0"/>
                      <w:marRight w:val="0"/>
                      <w:marTop w:val="0"/>
                      <w:marBottom w:val="0"/>
                      <w:divBdr>
                        <w:top w:val="none" w:sz="0" w:space="0" w:color="auto"/>
                        <w:left w:val="none" w:sz="0" w:space="0" w:color="auto"/>
                        <w:bottom w:val="none" w:sz="0" w:space="0" w:color="auto"/>
                        <w:right w:val="none" w:sz="0" w:space="0" w:color="auto"/>
                      </w:divBdr>
                      <w:divsChild>
                        <w:div w:id="1270697620">
                          <w:marLeft w:val="0"/>
                          <w:marRight w:val="0"/>
                          <w:marTop w:val="0"/>
                          <w:marBottom w:val="0"/>
                          <w:divBdr>
                            <w:top w:val="none" w:sz="0" w:space="0" w:color="auto"/>
                            <w:left w:val="none" w:sz="0" w:space="0" w:color="auto"/>
                            <w:bottom w:val="none" w:sz="0" w:space="0" w:color="auto"/>
                            <w:right w:val="none" w:sz="0" w:space="0" w:color="auto"/>
                          </w:divBdr>
                          <w:divsChild>
                            <w:div w:id="16659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7156</Words>
  <Characters>40791</Characters>
  <Application>Microsoft Office Word</Application>
  <DocSecurity>0</DocSecurity>
  <Lines>339</Lines>
  <Paragraphs>95</Paragraphs>
  <ScaleCrop>false</ScaleCrop>
  <Company/>
  <LinksUpToDate>false</LinksUpToDate>
  <CharactersWithSpaces>47852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2025-10-14T07:30:00Z</dcterms:created>
  <dcterms:modified xsi:type="dcterms:W3CDTF">2025-10-14T07:37:00Z</dcterms:modified>
</cp:coreProperties>
</file>