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0AF34" w14:textId="77777777" w:rsidR="00C8219D" w:rsidRPr="00C8219D" w:rsidRDefault="00C8219D" w:rsidP="00C821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219D">
        <w:rPr>
          <w:rFonts w:ascii="Times New Roman" w:eastAsia="Times New Roman" w:hAnsi="Times New Roman" w:cs="Times New Roman"/>
          <w:b/>
          <w:bCs/>
          <w:kern w:val="36"/>
          <w:sz w:val="48"/>
          <w:szCs w:val="48"/>
          <w:lang w:eastAsia="en-IN"/>
        </w:rPr>
        <w:t>1. Introduction and Strategic Context</w:t>
      </w:r>
    </w:p>
    <w:p w14:paraId="1C5E5973" w14:textId="5DE0EB12"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 xml:space="preserve">The </w:t>
      </w:r>
      <w:r w:rsidRPr="00C8219D">
        <w:rPr>
          <w:rFonts w:ascii="Times New Roman" w:eastAsia="Times New Roman" w:hAnsi="Times New Roman" w:cs="Times New Roman"/>
          <w:b/>
          <w:bCs/>
          <w:sz w:val="24"/>
          <w:szCs w:val="24"/>
          <w:lang w:eastAsia="en-IN"/>
        </w:rPr>
        <w:t>Global Hydrocracking Market</w:t>
      </w:r>
      <w:r w:rsidRPr="00C8219D">
        <w:rPr>
          <w:rFonts w:ascii="Times New Roman" w:eastAsia="Times New Roman" w:hAnsi="Times New Roman" w:cs="Times New Roman"/>
          <w:sz w:val="24"/>
          <w:szCs w:val="24"/>
          <w:lang w:eastAsia="en-IN"/>
        </w:rPr>
        <w:t xml:space="preserve"> </w:t>
      </w:r>
      <w:r w:rsidRPr="00C8219D">
        <w:rPr>
          <w:rFonts w:ascii="Times New Roman" w:eastAsia="Times New Roman" w:hAnsi="Times New Roman" w:cs="Times New Roman"/>
          <w:sz w:val="24"/>
          <w:szCs w:val="24"/>
          <w:lang w:eastAsia="en-IN"/>
        </w:rPr>
        <w:t xml:space="preserve">is poised to grow at a </w:t>
      </w:r>
      <w:r w:rsidRPr="00C8219D">
        <w:rPr>
          <w:rFonts w:ascii="Times New Roman" w:eastAsia="Times New Roman" w:hAnsi="Times New Roman" w:cs="Times New Roman"/>
          <w:b/>
          <w:bCs/>
          <w:sz w:val="24"/>
          <w:szCs w:val="24"/>
          <w:lang w:eastAsia="en-IN"/>
        </w:rPr>
        <w:t>CAGR of 5.8%</w:t>
      </w:r>
      <w:r w:rsidRPr="00C8219D">
        <w:rPr>
          <w:rFonts w:ascii="Times New Roman" w:eastAsia="Times New Roman" w:hAnsi="Times New Roman" w:cs="Times New Roman"/>
          <w:sz w:val="24"/>
          <w:szCs w:val="24"/>
          <w:lang w:eastAsia="en-IN"/>
        </w:rPr>
        <w:t xml:space="preserve">, valued at </w:t>
      </w:r>
      <w:r w:rsidRPr="00C8219D">
        <w:rPr>
          <w:rFonts w:ascii="Times New Roman" w:eastAsia="Times New Roman" w:hAnsi="Times New Roman" w:cs="Times New Roman"/>
          <w:b/>
          <w:bCs/>
          <w:sz w:val="24"/>
          <w:szCs w:val="24"/>
          <w:lang w:eastAsia="en-IN"/>
        </w:rPr>
        <w:t>USD 42.5 billion in 2024</w:t>
      </w:r>
      <w:r w:rsidRPr="00C8219D">
        <w:rPr>
          <w:rFonts w:ascii="Times New Roman" w:eastAsia="Times New Roman" w:hAnsi="Times New Roman" w:cs="Times New Roman"/>
          <w:sz w:val="24"/>
          <w:szCs w:val="24"/>
          <w:lang w:eastAsia="en-IN"/>
        </w:rPr>
        <w:t xml:space="preserve">, and expected to reach </w:t>
      </w:r>
      <w:r w:rsidRPr="00C8219D">
        <w:rPr>
          <w:rFonts w:ascii="Times New Roman" w:eastAsia="Times New Roman" w:hAnsi="Times New Roman" w:cs="Times New Roman"/>
          <w:b/>
          <w:bCs/>
          <w:sz w:val="24"/>
          <w:szCs w:val="24"/>
          <w:lang w:eastAsia="en-IN"/>
        </w:rPr>
        <w:t>USD 61.2 billion by 2030</w:t>
      </w:r>
      <w:r w:rsidRPr="00C8219D">
        <w:rPr>
          <w:rFonts w:ascii="Times New Roman" w:eastAsia="Times New Roman" w:hAnsi="Times New Roman" w:cs="Times New Roman"/>
          <w:sz w:val="24"/>
          <w:szCs w:val="24"/>
          <w:lang w:eastAsia="en-IN"/>
        </w:rPr>
        <w:t xml:space="preserve">, according to </w:t>
      </w:r>
      <w:r w:rsidRPr="00C8219D">
        <w:rPr>
          <w:rFonts w:ascii="Times New Roman" w:eastAsia="Times New Roman" w:hAnsi="Times New Roman" w:cs="Times New Roman"/>
          <w:b/>
          <w:bCs/>
          <w:sz w:val="24"/>
          <w:szCs w:val="24"/>
          <w:lang w:eastAsia="en-IN"/>
        </w:rPr>
        <w:t>Strategic Market Research.</w:t>
      </w:r>
      <w:r w:rsidRPr="00C8219D">
        <w:rPr>
          <w:rFonts w:ascii="Times New Roman" w:eastAsia="Times New Roman" w:hAnsi="Times New Roman" w:cs="Times New Roman"/>
          <w:sz w:val="24"/>
          <w:szCs w:val="24"/>
          <w:lang w:eastAsia="en-IN"/>
        </w:rPr>
        <w:t xml:space="preserve"> Hydrocracking is a critical refining process that converts heavy oils and residual feedstocks into high-value lighter products such as gasoline, jet fuel, diesel, and kerosene. This technology is particularly significant for meeting stringent environmental regulations while ensuring efficient fuel production to satisfy global energy demand.</w:t>
      </w:r>
    </w:p>
    <w:p w14:paraId="6A9A587B"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 xml:space="preserve">Hydrocracking’s strategic relevance is intensifying due to several converging factors. First, global energy consumption is steadily rising, particularly in Asia-Pacific and the Middle East, driven by urbanization, industrial growth, and expanding transportation networks. Second, environmental policies such as IMO 2020 and stricter </w:t>
      </w:r>
      <w:proofErr w:type="spellStart"/>
      <w:r w:rsidRPr="00C8219D">
        <w:rPr>
          <w:rFonts w:ascii="Times New Roman" w:eastAsia="Times New Roman" w:hAnsi="Times New Roman" w:cs="Times New Roman"/>
          <w:sz w:val="24"/>
          <w:szCs w:val="24"/>
          <w:lang w:eastAsia="en-IN"/>
        </w:rPr>
        <w:t>sulfur</w:t>
      </w:r>
      <w:proofErr w:type="spellEnd"/>
      <w:r w:rsidRPr="00C8219D">
        <w:rPr>
          <w:rFonts w:ascii="Times New Roman" w:eastAsia="Times New Roman" w:hAnsi="Times New Roman" w:cs="Times New Roman"/>
          <w:sz w:val="24"/>
          <w:szCs w:val="24"/>
          <w:lang w:eastAsia="en-IN"/>
        </w:rPr>
        <w:t xml:space="preserve"> emission limits for transportation fuels are compelling refiners to invest in cleaner, low-</w:t>
      </w:r>
      <w:proofErr w:type="spellStart"/>
      <w:r w:rsidRPr="00C8219D">
        <w:rPr>
          <w:rFonts w:ascii="Times New Roman" w:eastAsia="Times New Roman" w:hAnsi="Times New Roman" w:cs="Times New Roman"/>
          <w:sz w:val="24"/>
          <w:szCs w:val="24"/>
          <w:lang w:eastAsia="en-IN"/>
        </w:rPr>
        <w:t>sulfur</w:t>
      </w:r>
      <w:proofErr w:type="spellEnd"/>
      <w:r w:rsidRPr="00C8219D">
        <w:rPr>
          <w:rFonts w:ascii="Times New Roman" w:eastAsia="Times New Roman" w:hAnsi="Times New Roman" w:cs="Times New Roman"/>
          <w:sz w:val="24"/>
          <w:szCs w:val="24"/>
          <w:lang w:eastAsia="en-IN"/>
        </w:rPr>
        <w:t xml:space="preserve"> products, positioning hydrocracking as a key enabler of compliance. Third, the technological evolution in catalyst design, reactor configurations, and process integration is enhancing yield efficiency, reducing operational costs, and lowering hydrogen consumption.</w:t>
      </w:r>
    </w:p>
    <w:p w14:paraId="3E41605E"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Stakeholders in this market are diverse and interconnected. Original equipment manufacturers (OEMs) are developing advanced hydrocracking units with higher throughput and lower energy footprints. Refiners are adopting modular and flexible hydrocracking solutions to meet fluctuating crude quality and product demand. Governments and regulatory bodies are incentivizing cleaner fuel production and mandating emissions reductions. Investors are increasingly drawn to the hydrocracking market due to its resilience against crude price volatility and its alignment with global sustainability objectives.</w:t>
      </w:r>
    </w:p>
    <w:p w14:paraId="6D1ACF63"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The demand for middle distillates, particularly diesel and jet fuel, is rising sharply in regions like Asia-Pacific and North America, further bolstering the strategic importance of hydrocracking. Moreover, the transition toward a low-carbon economy has spurred interest in integrating hydrocracking units with renewable feedstocks and bio-based oils. While hydrocracking is traditionally a capital-intensive process, its capability to convert low-value residues into high-value fuels ensures that it remains a cornerstone technology in modern refining.</w:t>
      </w:r>
    </w:p>
    <w:p w14:paraId="3892EF9E"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In sum, hydrocracking is no longer a niche operation within the refining landscape. With rising energy demand, environmental imperatives, and technological innovation, it is now a central driver of refinery modernization, revenue optimization, and sustainable fuel production across the globe.</w:t>
      </w:r>
    </w:p>
    <w:p w14:paraId="2377AA6B" w14:textId="77777777" w:rsidR="00C8219D" w:rsidRPr="00C8219D" w:rsidRDefault="00C8219D" w:rsidP="00C821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219D">
        <w:rPr>
          <w:rFonts w:ascii="Times New Roman" w:eastAsia="Times New Roman" w:hAnsi="Times New Roman" w:cs="Times New Roman"/>
          <w:b/>
          <w:bCs/>
          <w:kern w:val="36"/>
          <w:sz w:val="48"/>
          <w:szCs w:val="48"/>
          <w:lang w:eastAsia="en-IN"/>
        </w:rPr>
        <w:t>2. Market Segmentation and Forecast Scope</w:t>
      </w:r>
    </w:p>
    <w:p w14:paraId="40D1834B"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The hydrocracking market can be segmented across multiple dimensions, reflecting both technological diversity and product end-use. Understanding these segments provides insight into how refiners optimize production and align investments with global energy demand.</w:t>
      </w:r>
    </w:p>
    <w:p w14:paraId="40A6A578"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lastRenderedPageBreak/>
        <w:t>By Feedstock Type</w:t>
      </w:r>
      <w:r w:rsidRPr="00C8219D">
        <w:rPr>
          <w:rFonts w:ascii="Times New Roman" w:eastAsia="Times New Roman" w:hAnsi="Times New Roman" w:cs="Times New Roman"/>
          <w:sz w:val="24"/>
          <w:szCs w:val="24"/>
          <w:lang w:eastAsia="en-IN"/>
        </w:rPr>
        <w:br/>
        <w:t xml:space="preserve">Hydrocracking units can process various feedstocks, primarily vacuum gas oil (VGO) and residual oils. VGO dominates the market, accounting for roughly 62% of feedstock usage in 2024 due to its relatively higher hydrogen-to-carbon ratio, which makes conversion more efficient. Residual oils, while heavier and more </w:t>
      </w:r>
      <w:proofErr w:type="spellStart"/>
      <w:r w:rsidRPr="00C8219D">
        <w:rPr>
          <w:rFonts w:ascii="Times New Roman" w:eastAsia="Times New Roman" w:hAnsi="Times New Roman" w:cs="Times New Roman"/>
          <w:sz w:val="24"/>
          <w:szCs w:val="24"/>
          <w:lang w:eastAsia="en-IN"/>
        </w:rPr>
        <w:t>sulfur</w:t>
      </w:r>
      <w:proofErr w:type="spellEnd"/>
      <w:r w:rsidRPr="00C8219D">
        <w:rPr>
          <w:rFonts w:ascii="Times New Roman" w:eastAsia="Times New Roman" w:hAnsi="Times New Roman" w:cs="Times New Roman"/>
          <w:sz w:val="24"/>
          <w:szCs w:val="24"/>
          <w:lang w:eastAsia="en-IN"/>
        </w:rPr>
        <w:t>-rich, are increasingly attractive as refiners seek to maximize value from low-cost inputs. In particular, the ability to process heavy crude derivatives positions hydrocracking as a critical tool in regions with abundant heavy crude reserves, such as the Middle East and Latin America.</w:t>
      </w:r>
    </w:p>
    <w:p w14:paraId="5426C289"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By Product Type</w:t>
      </w:r>
      <w:r w:rsidRPr="00C8219D">
        <w:rPr>
          <w:rFonts w:ascii="Times New Roman" w:eastAsia="Times New Roman" w:hAnsi="Times New Roman" w:cs="Times New Roman"/>
          <w:sz w:val="24"/>
          <w:szCs w:val="24"/>
          <w:lang w:eastAsia="en-IN"/>
        </w:rPr>
        <w:br/>
        <w:t>The hydrocracking process yields middle distillates, naphtha, and jet fuel, with middle distillates (diesel and kerosene) representing the largest share in 2024, estimated at around 55%. Naphtha is primarily used for petrochemical feedstock, while jet fuel demand is rising steadily, especially in Asia-Pacific, where aviation growth is accelerating. Diesel production is increasingly aligned with low-</w:t>
      </w:r>
      <w:proofErr w:type="spellStart"/>
      <w:r w:rsidRPr="00C8219D">
        <w:rPr>
          <w:rFonts w:ascii="Times New Roman" w:eastAsia="Times New Roman" w:hAnsi="Times New Roman" w:cs="Times New Roman"/>
          <w:sz w:val="24"/>
          <w:szCs w:val="24"/>
          <w:lang w:eastAsia="en-IN"/>
        </w:rPr>
        <w:t>sulfur</w:t>
      </w:r>
      <w:proofErr w:type="spellEnd"/>
      <w:r w:rsidRPr="00C8219D">
        <w:rPr>
          <w:rFonts w:ascii="Times New Roman" w:eastAsia="Times New Roman" w:hAnsi="Times New Roman" w:cs="Times New Roman"/>
          <w:sz w:val="24"/>
          <w:szCs w:val="24"/>
          <w:lang w:eastAsia="en-IN"/>
        </w:rPr>
        <w:t xml:space="preserve"> specifications, making hydrocracking a preferred method over conventional distillation.</w:t>
      </w:r>
    </w:p>
    <w:p w14:paraId="6E01E8B8"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By Process Configuration</w:t>
      </w:r>
      <w:r w:rsidRPr="00C8219D">
        <w:rPr>
          <w:rFonts w:ascii="Times New Roman" w:eastAsia="Times New Roman" w:hAnsi="Times New Roman" w:cs="Times New Roman"/>
          <w:sz w:val="24"/>
          <w:szCs w:val="24"/>
          <w:lang w:eastAsia="en-IN"/>
        </w:rPr>
        <w:br/>
        <w:t>Hydrocracking configurations are divided into single-stage and two-stage processes. Two-stage hydrocracking is preferred for heavier, more complex feedstocks, offering higher conversion efficiency and improved selectivity for premium products. Single-stage processes, in contrast, are used for lighter feedstocks and smaller-scale operations. The two-stage configuration is expected to be the fastest-growing segment, particularly in regions investing in refinery modernization.</w:t>
      </w:r>
    </w:p>
    <w:p w14:paraId="5A49CAB6"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By Region</w:t>
      </w:r>
      <w:r w:rsidRPr="00C8219D">
        <w:rPr>
          <w:rFonts w:ascii="Times New Roman" w:eastAsia="Times New Roman" w:hAnsi="Times New Roman" w:cs="Times New Roman"/>
          <w:sz w:val="24"/>
          <w:szCs w:val="24"/>
          <w:lang w:eastAsia="en-IN"/>
        </w:rPr>
        <w:br/>
        <w:t>Geographically, the market is segmented into North America, Europe, Asia-Pacific, and LAMEA (Latin America, Middle East, and Africa). Asia-Pacific leads in growth due to rapid industrialization, rising transportation fuel demand, and significant refining capacity expansions in China and India. North America remains a mature market with high integration of advanced hydrocracking technologies, while Europe is driven by environmental regulations requiring cleaner fuels. LAMEA, while currently underpenetrated, is witnessing gradual investments, especially in Middle Eastern countries with heavy crude availability.</w:t>
      </w:r>
    </w:p>
    <w:p w14:paraId="5BF2894C"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Scope and Forecast Considerations</w:t>
      </w:r>
      <w:r w:rsidRPr="00C8219D">
        <w:rPr>
          <w:rFonts w:ascii="Times New Roman" w:eastAsia="Times New Roman" w:hAnsi="Times New Roman" w:cs="Times New Roman"/>
          <w:sz w:val="24"/>
          <w:szCs w:val="24"/>
          <w:lang w:eastAsia="en-IN"/>
        </w:rPr>
        <w:br/>
        <w:t xml:space="preserve">This segmentation highlights the strategic focus areas for hydrocracking investments. Feedstock flexibility, product yield optimization, and process configuration choices are crucial for refining profitability. Furthermore, regional dynamics, particularly regulatory frameworks and crude availability, influence adoption patterns. Going forward, two-stage hydrocracking processing VGO for middle distillates in Asia-Pacific is expected to represent the most lucrative growth segment, combining high demand with </w:t>
      </w:r>
      <w:proofErr w:type="spellStart"/>
      <w:r w:rsidRPr="00C8219D">
        <w:rPr>
          <w:rFonts w:ascii="Times New Roman" w:eastAsia="Times New Roman" w:hAnsi="Times New Roman" w:cs="Times New Roman"/>
          <w:sz w:val="24"/>
          <w:szCs w:val="24"/>
          <w:lang w:eastAsia="en-IN"/>
        </w:rPr>
        <w:t>favorable</w:t>
      </w:r>
      <w:proofErr w:type="spellEnd"/>
      <w:r w:rsidRPr="00C8219D">
        <w:rPr>
          <w:rFonts w:ascii="Times New Roman" w:eastAsia="Times New Roman" w:hAnsi="Times New Roman" w:cs="Times New Roman"/>
          <w:sz w:val="24"/>
          <w:szCs w:val="24"/>
          <w:lang w:eastAsia="en-IN"/>
        </w:rPr>
        <w:t xml:space="preserve"> feedstock economics.</w:t>
      </w:r>
    </w:p>
    <w:p w14:paraId="028A1902"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In conclusion, segmentation illustrates both the complexity and opportunity within the hydrocracking market. It provides a roadmap for refiners, investors, and policymakers to understand product-specific, process-specific, and regional growth dynamics in a rapidly evolving energy landscape.</w:t>
      </w:r>
    </w:p>
    <w:p w14:paraId="2B5AC0A2" w14:textId="77777777" w:rsidR="00C8219D" w:rsidRPr="00C8219D" w:rsidRDefault="00C8219D" w:rsidP="00C821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219D">
        <w:rPr>
          <w:rFonts w:ascii="Times New Roman" w:eastAsia="Times New Roman" w:hAnsi="Times New Roman" w:cs="Times New Roman"/>
          <w:b/>
          <w:bCs/>
          <w:kern w:val="36"/>
          <w:sz w:val="48"/>
          <w:szCs w:val="48"/>
          <w:lang w:eastAsia="en-IN"/>
        </w:rPr>
        <w:lastRenderedPageBreak/>
        <w:t>3. Market Trends and Innovation Landscape</w:t>
      </w:r>
    </w:p>
    <w:p w14:paraId="539CDBE5"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The hydrocracking market is experiencing a dynamic phase driven by technological advancements, shifting energy policies, and evolving feedstock and product demands. Refiners are increasingly leveraging innovation to maximize yield, enhance efficiency, and meet environmental compliance, making hydrocracking a critical component of modern refinery strategy.</w:t>
      </w:r>
    </w:p>
    <w:p w14:paraId="43ACC040"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Catalyst Innovation</w:t>
      </w:r>
      <w:r w:rsidRPr="00C8219D">
        <w:rPr>
          <w:rFonts w:ascii="Times New Roman" w:eastAsia="Times New Roman" w:hAnsi="Times New Roman" w:cs="Times New Roman"/>
          <w:sz w:val="24"/>
          <w:szCs w:val="24"/>
          <w:lang w:eastAsia="en-IN"/>
        </w:rPr>
        <w:br/>
        <w:t xml:space="preserve">Catalyst development remains central to hydrocracking evolution. Modern catalysts now incorporate bifunctional properties, combining acidic and metallic sites to enhance cracking activity while maintaining selectivity for premium products like diesel and jet fuel. Hydrocracking catalysts are also engineered for higher tolerance to </w:t>
      </w:r>
      <w:proofErr w:type="spellStart"/>
      <w:r w:rsidRPr="00C8219D">
        <w:rPr>
          <w:rFonts w:ascii="Times New Roman" w:eastAsia="Times New Roman" w:hAnsi="Times New Roman" w:cs="Times New Roman"/>
          <w:sz w:val="24"/>
          <w:szCs w:val="24"/>
          <w:lang w:eastAsia="en-IN"/>
        </w:rPr>
        <w:t>sulfur</w:t>
      </w:r>
      <w:proofErr w:type="spellEnd"/>
      <w:r w:rsidRPr="00C8219D">
        <w:rPr>
          <w:rFonts w:ascii="Times New Roman" w:eastAsia="Times New Roman" w:hAnsi="Times New Roman" w:cs="Times New Roman"/>
          <w:sz w:val="24"/>
          <w:szCs w:val="24"/>
          <w:lang w:eastAsia="en-IN"/>
        </w:rPr>
        <w:t xml:space="preserve"> and nitrogen impurities, reducing downtime and extending catalyst life. </w:t>
      </w:r>
      <w:r w:rsidRPr="00C8219D">
        <w:rPr>
          <w:rFonts w:ascii="Times New Roman" w:eastAsia="Times New Roman" w:hAnsi="Times New Roman" w:cs="Times New Roman"/>
          <w:i/>
          <w:iCs/>
          <w:sz w:val="24"/>
          <w:szCs w:val="24"/>
          <w:lang w:eastAsia="en-IN"/>
        </w:rPr>
        <w:t>Expert insight: refiners adopting advanced catalysts report up to a 12% increase in middle distillate yield while reducing hydrogen consumption.</w:t>
      </w:r>
    </w:p>
    <w:p w14:paraId="55582BD8"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Process Optimization and Integration</w:t>
      </w:r>
      <w:r w:rsidRPr="00C8219D">
        <w:rPr>
          <w:rFonts w:ascii="Times New Roman" w:eastAsia="Times New Roman" w:hAnsi="Times New Roman" w:cs="Times New Roman"/>
          <w:sz w:val="24"/>
          <w:szCs w:val="24"/>
          <w:lang w:eastAsia="en-IN"/>
        </w:rPr>
        <w:br/>
      </w:r>
      <w:proofErr w:type="spellStart"/>
      <w:r w:rsidRPr="00C8219D">
        <w:rPr>
          <w:rFonts w:ascii="Times New Roman" w:eastAsia="Times New Roman" w:hAnsi="Times New Roman" w:cs="Times New Roman"/>
          <w:sz w:val="24"/>
          <w:szCs w:val="24"/>
          <w:lang w:eastAsia="en-IN"/>
        </w:rPr>
        <w:t>Integration</w:t>
      </w:r>
      <w:proofErr w:type="spellEnd"/>
      <w:r w:rsidRPr="00C8219D">
        <w:rPr>
          <w:rFonts w:ascii="Times New Roman" w:eastAsia="Times New Roman" w:hAnsi="Times New Roman" w:cs="Times New Roman"/>
          <w:sz w:val="24"/>
          <w:szCs w:val="24"/>
          <w:lang w:eastAsia="en-IN"/>
        </w:rPr>
        <w:t xml:space="preserve"> of hydrocracking with other refinery processes, such as hydrotreating, distillation, and residue upgrading, is reshaping operational efficiency. Advanced process control (APC) systems and real-time monitoring enable refiners to dynamically adjust operating parameters based on feedstock quality, temperature, and pressure fluctuations. This not only improves product yields but also enhances energy efficiency, reducing operational costs. </w:t>
      </w:r>
      <w:r w:rsidRPr="00C8219D">
        <w:rPr>
          <w:rFonts w:ascii="Times New Roman" w:eastAsia="Times New Roman" w:hAnsi="Times New Roman" w:cs="Times New Roman"/>
          <w:i/>
          <w:iCs/>
          <w:sz w:val="24"/>
          <w:szCs w:val="24"/>
          <w:lang w:eastAsia="en-IN"/>
        </w:rPr>
        <w:t>For instance, several refineries in South Korea and the U.S. have achieved a 5–7% reduction in energy expenditure through integrated hydrocracking optimization.</w:t>
      </w:r>
    </w:p>
    <w:p w14:paraId="3296DA15"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Low-</w:t>
      </w:r>
      <w:proofErr w:type="spellStart"/>
      <w:r w:rsidRPr="00C8219D">
        <w:rPr>
          <w:rFonts w:ascii="Times New Roman" w:eastAsia="Times New Roman" w:hAnsi="Times New Roman" w:cs="Times New Roman"/>
          <w:b/>
          <w:bCs/>
          <w:sz w:val="24"/>
          <w:szCs w:val="24"/>
          <w:lang w:eastAsia="en-IN"/>
        </w:rPr>
        <w:t>Sulfur</w:t>
      </w:r>
      <w:proofErr w:type="spellEnd"/>
      <w:r w:rsidRPr="00C8219D">
        <w:rPr>
          <w:rFonts w:ascii="Times New Roman" w:eastAsia="Times New Roman" w:hAnsi="Times New Roman" w:cs="Times New Roman"/>
          <w:b/>
          <w:bCs/>
          <w:sz w:val="24"/>
          <w:szCs w:val="24"/>
          <w:lang w:eastAsia="en-IN"/>
        </w:rPr>
        <w:t xml:space="preserve"> Fuel Production</w:t>
      </w:r>
      <w:r w:rsidRPr="00C8219D">
        <w:rPr>
          <w:rFonts w:ascii="Times New Roman" w:eastAsia="Times New Roman" w:hAnsi="Times New Roman" w:cs="Times New Roman"/>
          <w:sz w:val="24"/>
          <w:szCs w:val="24"/>
          <w:lang w:eastAsia="en-IN"/>
        </w:rPr>
        <w:br/>
        <w:t xml:space="preserve">Regulatory pressures like IMO 2020 and regional </w:t>
      </w:r>
      <w:proofErr w:type="spellStart"/>
      <w:r w:rsidRPr="00C8219D">
        <w:rPr>
          <w:rFonts w:ascii="Times New Roman" w:eastAsia="Times New Roman" w:hAnsi="Times New Roman" w:cs="Times New Roman"/>
          <w:sz w:val="24"/>
          <w:szCs w:val="24"/>
          <w:lang w:eastAsia="en-IN"/>
        </w:rPr>
        <w:t>sulfur</w:t>
      </w:r>
      <w:proofErr w:type="spellEnd"/>
      <w:r w:rsidRPr="00C8219D">
        <w:rPr>
          <w:rFonts w:ascii="Times New Roman" w:eastAsia="Times New Roman" w:hAnsi="Times New Roman" w:cs="Times New Roman"/>
          <w:sz w:val="24"/>
          <w:szCs w:val="24"/>
          <w:lang w:eastAsia="en-IN"/>
        </w:rPr>
        <w:t xml:space="preserve"> limits in diesel are accelerating hydrocracking adoption. Hydrocracking offers refiners a reliable path to producing ultra-low </w:t>
      </w:r>
      <w:proofErr w:type="spellStart"/>
      <w:r w:rsidRPr="00C8219D">
        <w:rPr>
          <w:rFonts w:ascii="Times New Roman" w:eastAsia="Times New Roman" w:hAnsi="Times New Roman" w:cs="Times New Roman"/>
          <w:sz w:val="24"/>
          <w:szCs w:val="24"/>
          <w:lang w:eastAsia="en-IN"/>
        </w:rPr>
        <w:t>sulfur</w:t>
      </w:r>
      <w:proofErr w:type="spellEnd"/>
      <w:r w:rsidRPr="00C8219D">
        <w:rPr>
          <w:rFonts w:ascii="Times New Roman" w:eastAsia="Times New Roman" w:hAnsi="Times New Roman" w:cs="Times New Roman"/>
          <w:sz w:val="24"/>
          <w:szCs w:val="24"/>
          <w:lang w:eastAsia="en-IN"/>
        </w:rPr>
        <w:t xml:space="preserve"> fuels without sacrificing yield. Emerging markets in Asia are particularly influenced by this trend, where environmental policies are becoming stricter alongside growing fuel demand.</w:t>
      </w:r>
    </w:p>
    <w:p w14:paraId="60391E96"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Feedstock Flexibility and Heavy Crude Processing</w:t>
      </w:r>
      <w:r w:rsidRPr="00C8219D">
        <w:rPr>
          <w:rFonts w:ascii="Times New Roman" w:eastAsia="Times New Roman" w:hAnsi="Times New Roman" w:cs="Times New Roman"/>
          <w:sz w:val="24"/>
          <w:szCs w:val="24"/>
          <w:lang w:eastAsia="en-IN"/>
        </w:rPr>
        <w:br/>
        <w:t>The trend toward processing heavier, high-</w:t>
      </w:r>
      <w:proofErr w:type="spellStart"/>
      <w:r w:rsidRPr="00C8219D">
        <w:rPr>
          <w:rFonts w:ascii="Times New Roman" w:eastAsia="Times New Roman" w:hAnsi="Times New Roman" w:cs="Times New Roman"/>
          <w:sz w:val="24"/>
          <w:szCs w:val="24"/>
          <w:lang w:eastAsia="en-IN"/>
        </w:rPr>
        <w:t>sulfur</w:t>
      </w:r>
      <w:proofErr w:type="spellEnd"/>
      <w:r w:rsidRPr="00C8219D">
        <w:rPr>
          <w:rFonts w:ascii="Times New Roman" w:eastAsia="Times New Roman" w:hAnsi="Times New Roman" w:cs="Times New Roman"/>
          <w:sz w:val="24"/>
          <w:szCs w:val="24"/>
          <w:lang w:eastAsia="en-IN"/>
        </w:rPr>
        <w:t xml:space="preserve"> crude oils is another driver of hydrocracking innovation. New hydrocracking designs are capable of efficiently converting residual oils and vacuum residues into middle distillates, reducing reliance on lighter, more expensive feedstocks. </w:t>
      </w:r>
      <w:r w:rsidRPr="00C8219D">
        <w:rPr>
          <w:rFonts w:ascii="Times New Roman" w:eastAsia="Times New Roman" w:hAnsi="Times New Roman" w:cs="Times New Roman"/>
          <w:i/>
          <w:iCs/>
          <w:sz w:val="24"/>
          <w:szCs w:val="24"/>
          <w:lang w:eastAsia="en-IN"/>
        </w:rPr>
        <w:t>Insight: refiners in the Middle East and Latin America increasingly prefer two-stage hydrocrackers to achieve higher conversion rates and lower residue output.</w:t>
      </w:r>
    </w:p>
    <w:p w14:paraId="0A573ADC"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Digitalization and AI Integration</w:t>
      </w:r>
      <w:r w:rsidRPr="00C8219D">
        <w:rPr>
          <w:rFonts w:ascii="Times New Roman" w:eastAsia="Times New Roman" w:hAnsi="Times New Roman" w:cs="Times New Roman"/>
          <w:sz w:val="24"/>
          <w:szCs w:val="24"/>
          <w:lang w:eastAsia="en-IN"/>
        </w:rPr>
        <w:br/>
        <w:t xml:space="preserve">Digital technologies are revolutionizing hydrocracking operations. Predictive maintenance, AI-driven optimization of reactor conditions, and digital twin simulations are enabling refiners to anticipate operational issues, optimize throughput, and forecast yields with greater accuracy. </w:t>
      </w:r>
      <w:r w:rsidRPr="00C8219D">
        <w:rPr>
          <w:rFonts w:ascii="Times New Roman" w:eastAsia="Times New Roman" w:hAnsi="Times New Roman" w:cs="Times New Roman"/>
          <w:i/>
          <w:iCs/>
          <w:sz w:val="24"/>
          <w:szCs w:val="24"/>
          <w:lang w:eastAsia="en-IN"/>
        </w:rPr>
        <w:t>Emerging AI models can now predict catalyst deactivation patterns and adjust hydrogen feed in real-time, improving both uptime and profitability.</w:t>
      </w:r>
    </w:p>
    <w:p w14:paraId="4F79BFA5"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lastRenderedPageBreak/>
        <w:t>Collaborations and Strategic Partnerships</w:t>
      </w:r>
      <w:r w:rsidRPr="00C8219D">
        <w:rPr>
          <w:rFonts w:ascii="Times New Roman" w:eastAsia="Times New Roman" w:hAnsi="Times New Roman" w:cs="Times New Roman"/>
          <w:sz w:val="24"/>
          <w:szCs w:val="24"/>
          <w:lang w:eastAsia="en-IN"/>
        </w:rPr>
        <w:br/>
        <w:t>Innovation is also driven by collaborations between catalyst manufacturers, technology providers, and refineries. Several recent partnerships have focused on developing tailored hydrocracking solutions for specific crude slates or integrating renewable feedstocks such as bio-oils into hydrocracking units. These alliances facilitate faster technology adoption and risk sharing in capital-intensive upgrades.</w:t>
      </w:r>
    </w:p>
    <w:p w14:paraId="0CB9FFDA"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In summary, hydrocracking is no longer just a conventional refinery process; it is an innovation-driven platform. Catalyst evolution, process integration, regulatory alignment, and digital optimization are collectively transforming hydrocracking into a highly efficient, flexible, and environmentally compliant solution. The convergence of these trends indicates that the market will continue to evolve toward smarter, more sustainable, and higher-value hydrocracking operations over the next decade.</w:t>
      </w:r>
    </w:p>
    <w:p w14:paraId="544C3B3D" w14:textId="77777777" w:rsidR="00C8219D" w:rsidRPr="00C8219D" w:rsidRDefault="00C8219D" w:rsidP="00C821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219D">
        <w:rPr>
          <w:rFonts w:ascii="Times New Roman" w:eastAsia="Times New Roman" w:hAnsi="Times New Roman" w:cs="Times New Roman"/>
          <w:b/>
          <w:bCs/>
          <w:kern w:val="36"/>
          <w:sz w:val="48"/>
          <w:szCs w:val="48"/>
          <w:lang w:eastAsia="en-IN"/>
        </w:rPr>
        <w:t>4. Competitive Intelligence and Benchmarking</w:t>
      </w:r>
    </w:p>
    <w:p w14:paraId="0B897159"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The hydrocracking market is characterized by a mix of global technology providers, specialized equipment manufacturers, and integrated refiners, each leveraging unique strategies to capture market share. Success in this domain depends on technological prowess, feedstock flexibility, and operational efficiency.</w:t>
      </w:r>
    </w:p>
    <w:p w14:paraId="32CE232C"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Honeywell UOP</w:t>
      </w:r>
      <w:r w:rsidRPr="00C8219D">
        <w:rPr>
          <w:rFonts w:ascii="Times New Roman" w:eastAsia="Times New Roman" w:hAnsi="Times New Roman" w:cs="Times New Roman"/>
          <w:sz w:val="24"/>
          <w:szCs w:val="24"/>
          <w:lang w:eastAsia="en-IN"/>
        </w:rPr>
        <w:br/>
        <w:t xml:space="preserve">Honeywell UOP is a leading provider of hydrocracking technologies worldwide. The company focuses on licensing advanced two-stage hydrocracking processes optimized for middle distillate production. Its strategy emphasizes process integration, catalyst innovation, and energy-efficient operations. UOP has a strong presence across North America, Europe, and Asia-Pacific, serving major refiners with both retrofit and greenfield projects. Their differentiator is a comprehensive suite of </w:t>
      </w:r>
      <w:proofErr w:type="spellStart"/>
      <w:r w:rsidRPr="00C8219D">
        <w:rPr>
          <w:rFonts w:ascii="Times New Roman" w:eastAsia="Times New Roman" w:hAnsi="Times New Roman" w:cs="Times New Roman"/>
          <w:sz w:val="24"/>
          <w:szCs w:val="24"/>
          <w:lang w:eastAsia="en-IN"/>
        </w:rPr>
        <w:t>hydroprocessing</w:t>
      </w:r>
      <w:proofErr w:type="spellEnd"/>
      <w:r w:rsidRPr="00C8219D">
        <w:rPr>
          <w:rFonts w:ascii="Times New Roman" w:eastAsia="Times New Roman" w:hAnsi="Times New Roman" w:cs="Times New Roman"/>
          <w:sz w:val="24"/>
          <w:szCs w:val="24"/>
          <w:lang w:eastAsia="en-IN"/>
        </w:rPr>
        <w:t xml:space="preserve"> solutions that combines hydrocracking with hydrotreating and residue upgrading.</w:t>
      </w:r>
    </w:p>
    <w:p w14:paraId="29281F89"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8219D">
        <w:rPr>
          <w:rFonts w:ascii="Times New Roman" w:eastAsia="Times New Roman" w:hAnsi="Times New Roman" w:cs="Times New Roman"/>
          <w:b/>
          <w:bCs/>
          <w:sz w:val="24"/>
          <w:szCs w:val="24"/>
          <w:lang w:eastAsia="en-IN"/>
        </w:rPr>
        <w:t>Axens</w:t>
      </w:r>
      <w:proofErr w:type="spellEnd"/>
      <w:r w:rsidRPr="00C8219D">
        <w:rPr>
          <w:rFonts w:ascii="Times New Roman" w:eastAsia="Times New Roman" w:hAnsi="Times New Roman" w:cs="Times New Roman"/>
          <w:sz w:val="24"/>
          <w:szCs w:val="24"/>
          <w:lang w:eastAsia="en-IN"/>
        </w:rPr>
        <w:br/>
      </w:r>
      <w:proofErr w:type="spellStart"/>
      <w:r w:rsidRPr="00C8219D">
        <w:rPr>
          <w:rFonts w:ascii="Times New Roman" w:eastAsia="Times New Roman" w:hAnsi="Times New Roman" w:cs="Times New Roman"/>
          <w:sz w:val="24"/>
          <w:szCs w:val="24"/>
          <w:lang w:eastAsia="en-IN"/>
        </w:rPr>
        <w:t>Axens</w:t>
      </w:r>
      <w:proofErr w:type="spellEnd"/>
      <w:r w:rsidRPr="00C8219D">
        <w:rPr>
          <w:rFonts w:ascii="Times New Roman" w:eastAsia="Times New Roman" w:hAnsi="Times New Roman" w:cs="Times New Roman"/>
          <w:sz w:val="24"/>
          <w:szCs w:val="24"/>
          <w:lang w:eastAsia="en-IN"/>
        </w:rPr>
        <w:t xml:space="preserve"> specializes in </w:t>
      </w:r>
      <w:proofErr w:type="spellStart"/>
      <w:r w:rsidRPr="00C8219D">
        <w:rPr>
          <w:rFonts w:ascii="Times New Roman" w:eastAsia="Times New Roman" w:hAnsi="Times New Roman" w:cs="Times New Roman"/>
          <w:sz w:val="24"/>
          <w:szCs w:val="24"/>
          <w:lang w:eastAsia="en-IN"/>
        </w:rPr>
        <w:t>hydroprocessing</w:t>
      </w:r>
      <w:proofErr w:type="spellEnd"/>
      <w:r w:rsidRPr="00C8219D">
        <w:rPr>
          <w:rFonts w:ascii="Times New Roman" w:eastAsia="Times New Roman" w:hAnsi="Times New Roman" w:cs="Times New Roman"/>
          <w:sz w:val="24"/>
          <w:szCs w:val="24"/>
          <w:lang w:eastAsia="en-IN"/>
        </w:rPr>
        <w:t xml:space="preserve"> technologies, including hydrocracking and residue </w:t>
      </w:r>
      <w:proofErr w:type="spellStart"/>
      <w:r w:rsidRPr="00C8219D">
        <w:rPr>
          <w:rFonts w:ascii="Times New Roman" w:eastAsia="Times New Roman" w:hAnsi="Times New Roman" w:cs="Times New Roman"/>
          <w:sz w:val="24"/>
          <w:szCs w:val="24"/>
          <w:lang w:eastAsia="en-IN"/>
        </w:rPr>
        <w:t>hydroconversion</w:t>
      </w:r>
      <w:proofErr w:type="spellEnd"/>
      <w:r w:rsidRPr="00C8219D">
        <w:rPr>
          <w:rFonts w:ascii="Times New Roman" w:eastAsia="Times New Roman" w:hAnsi="Times New Roman" w:cs="Times New Roman"/>
          <w:sz w:val="24"/>
          <w:szCs w:val="24"/>
          <w:lang w:eastAsia="en-IN"/>
        </w:rPr>
        <w:t xml:space="preserve">. Its strategy revolves around modular and flexible process designs, enabling refiners to handle varying feedstocks from light VGO to heavy residues. </w:t>
      </w:r>
      <w:proofErr w:type="spellStart"/>
      <w:r w:rsidRPr="00C8219D">
        <w:rPr>
          <w:rFonts w:ascii="Times New Roman" w:eastAsia="Times New Roman" w:hAnsi="Times New Roman" w:cs="Times New Roman"/>
          <w:sz w:val="24"/>
          <w:szCs w:val="24"/>
          <w:lang w:eastAsia="en-IN"/>
        </w:rPr>
        <w:t>Axens</w:t>
      </w:r>
      <w:proofErr w:type="spellEnd"/>
      <w:r w:rsidRPr="00C8219D">
        <w:rPr>
          <w:rFonts w:ascii="Times New Roman" w:eastAsia="Times New Roman" w:hAnsi="Times New Roman" w:cs="Times New Roman"/>
          <w:sz w:val="24"/>
          <w:szCs w:val="24"/>
          <w:lang w:eastAsia="en-IN"/>
        </w:rPr>
        <w:t xml:space="preserve"> has established a significant footprint in the Middle East and Asia-Pacific, providing technology licensing, catalyst supply, and operational support. </w:t>
      </w:r>
      <w:r w:rsidRPr="00C8219D">
        <w:rPr>
          <w:rFonts w:ascii="Times New Roman" w:eastAsia="Times New Roman" w:hAnsi="Times New Roman" w:cs="Times New Roman"/>
          <w:i/>
          <w:iCs/>
          <w:sz w:val="24"/>
          <w:szCs w:val="24"/>
          <w:lang w:eastAsia="en-IN"/>
        </w:rPr>
        <w:t xml:space="preserve">Expert commentary: </w:t>
      </w:r>
      <w:proofErr w:type="spellStart"/>
      <w:r w:rsidRPr="00C8219D">
        <w:rPr>
          <w:rFonts w:ascii="Times New Roman" w:eastAsia="Times New Roman" w:hAnsi="Times New Roman" w:cs="Times New Roman"/>
          <w:i/>
          <w:iCs/>
          <w:sz w:val="24"/>
          <w:szCs w:val="24"/>
          <w:lang w:eastAsia="en-IN"/>
        </w:rPr>
        <w:t>Axens</w:t>
      </w:r>
      <w:proofErr w:type="spellEnd"/>
      <w:r w:rsidRPr="00C8219D">
        <w:rPr>
          <w:rFonts w:ascii="Times New Roman" w:eastAsia="Times New Roman" w:hAnsi="Times New Roman" w:cs="Times New Roman"/>
          <w:i/>
          <w:iCs/>
          <w:sz w:val="24"/>
          <w:szCs w:val="24"/>
          <w:lang w:eastAsia="en-IN"/>
        </w:rPr>
        <w:t>’ modular approach allows faster commissioning and lower capital outlay, making it attractive for emerging market refiners.</w:t>
      </w:r>
    </w:p>
    <w:p w14:paraId="034E885D"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Shell Global Solutions</w:t>
      </w:r>
      <w:r w:rsidRPr="00C8219D">
        <w:rPr>
          <w:rFonts w:ascii="Times New Roman" w:eastAsia="Times New Roman" w:hAnsi="Times New Roman" w:cs="Times New Roman"/>
          <w:sz w:val="24"/>
          <w:szCs w:val="24"/>
          <w:lang w:eastAsia="en-IN"/>
        </w:rPr>
        <w:br/>
        <w:t>Shell’s hydrocracking solutions focus on maximizing middle distillates while reducing operational costs. Their proprietary catalysts and process designs aim for high conversion efficiency with low hydrogen consumption. Shell leverages its extensive R&amp;D network to continuously improve process yields and environmental performance. Its global reach covers all major refining hubs, with a strong emphasis on high-</w:t>
      </w:r>
      <w:proofErr w:type="spellStart"/>
      <w:r w:rsidRPr="00C8219D">
        <w:rPr>
          <w:rFonts w:ascii="Times New Roman" w:eastAsia="Times New Roman" w:hAnsi="Times New Roman" w:cs="Times New Roman"/>
          <w:sz w:val="24"/>
          <w:szCs w:val="24"/>
          <w:lang w:eastAsia="en-IN"/>
        </w:rPr>
        <w:t>sulfur</w:t>
      </w:r>
      <w:proofErr w:type="spellEnd"/>
      <w:r w:rsidRPr="00C8219D">
        <w:rPr>
          <w:rFonts w:ascii="Times New Roman" w:eastAsia="Times New Roman" w:hAnsi="Times New Roman" w:cs="Times New Roman"/>
          <w:sz w:val="24"/>
          <w:szCs w:val="24"/>
          <w:lang w:eastAsia="en-IN"/>
        </w:rPr>
        <w:t xml:space="preserve"> crude processing in the Middle East, Latin America, and Asia-Pacific.</w:t>
      </w:r>
    </w:p>
    <w:p w14:paraId="76D21719"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lastRenderedPageBreak/>
        <w:t>KBR, Inc.</w:t>
      </w:r>
      <w:r w:rsidRPr="00C8219D">
        <w:rPr>
          <w:rFonts w:ascii="Times New Roman" w:eastAsia="Times New Roman" w:hAnsi="Times New Roman" w:cs="Times New Roman"/>
          <w:sz w:val="24"/>
          <w:szCs w:val="24"/>
          <w:lang w:eastAsia="en-IN"/>
        </w:rPr>
        <w:br/>
        <w:t>KBR is known for its engineering and construction expertise in building hydrocracking units. Their approach emphasizes turnkey solutions, integrating design, construction, and optimization of hydrocrackers. KBR serves a variety of markets, from North America to Africa, offering both single-stage and two-stage configurations. The company differentiates itself through its engineering precision and project management capabilities, often targeting large-scale refinery expansions.</w:t>
      </w:r>
    </w:p>
    <w:p w14:paraId="74CD0694"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Technip Energies</w:t>
      </w:r>
      <w:r w:rsidRPr="00C8219D">
        <w:rPr>
          <w:rFonts w:ascii="Times New Roman" w:eastAsia="Times New Roman" w:hAnsi="Times New Roman" w:cs="Times New Roman"/>
          <w:sz w:val="24"/>
          <w:szCs w:val="24"/>
          <w:lang w:eastAsia="en-IN"/>
        </w:rPr>
        <w:br/>
        <w:t>Technip Energies provides advanced hydrocracking solutions with a focus on sustainability and energy efficiency. Their technology portfolio includes flexible hydrocrackers capable of processing heavy feedstocks and incorporating bio-based oils. The company has strong regional presence in Europe and the Middle East, catering to both retrofit projects and new-build facilities. Strategic partnerships with catalyst providers enhance their technological competitiveness.</w:t>
      </w:r>
    </w:p>
    <w:p w14:paraId="78824D47"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Lummus Technology</w:t>
      </w:r>
      <w:r w:rsidRPr="00C8219D">
        <w:rPr>
          <w:rFonts w:ascii="Times New Roman" w:eastAsia="Times New Roman" w:hAnsi="Times New Roman" w:cs="Times New Roman"/>
          <w:sz w:val="24"/>
          <w:szCs w:val="24"/>
          <w:lang w:eastAsia="en-IN"/>
        </w:rPr>
        <w:br/>
        <w:t>Lummus Technology combines proprietary hydrocracking processes with modular design principles to support both small- and large-scale operations. Their strategy prioritizes process efficiency, low hydrogen demand, and high product selectivity. Lummus has been active in North America, Asia-Pacific, and the Middle East, often collaborating with refiners on long-term optimization projects.</w:t>
      </w:r>
    </w:p>
    <w:p w14:paraId="39DBA430"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Competitive Dynamics at a Glance</w:t>
      </w:r>
      <w:r w:rsidRPr="00C8219D">
        <w:rPr>
          <w:rFonts w:ascii="Times New Roman" w:eastAsia="Times New Roman" w:hAnsi="Times New Roman" w:cs="Times New Roman"/>
          <w:sz w:val="24"/>
          <w:szCs w:val="24"/>
          <w:lang w:eastAsia="en-IN"/>
        </w:rPr>
        <w:br/>
        <w:t xml:space="preserve">Global market leadership is defined by technology depth, feedstock versatility, and operational support. Honeywell UOP and </w:t>
      </w:r>
      <w:proofErr w:type="spellStart"/>
      <w:r w:rsidRPr="00C8219D">
        <w:rPr>
          <w:rFonts w:ascii="Times New Roman" w:eastAsia="Times New Roman" w:hAnsi="Times New Roman" w:cs="Times New Roman"/>
          <w:sz w:val="24"/>
          <w:szCs w:val="24"/>
          <w:lang w:eastAsia="en-IN"/>
        </w:rPr>
        <w:t>Axens</w:t>
      </w:r>
      <w:proofErr w:type="spellEnd"/>
      <w:r w:rsidRPr="00C8219D">
        <w:rPr>
          <w:rFonts w:ascii="Times New Roman" w:eastAsia="Times New Roman" w:hAnsi="Times New Roman" w:cs="Times New Roman"/>
          <w:sz w:val="24"/>
          <w:szCs w:val="24"/>
          <w:lang w:eastAsia="en-IN"/>
        </w:rPr>
        <w:t xml:space="preserve"> lead in licensing and modular solutions, while Shell leverages R&amp;D and integrated refinery know-how. KBR and Technip Energies focus on engineering excellence and sustainability, whereas Lummus Technology differentiates via efficiency and flexibility. Price is a consideration, but reliability, yield optimization, and regulatory compliance are stronger drivers of adoption.</w:t>
      </w:r>
    </w:p>
    <w:p w14:paraId="3A36A7F8"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Overall, competition in hydrocracking is less about volume and more about technological leadership and service differentiation. Refiners prioritize partners who can deliver not only robust units but also ongoing operational support, catalyst innovation, and adaptability to evolving crude and product specifications.</w:t>
      </w:r>
    </w:p>
    <w:p w14:paraId="16EE3383" w14:textId="77777777" w:rsidR="00C8219D" w:rsidRPr="00C8219D" w:rsidRDefault="00C8219D" w:rsidP="00C821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219D">
        <w:rPr>
          <w:rFonts w:ascii="Times New Roman" w:eastAsia="Times New Roman" w:hAnsi="Times New Roman" w:cs="Times New Roman"/>
          <w:b/>
          <w:bCs/>
          <w:kern w:val="36"/>
          <w:sz w:val="48"/>
          <w:szCs w:val="48"/>
          <w:lang w:eastAsia="en-IN"/>
        </w:rPr>
        <w:t>5. Regional Landscape and Adoption Outlook</w:t>
      </w:r>
    </w:p>
    <w:p w14:paraId="4B3AD4B9"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The hydrocracking market exhibits marked regional diversity, shaped by crude availability, energy demand, refining infrastructure, and regulatory frameworks. Understanding regional dynamics is crucial for stakeholders aiming to capture growth opportunities or optimize refinery operations.</w:t>
      </w:r>
    </w:p>
    <w:p w14:paraId="2AFF9686"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North America</w:t>
      </w:r>
      <w:r w:rsidRPr="00C8219D">
        <w:rPr>
          <w:rFonts w:ascii="Times New Roman" w:eastAsia="Times New Roman" w:hAnsi="Times New Roman" w:cs="Times New Roman"/>
          <w:sz w:val="24"/>
          <w:szCs w:val="24"/>
          <w:lang w:eastAsia="en-IN"/>
        </w:rPr>
        <w:br/>
        <w:t xml:space="preserve">North America represents a mature hydrocracking market, with the United States and Canada leading adoption. Refiners in this region are driven by stringent environmental regulations, including ultra-low </w:t>
      </w:r>
      <w:proofErr w:type="spellStart"/>
      <w:r w:rsidRPr="00C8219D">
        <w:rPr>
          <w:rFonts w:ascii="Times New Roman" w:eastAsia="Times New Roman" w:hAnsi="Times New Roman" w:cs="Times New Roman"/>
          <w:sz w:val="24"/>
          <w:szCs w:val="24"/>
          <w:lang w:eastAsia="en-IN"/>
        </w:rPr>
        <w:t>sulfur</w:t>
      </w:r>
      <w:proofErr w:type="spellEnd"/>
      <w:r w:rsidRPr="00C8219D">
        <w:rPr>
          <w:rFonts w:ascii="Times New Roman" w:eastAsia="Times New Roman" w:hAnsi="Times New Roman" w:cs="Times New Roman"/>
          <w:sz w:val="24"/>
          <w:szCs w:val="24"/>
          <w:lang w:eastAsia="en-IN"/>
        </w:rPr>
        <w:t xml:space="preserve"> diesel mandates and renewable fuel standards. Advanced </w:t>
      </w:r>
      <w:r w:rsidRPr="00C8219D">
        <w:rPr>
          <w:rFonts w:ascii="Times New Roman" w:eastAsia="Times New Roman" w:hAnsi="Times New Roman" w:cs="Times New Roman"/>
          <w:sz w:val="24"/>
          <w:szCs w:val="24"/>
          <w:lang w:eastAsia="en-IN"/>
        </w:rPr>
        <w:lastRenderedPageBreak/>
        <w:t>hydrocracking units are widely deployed to process light and medium VGO feedstocks, producing cleaner diesel and jet fuel. The U.S. Gulf Coast remains a hub of hydrocracking activity, where refineries are investing in process upgrades and digital integration to optimize efficiency. Emerging trends include modular retrofits and AI-driven process monitoring to reduce downtime and maximize yield.</w:t>
      </w:r>
    </w:p>
    <w:p w14:paraId="2A3E59F0"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Europe</w:t>
      </w:r>
      <w:r w:rsidRPr="00C8219D">
        <w:rPr>
          <w:rFonts w:ascii="Times New Roman" w:eastAsia="Times New Roman" w:hAnsi="Times New Roman" w:cs="Times New Roman"/>
          <w:sz w:val="24"/>
          <w:szCs w:val="24"/>
          <w:lang w:eastAsia="en-IN"/>
        </w:rPr>
        <w:br/>
        <w:t xml:space="preserve">Europe’s hydrocracking adoption is influenced heavily by environmental directives such as the European Union’s Renewable Energy Directive and </w:t>
      </w:r>
      <w:proofErr w:type="spellStart"/>
      <w:r w:rsidRPr="00C8219D">
        <w:rPr>
          <w:rFonts w:ascii="Times New Roman" w:eastAsia="Times New Roman" w:hAnsi="Times New Roman" w:cs="Times New Roman"/>
          <w:sz w:val="24"/>
          <w:szCs w:val="24"/>
          <w:lang w:eastAsia="en-IN"/>
        </w:rPr>
        <w:t>sulfur</w:t>
      </w:r>
      <w:proofErr w:type="spellEnd"/>
      <w:r w:rsidRPr="00C8219D">
        <w:rPr>
          <w:rFonts w:ascii="Times New Roman" w:eastAsia="Times New Roman" w:hAnsi="Times New Roman" w:cs="Times New Roman"/>
          <w:sz w:val="24"/>
          <w:szCs w:val="24"/>
          <w:lang w:eastAsia="en-IN"/>
        </w:rPr>
        <w:t xml:space="preserve"> limits in fuels. Countries like Germany, France, and the Netherlands are leaders in upgrading refineries with modern hydrocracking units. There is a focus on processing heavier feedstocks efficiently while minimizing emissions. Refineries in Europe also emphasize energy efficiency and sustainability, integrating hydrocracking with hydrogen recovery and residue upgrading systems. Eastern European countries are gradually expanding their hydrocracking capacity, driven by growing diesel demand and investments in refinery modernization.</w:t>
      </w:r>
    </w:p>
    <w:p w14:paraId="350D1C10"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Asia-Pacific</w:t>
      </w:r>
      <w:r w:rsidRPr="00C8219D">
        <w:rPr>
          <w:rFonts w:ascii="Times New Roman" w:eastAsia="Times New Roman" w:hAnsi="Times New Roman" w:cs="Times New Roman"/>
          <w:sz w:val="24"/>
          <w:szCs w:val="24"/>
          <w:lang w:eastAsia="en-IN"/>
        </w:rPr>
        <w:br/>
      </w:r>
      <w:proofErr w:type="spellStart"/>
      <w:r w:rsidRPr="00C8219D">
        <w:rPr>
          <w:rFonts w:ascii="Times New Roman" w:eastAsia="Times New Roman" w:hAnsi="Times New Roman" w:cs="Times New Roman"/>
          <w:sz w:val="24"/>
          <w:szCs w:val="24"/>
          <w:lang w:eastAsia="en-IN"/>
        </w:rPr>
        <w:t>Asia-Pacific</w:t>
      </w:r>
      <w:proofErr w:type="spellEnd"/>
      <w:r w:rsidRPr="00C8219D">
        <w:rPr>
          <w:rFonts w:ascii="Times New Roman" w:eastAsia="Times New Roman" w:hAnsi="Times New Roman" w:cs="Times New Roman"/>
          <w:sz w:val="24"/>
          <w:szCs w:val="24"/>
          <w:lang w:eastAsia="en-IN"/>
        </w:rPr>
        <w:t xml:space="preserve"> is the fastest-growing hydrocracking region, </w:t>
      </w:r>
      <w:proofErr w:type="spellStart"/>
      <w:r w:rsidRPr="00C8219D">
        <w:rPr>
          <w:rFonts w:ascii="Times New Roman" w:eastAsia="Times New Roman" w:hAnsi="Times New Roman" w:cs="Times New Roman"/>
          <w:sz w:val="24"/>
          <w:szCs w:val="24"/>
          <w:lang w:eastAsia="en-IN"/>
        </w:rPr>
        <w:t>fueled</w:t>
      </w:r>
      <w:proofErr w:type="spellEnd"/>
      <w:r w:rsidRPr="00C8219D">
        <w:rPr>
          <w:rFonts w:ascii="Times New Roman" w:eastAsia="Times New Roman" w:hAnsi="Times New Roman" w:cs="Times New Roman"/>
          <w:sz w:val="24"/>
          <w:szCs w:val="24"/>
          <w:lang w:eastAsia="en-IN"/>
        </w:rPr>
        <w:t xml:space="preserve"> by rapid industrialization, urbanization, and increasing transportation fuel demand. China and India lead in volume, investing in new hydrocracking capacities to meet surging diesel and jet fuel requirements. Southeast Asian countries, such as Indonesia and Thailand, are also expanding refining infrastructure, often integrating two-stage hydrocracking processes to handle heavier crude slates efficiently. Governments in the region are incentivizing low-</w:t>
      </w:r>
      <w:proofErr w:type="spellStart"/>
      <w:r w:rsidRPr="00C8219D">
        <w:rPr>
          <w:rFonts w:ascii="Times New Roman" w:eastAsia="Times New Roman" w:hAnsi="Times New Roman" w:cs="Times New Roman"/>
          <w:sz w:val="24"/>
          <w:szCs w:val="24"/>
          <w:lang w:eastAsia="en-IN"/>
        </w:rPr>
        <w:t>sulfur</w:t>
      </w:r>
      <w:proofErr w:type="spellEnd"/>
      <w:r w:rsidRPr="00C8219D">
        <w:rPr>
          <w:rFonts w:ascii="Times New Roman" w:eastAsia="Times New Roman" w:hAnsi="Times New Roman" w:cs="Times New Roman"/>
          <w:sz w:val="24"/>
          <w:szCs w:val="24"/>
          <w:lang w:eastAsia="en-IN"/>
        </w:rPr>
        <w:t xml:space="preserve"> fuel production, further accelerating hydrocracking adoption. </w:t>
      </w:r>
      <w:r w:rsidRPr="00C8219D">
        <w:rPr>
          <w:rFonts w:ascii="Times New Roman" w:eastAsia="Times New Roman" w:hAnsi="Times New Roman" w:cs="Times New Roman"/>
          <w:i/>
          <w:iCs/>
          <w:sz w:val="24"/>
          <w:szCs w:val="24"/>
          <w:lang w:eastAsia="en-IN"/>
        </w:rPr>
        <w:t>Expert insight: the combination of rising middle distillate demand and abundant heavy crude feedstock is creating a robust pipeline for hydrocracking projects.</w:t>
      </w:r>
    </w:p>
    <w:p w14:paraId="52FA5D6A"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LAMEA (Latin America, Middle East &amp; Africa)</w:t>
      </w:r>
      <w:r w:rsidRPr="00C8219D">
        <w:rPr>
          <w:rFonts w:ascii="Times New Roman" w:eastAsia="Times New Roman" w:hAnsi="Times New Roman" w:cs="Times New Roman"/>
          <w:sz w:val="24"/>
          <w:szCs w:val="24"/>
          <w:lang w:eastAsia="en-IN"/>
        </w:rPr>
        <w:br/>
        <w:t>LAMEA is an emerging market for hydrocracking, with growth concentrated in the Middle East and select Latin American countries. The Middle East leverages abundant heavy crude reserves, integrating hydrocracking to produce higher-value fuels such as diesel and naphtha for export. Saudi Arabia, UAE, and Kuwait are investing in modern hydrocracking units as part of refinery expansion plans. In Latin America, Brazil and Mexico are modernizing their refining infrastructure to process heavier feedstocks while meeting environmental standards. Africa, however, remains underpenetrated, with limited hydrocracking adoption due to capital constraints and reliance on imported fuels. Mobile and modular solutions may offer potential in underserved regions.</w:t>
      </w:r>
    </w:p>
    <w:p w14:paraId="69DE8FE9"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White Space and Strategic Outlook</w:t>
      </w:r>
      <w:r w:rsidRPr="00C8219D">
        <w:rPr>
          <w:rFonts w:ascii="Times New Roman" w:eastAsia="Times New Roman" w:hAnsi="Times New Roman" w:cs="Times New Roman"/>
          <w:sz w:val="24"/>
          <w:szCs w:val="24"/>
          <w:lang w:eastAsia="en-IN"/>
        </w:rPr>
        <w:br/>
        <w:t>North America and Europe continue to lead in technology and operational sophistication, while Asia-Pacific drives volume growth. LAMEA represents untapped potential, particularly where heavy crude feedstocks are available. Adoption trends indicate that regions investing in two-stage hydrocracking for middle distillates, coupled with digital optimization and low-</w:t>
      </w:r>
      <w:proofErr w:type="spellStart"/>
      <w:r w:rsidRPr="00C8219D">
        <w:rPr>
          <w:rFonts w:ascii="Times New Roman" w:eastAsia="Times New Roman" w:hAnsi="Times New Roman" w:cs="Times New Roman"/>
          <w:sz w:val="24"/>
          <w:szCs w:val="24"/>
          <w:lang w:eastAsia="en-IN"/>
        </w:rPr>
        <w:t>sulfur</w:t>
      </w:r>
      <w:proofErr w:type="spellEnd"/>
      <w:r w:rsidRPr="00C8219D">
        <w:rPr>
          <w:rFonts w:ascii="Times New Roman" w:eastAsia="Times New Roman" w:hAnsi="Times New Roman" w:cs="Times New Roman"/>
          <w:sz w:val="24"/>
          <w:szCs w:val="24"/>
          <w:lang w:eastAsia="en-IN"/>
        </w:rPr>
        <w:t xml:space="preserve"> fuel compliance, will dominate market growth over the next decade.</w:t>
      </w:r>
    </w:p>
    <w:p w14:paraId="1A43C6C6"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In summary, regional dynamics in hydrocracking reflect a mix of market maturity, environmental pressure, and crude feedstock characteristics. Strategic deployment and technology selection are tailored to local fuel demand, regulatory compliance, and refining economics, ensuring that hydrocracking remains a cornerstone of global fuel production.</w:t>
      </w:r>
    </w:p>
    <w:p w14:paraId="5BD0A85C" w14:textId="77777777" w:rsidR="00C8219D" w:rsidRPr="00C8219D" w:rsidRDefault="00C8219D" w:rsidP="00C821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219D">
        <w:rPr>
          <w:rFonts w:ascii="Times New Roman" w:eastAsia="Times New Roman" w:hAnsi="Times New Roman" w:cs="Times New Roman"/>
          <w:b/>
          <w:bCs/>
          <w:kern w:val="36"/>
          <w:sz w:val="48"/>
          <w:szCs w:val="48"/>
          <w:lang w:eastAsia="en-IN"/>
        </w:rPr>
        <w:lastRenderedPageBreak/>
        <w:t>6. End-User Dynamics and Use Case</w:t>
      </w:r>
    </w:p>
    <w:p w14:paraId="6ED7A8DC"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 xml:space="preserve">The hydrocracking market serves a diverse set of end users, primarily </w:t>
      </w:r>
      <w:r w:rsidRPr="00C8219D">
        <w:rPr>
          <w:rFonts w:ascii="Times New Roman" w:eastAsia="Times New Roman" w:hAnsi="Times New Roman" w:cs="Times New Roman"/>
          <w:b/>
          <w:bCs/>
          <w:sz w:val="24"/>
          <w:szCs w:val="24"/>
          <w:lang w:eastAsia="en-IN"/>
        </w:rPr>
        <w:t>refining companies</w:t>
      </w:r>
      <w:r w:rsidRPr="00C8219D">
        <w:rPr>
          <w:rFonts w:ascii="Times New Roman" w:eastAsia="Times New Roman" w:hAnsi="Times New Roman" w:cs="Times New Roman"/>
          <w:sz w:val="24"/>
          <w:szCs w:val="24"/>
          <w:lang w:eastAsia="en-IN"/>
        </w:rPr>
        <w:t>, integrated oil majors, and independent refiners. Each end-user segment approaches hydrocracking adoption based on product demand, feedstock availability, and operational strategy, creating distinct dynamics across the market.</w:t>
      </w:r>
    </w:p>
    <w:p w14:paraId="6275FF26"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Integrated Oil &amp; Gas Majors</w:t>
      </w:r>
      <w:r w:rsidRPr="00C8219D">
        <w:rPr>
          <w:rFonts w:ascii="Times New Roman" w:eastAsia="Times New Roman" w:hAnsi="Times New Roman" w:cs="Times New Roman"/>
          <w:sz w:val="24"/>
          <w:szCs w:val="24"/>
          <w:lang w:eastAsia="en-IN"/>
        </w:rPr>
        <w:br/>
        <w:t>Global oil majors such as ExxonMobil, Shell, and Saudi Aramco operate complex refineries with multiple hydrocracking units. Their strategy emphasizes maximizing middle distillate yields, achieving low-</w:t>
      </w:r>
      <w:proofErr w:type="spellStart"/>
      <w:r w:rsidRPr="00C8219D">
        <w:rPr>
          <w:rFonts w:ascii="Times New Roman" w:eastAsia="Times New Roman" w:hAnsi="Times New Roman" w:cs="Times New Roman"/>
          <w:sz w:val="24"/>
          <w:szCs w:val="24"/>
          <w:lang w:eastAsia="en-IN"/>
        </w:rPr>
        <w:t>sulfur</w:t>
      </w:r>
      <w:proofErr w:type="spellEnd"/>
      <w:r w:rsidRPr="00C8219D">
        <w:rPr>
          <w:rFonts w:ascii="Times New Roman" w:eastAsia="Times New Roman" w:hAnsi="Times New Roman" w:cs="Times New Roman"/>
          <w:sz w:val="24"/>
          <w:szCs w:val="24"/>
          <w:lang w:eastAsia="en-IN"/>
        </w:rPr>
        <w:t xml:space="preserve"> compliance, and integrating hydrocracking with hydrotreating and residue upgrading. These players invest heavily in technology upgrades, advanced catalysts, and digital monitoring solutions to optimize throughput and energy efficiency. Integrated majors also focus on sustainability, exploring co-processing of bio-oils in hydrocracking units to reduce carbon intensity while maintaining production volume.</w:t>
      </w:r>
    </w:p>
    <w:p w14:paraId="63CA3F20"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Independent Refiners</w:t>
      </w:r>
      <w:r w:rsidRPr="00C8219D">
        <w:rPr>
          <w:rFonts w:ascii="Times New Roman" w:eastAsia="Times New Roman" w:hAnsi="Times New Roman" w:cs="Times New Roman"/>
          <w:sz w:val="24"/>
          <w:szCs w:val="24"/>
          <w:lang w:eastAsia="en-IN"/>
        </w:rPr>
        <w:br/>
        <w:t>Smaller or independent refiners often adopt hydrocracking selectively, based on regional diesel or naphtha demand. These refineries prioritize modular and flexible hydrocracking solutions, which require lower capital investment and can accommodate varying crude qualities. Independent refiners are increasingly leveraging licensing agreements with technology providers to gain access to efficient two-stage hydrocracking processes without extensive in-house R&amp;D.</w:t>
      </w:r>
    </w:p>
    <w:p w14:paraId="60E4A529"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National Oil Companies (NOCs)</w:t>
      </w:r>
      <w:r w:rsidRPr="00C8219D">
        <w:rPr>
          <w:rFonts w:ascii="Times New Roman" w:eastAsia="Times New Roman" w:hAnsi="Times New Roman" w:cs="Times New Roman"/>
          <w:sz w:val="24"/>
          <w:szCs w:val="24"/>
          <w:lang w:eastAsia="en-IN"/>
        </w:rPr>
        <w:br/>
        <w:t>NOCs in regions such as the Middle East, Latin America, and Asia-Pacific are investing in hydrocracking as part of national energy strategies. These units are often aimed at value addition—converting heavy, low-value crude into middle distillates for domestic consumption or export. For example, Middle Eastern NOCs are implementing advanced two-stage hydrocrackers to maximize diesel output while meeting export-quality specifications.</w:t>
      </w:r>
    </w:p>
    <w:p w14:paraId="3EA0FD5F"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Use Case Highlight</w:t>
      </w:r>
      <w:r w:rsidRPr="00C8219D">
        <w:rPr>
          <w:rFonts w:ascii="Times New Roman" w:eastAsia="Times New Roman" w:hAnsi="Times New Roman" w:cs="Times New Roman"/>
          <w:sz w:val="24"/>
          <w:szCs w:val="24"/>
          <w:lang w:eastAsia="en-IN"/>
        </w:rPr>
        <w:br/>
        <w:t xml:space="preserve">A large refinery in India faced increasing diesel demand and stricter </w:t>
      </w:r>
      <w:proofErr w:type="spellStart"/>
      <w:r w:rsidRPr="00C8219D">
        <w:rPr>
          <w:rFonts w:ascii="Times New Roman" w:eastAsia="Times New Roman" w:hAnsi="Times New Roman" w:cs="Times New Roman"/>
          <w:sz w:val="24"/>
          <w:szCs w:val="24"/>
          <w:lang w:eastAsia="en-IN"/>
        </w:rPr>
        <w:t>sulfur</w:t>
      </w:r>
      <w:proofErr w:type="spellEnd"/>
      <w:r w:rsidRPr="00C8219D">
        <w:rPr>
          <w:rFonts w:ascii="Times New Roman" w:eastAsia="Times New Roman" w:hAnsi="Times New Roman" w:cs="Times New Roman"/>
          <w:sz w:val="24"/>
          <w:szCs w:val="24"/>
          <w:lang w:eastAsia="en-IN"/>
        </w:rPr>
        <w:t xml:space="preserve"> regulations. The facility implemented a two-stage hydrocracking unit capable of processing both VGO and residual oils. The unit incorporated advanced bifunctional catalysts and digital monitoring systems, enabling dynamic adjustment to fluctuating feedstock quality. As a result, diesel yield increased by 15%, </w:t>
      </w:r>
      <w:proofErr w:type="spellStart"/>
      <w:r w:rsidRPr="00C8219D">
        <w:rPr>
          <w:rFonts w:ascii="Times New Roman" w:eastAsia="Times New Roman" w:hAnsi="Times New Roman" w:cs="Times New Roman"/>
          <w:sz w:val="24"/>
          <w:szCs w:val="24"/>
          <w:lang w:eastAsia="en-IN"/>
        </w:rPr>
        <w:t>sulfur</w:t>
      </w:r>
      <w:proofErr w:type="spellEnd"/>
      <w:r w:rsidRPr="00C8219D">
        <w:rPr>
          <w:rFonts w:ascii="Times New Roman" w:eastAsia="Times New Roman" w:hAnsi="Times New Roman" w:cs="Times New Roman"/>
          <w:sz w:val="24"/>
          <w:szCs w:val="24"/>
          <w:lang w:eastAsia="en-IN"/>
        </w:rPr>
        <w:t xml:space="preserve"> content was reduced to below 10 ppm, and operational efficiency improved, lowering hydrogen consumption by 8%. </w:t>
      </w:r>
      <w:r w:rsidRPr="00C8219D">
        <w:rPr>
          <w:rFonts w:ascii="Times New Roman" w:eastAsia="Times New Roman" w:hAnsi="Times New Roman" w:cs="Times New Roman"/>
          <w:i/>
          <w:iCs/>
          <w:sz w:val="24"/>
          <w:szCs w:val="24"/>
          <w:lang w:eastAsia="en-IN"/>
        </w:rPr>
        <w:t>Insight: this case illustrates how hydrocracking adoption not only improves product output but also enhances regulatory compliance and operational economics.</w:t>
      </w:r>
    </w:p>
    <w:p w14:paraId="4124F96F"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End-User Insights</w:t>
      </w:r>
    </w:p>
    <w:p w14:paraId="4281DB96" w14:textId="77777777" w:rsidR="00C8219D" w:rsidRPr="00C8219D" w:rsidRDefault="00C8219D" w:rsidP="00C8219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Refiners with high heavy crude feedstock availability prefer two-stage units with feedstock flexibility.</w:t>
      </w:r>
    </w:p>
    <w:p w14:paraId="0AD1CF2E" w14:textId="77777777" w:rsidR="00C8219D" w:rsidRPr="00C8219D" w:rsidRDefault="00C8219D" w:rsidP="00C8219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Integrated majors emphasize technological sophistication and sustainability initiatives.</w:t>
      </w:r>
    </w:p>
    <w:p w14:paraId="2E05C857" w14:textId="77777777" w:rsidR="00C8219D" w:rsidRPr="00C8219D" w:rsidRDefault="00C8219D" w:rsidP="00C8219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Independent refiners focus on modular, cost-effective solutions to meet regional fuel demand.</w:t>
      </w:r>
    </w:p>
    <w:p w14:paraId="2EE38706" w14:textId="77777777" w:rsidR="00C8219D" w:rsidRPr="00C8219D" w:rsidRDefault="00C8219D" w:rsidP="00C8219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lastRenderedPageBreak/>
        <w:t>NOCs leverage hydrocracking to upgrade crude and support national energy policies.</w:t>
      </w:r>
    </w:p>
    <w:p w14:paraId="69BFCDB7"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In essence, end-user adoption is driven by a combination of feedstock characteristics, product demand, regulatory requirements, and capital availability. Hydrocracking remains an essential tool for producing high-value fuels, optimizing refinery economics, and meeting evolving environmental standards across diverse refining operations.</w:t>
      </w:r>
    </w:p>
    <w:p w14:paraId="5BD63812" w14:textId="77777777" w:rsidR="00C8219D" w:rsidRPr="00C8219D" w:rsidRDefault="00C8219D" w:rsidP="00C821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219D">
        <w:rPr>
          <w:rFonts w:ascii="Times New Roman" w:eastAsia="Times New Roman" w:hAnsi="Times New Roman" w:cs="Times New Roman"/>
          <w:b/>
          <w:bCs/>
          <w:kern w:val="36"/>
          <w:sz w:val="48"/>
          <w:szCs w:val="48"/>
          <w:lang w:eastAsia="en-IN"/>
        </w:rPr>
        <w:t>7. Recent Developments + Opportunities &amp; Restraints</w:t>
      </w:r>
    </w:p>
    <w:p w14:paraId="4431DF22"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Recent Developments (Last 2 Years)</w:t>
      </w:r>
    </w:p>
    <w:p w14:paraId="4849F7F6" w14:textId="640B5A51" w:rsidR="00C8219D" w:rsidRPr="00C8219D" w:rsidRDefault="00C8219D" w:rsidP="00C8219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Honeywell UOP launched an upgraded two-stage hydrocracking process in 2024</w:t>
      </w:r>
      <w:r w:rsidRPr="00C8219D">
        <w:rPr>
          <w:rFonts w:ascii="Times New Roman" w:eastAsia="Times New Roman" w:hAnsi="Times New Roman" w:cs="Times New Roman"/>
          <w:sz w:val="24"/>
          <w:szCs w:val="24"/>
          <w:lang w:eastAsia="en-IN"/>
        </w:rPr>
        <w:t xml:space="preserve">, enhancing diesel selectivity and reducing hydrogen consumption for heavy crude feedstocks. </w:t>
      </w:r>
    </w:p>
    <w:p w14:paraId="58BA85B0" w14:textId="50EE60FB" w:rsidR="00C8219D" w:rsidRPr="00C8219D" w:rsidRDefault="00C8219D" w:rsidP="00C8219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Shell Global Solutions completed a digital twin integration of its hydrocracking units in 2023</w:t>
      </w:r>
      <w:r w:rsidRPr="00C8219D">
        <w:rPr>
          <w:rFonts w:ascii="Times New Roman" w:eastAsia="Times New Roman" w:hAnsi="Times New Roman" w:cs="Times New Roman"/>
          <w:sz w:val="24"/>
          <w:szCs w:val="24"/>
          <w:lang w:eastAsia="en-IN"/>
        </w:rPr>
        <w:t xml:space="preserve">, enabling predictive maintenance and real-time optimization for high-throughput refineries. </w:t>
      </w:r>
    </w:p>
    <w:p w14:paraId="06A78B4E" w14:textId="72E18669" w:rsidR="00C8219D" w:rsidRPr="00C8219D" w:rsidRDefault="00C8219D" w:rsidP="00C8219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8219D">
        <w:rPr>
          <w:rFonts w:ascii="Times New Roman" w:eastAsia="Times New Roman" w:hAnsi="Times New Roman" w:cs="Times New Roman"/>
          <w:b/>
          <w:bCs/>
          <w:sz w:val="24"/>
          <w:szCs w:val="24"/>
          <w:lang w:eastAsia="en-IN"/>
        </w:rPr>
        <w:t>Axens</w:t>
      </w:r>
      <w:proofErr w:type="spellEnd"/>
      <w:r w:rsidRPr="00C8219D">
        <w:rPr>
          <w:rFonts w:ascii="Times New Roman" w:eastAsia="Times New Roman" w:hAnsi="Times New Roman" w:cs="Times New Roman"/>
          <w:b/>
          <w:bCs/>
          <w:sz w:val="24"/>
          <w:szCs w:val="24"/>
          <w:lang w:eastAsia="en-IN"/>
        </w:rPr>
        <w:t xml:space="preserve"> introduced modular hydrocracking units in 2024</w:t>
      </w:r>
      <w:r w:rsidRPr="00C8219D">
        <w:rPr>
          <w:rFonts w:ascii="Times New Roman" w:eastAsia="Times New Roman" w:hAnsi="Times New Roman" w:cs="Times New Roman"/>
          <w:sz w:val="24"/>
          <w:szCs w:val="24"/>
          <w:lang w:eastAsia="en-IN"/>
        </w:rPr>
        <w:t xml:space="preserve">, allowing rapid deployment and flexibility to process varied crude qualities in emerging markets. </w:t>
      </w:r>
    </w:p>
    <w:p w14:paraId="6497E50F" w14:textId="4B1800BF" w:rsidR="00C8219D" w:rsidRPr="00C8219D" w:rsidRDefault="00C8219D" w:rsidP="00C8219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Technip Energies partnered with a Middle Eastern NOC in 2023</w:t>
      </w:r>
      <w:r w:rsidRPr="00C8219D">
        <w:rPr>
          <w:rFonts w:ascii="Times New Roman" w:eastAsia="Times New Roman" w:hAnsi="Times New Roman" w:cs="Times New Roman"/>
          <w:sz w:val="24"/>
          <w:szCs w:val="24"/>
          <w:lang w:eastAsia="en-IN"/>
        </w:rPr>
        <w:t xml:space="preserve"> to design a hydrocracking unit capable of co-processing bio-oil with VGO, supporting cleaner fuel production. </w:t>
      </w:r>
    </w:p>
    <w:p w14:paraId="323B535B" w14:textId="2ADBBE15" w:rsidR="00C8219D" w:rsidRPr="00C8219D" w:rsidRDefault="00C8219D" w:rsidP="00C8219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Lummus Technology implemented advanced catalyst systems in 2024</w:t>
      </w:r>
      <w:r w:rsidRPr="00C8219D">
        <w:rPr>
          <w:rFonts w:ascii="Times New Roman" w:eastAsia="Times New Roman" w:hAnsi="Times New Roman" w:cs="Times New Roman"/>
          <w:sz w:val="24"/>
          <w:szCs w:val="24"/>
          <w:lang w:eastAsia="en-IN"/>
        </w:rPr>
        <w:t xml:space="preserve">, improving middle distillate yields and reducing residue generation in large-scale refinery operations. </w:t>
      </w:r>
    </w:p>
    <w:p w14:paraId="28F99AE8"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Opportunities</w:t>
      </w:r>
    </w:p>
    <w:p w14:paraId="0AB88FC0" w14:textId="77777777" w:rsidR="00C8219D" w:rsidRPr="00C8219D" w:rsidRDefault="00C8219D" w:rsidP="00C8219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Expansion in Emerging Markets</w:t>
      </w:r>
      <w:r w:rsidRPr="00C8219D">
        <w:rPr>
          <w:rFonts w:ascii="Times New Roman" w:eastAsia="Times New Roman" w:hAnsi="Times New Roman" w:cs="Times New Roman"/>
          <w:sz w:val="24"/>
          <w:szCs w:val="24"/>
          <w:lang w:eastAsia="en-IN"/>
        </w:rPr>
        <w:t>: Rapid industrialization and transportation fuel demand in Asia-Pacific and LAMEA are driving investments in new hydrocracking units.</w:t>
      </w:r>
    </w:p>
    <w:p w14:paraId="656F6794" w14:textId="77777777" w:rsidR="00C8219D" w:rsidRPr="00C8219D" w:rsidRDefault="00C8219D" w:rsidP="00C8219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Integration with Renewable Feedstocks</w:t>
      </w:r>
      <w:r w:rsidRPr="00C8219D">
        <w:rPr>
          <w:rFonts w:ascii="Times New Roman" w:eastAsia="Times New Roman" w:hAnsi="Times New Roman" w:cs="Times New Roman"/>
          <w:sz w:val="24"/>
          <w:szCs w:val="24"/>
          <w:lang w:eastAsia="en-IN"/>
        </w:rPr>
        <w:t>: Co-processing bio-oils and other renewable feedstocks presents growth potential for sustainable hydrocracking operations.</w:t>
      </w:r>
    </w:p>
    <w:p w14:paraId="7DE586C2" w14:textId="77777777" w:rsidR="00C8219D" w:rsidRPr="00C8219D" w:rsidRDefault="00C8219D" w:rsidP="00C8219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Digitalization and AI Optimization</w:t>
      </w:r>
      <w:r w:rsidRPr="00C8219D">
        <w:rPr>
          <w:rFonts w:ascii="Times New Roman" w:eastAsia="Times New Roman" w:hAnsi="Times New Roman" w:cs="Times New Roman"/>
          <w:sz w:val="24"/>
          <w:szCs w:val="24"/>
          <w:lang w:eastAsia="en-IN"/>
        </w:rPr>
        <w:t>: Leveraging predictive maintenance, real-time monitoring, and AI-driven process optimization can enhance operational efficiency and reduce costs.</w:t>
      </w:r>
    </w:p>
    <w:p w14:paraId="696FB331"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Restraints</w:t>
      </w:r>
    </w:p>
    <w:p w14:paraId="7D3A3C3C" w14:textId="77777777" w:rsidR="00C8219D" w:rsidRPr="00C8219D" w:rsidRDefault="00C8219D" w:rsidP="00C8219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High Capital Expenditure</w:t>
      </w:r>
      <w:r w:rsidRPr="00C8219D">
        <w:rPr>
          <w:rFonts w:ascii="Times New Roman" w:eastAsia="Times New Roman" w:hAnsi="Times New Roman" w:cs="Times New Roman"/>
          <w:sz w:val="24"/>
          <w:szCs w:val="24"/>
          <w:lang w:eastAsia="en-IN"/>
        </w:rPr>
        <w:t>: Hydrocracking units, particularly two-stage configurations, require significant upfront investment, limiting adoption in smaller refineries.</w:t>
      </w:r>
    </w:p>
    <w:p w14:paraId="3E25B70B" w14:textId="77777777" w:rsidR="00C8219D" w:rsidRPr="00C8219D" w:rsidRDefault="00C8219D" w:rsidP="00C8219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Technical and Skilled Workforce Gap</w:t>
      </w:r>
      <w:r w:rsidRPr="00C8219D">
        <w:rPr>
          <w:rFonts w:ascii="Times New Roman" w:eastAsia="Times New Roman" w:hAnsi="Times New Roman" w:cs="Times New Roman"/>
          <w:sz w:val="24"/>
          <w:szCs w:val="24"/>
          <w:lang w:eastAsia="en-IN"/>
        </w:rPr>
        <w:t>: Advanced hydrocracking operations demand specialized engineering expertise and trained operators, which can constrain deployment in underdeveloped regions.</w:t>
      </w:r>
    </w:p>
    <w:p w14:paraId="7F0F9FD3" w14:textId="77777777" w:rsidR="00C8219D" w:rsidRPr="00C8219D" w:rsidRDefault="00C8219D" w:rsidP="00C8219D">
      <w:pPr>
        <w:pStyle w:val="Heading1"/>
        <w:rPr>
          <w:rFonts w:ascii="Times New Roman" w:eastAsia="Times New Roman" w:hAnsi="Times New Roman" w:cs="Times New Roman"/>
          <w:b/>
          <w:bCs/>
          <w:color w:val="auto"/>
          <w:kern w:val="36"/>
          <w:sz w:val="48"/>
          <w:szCs w:val="48"/>
          <w:lang w:eastAsia="en-IN"/>
        </w:rPr>
      </w:pPr>
      <w:r>
        <w:lastRenderedPageBreak/>
        <w:br/>
      </w:r>
      <w:r w:rsidRPr="00C8219D">
        <w:rPr>
          <w:rFonts w:ascii="Times New Roman" w:eastAsia="Times New Roman" w:hAnsi="Times New Roman" w:cs="Times New Roman"/>
          <w:b/>
          <w:bCs/>
          <w:color w:val="auto"/>
          <w:kern w:val="36"/>
          <w:sz w:val="48"/>
          <w:szCs w:val="48"/>
          <w:lang w:eastAsia="en-IN"/>
        </w:rPr>
        <w:t>7.1. Report Coverage Table</w:t>
      </w:r>
    </w:p>
    <w:tbl>
      <w:tblPr>
        <w:tblStyle w:val="PlainTable1"/>
        <w:tblW w:w="0" w:type="auto"/>
        <w:tblLook w:val="04A0" w:firstRow="1" w:lastRow="0" w:firstColumn="1" w:lastColumn="0" w:noHBand="0" w:noVBand="1"/>
      </w:tblPr>
      <w:tblGrid>
        <w:gridCol w:w="2455"/>
        <w:gridCol w:w="6561"/>
      </w:tblGrid>
      <w:tr w:rsidR="00C8219D" w:rsidRPr="00C8219D" w14:paraId="3604BFD9" w14:textId="77777777" w:rsidTr="00C821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35A37" w14:textId="77777777" w:rsidR="00C8219D" w:rsidRPr="00C8219D" w:rsidRDefault="00C8219D" w:rsidP="00C8219D">
            <w:pPr>
              <w:jc w:val="center"/>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Report Attribute</w:t>
            </w:r>
          </w:p>
        </w:tc>
        <w:tc>
          <w:tcPr>
            <w:tcW w:w="0" w:type="auto"/>
            <w:hideMark/>
          </w:tcPr>
          <w:p w14:paraId="0558AD80" w14:textId="77777777" w:rsidR="00C8219D" w:rsidRPr="00C8219D" w:rsidRDefault="00C8219D" w:rsidP="00C8219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Details</w:t>
            </w:r>
          </w:p>
        </w:tc>
      </w:tr>
      <w:tr w:rsidR="00C8219D" w:rsidRPr="00C8219D" w14:paraId="40C68FD0" w14:textId="77777777" w:rsidTr="00C82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0B215" w14:textId="77777777" w:rsidR="00C8219D" w:rsidRPr="00C8219D" w:rsidRDefault="00C8219D" w:rsidP="00C8219D">
            <w:pPr>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Forecast Period</w:t>
            </w:r>
          </w:p>
        </w:tc>
        <w:tc>
          <w:tcPr>
            <w:tcW w:w="0" w:type="auto"/>
            <w:hideMark/>
          </w:tcPr>
          <w:p w14:paraId="1FFCD00F" w14:textId="77777777" w:rsidR="00C8219D" w:rsidRPr="00C8219D" w:rsidRDefault="00C8219D" w:rsidP="00C821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2024 – 2030</w:t>
            </w:r>
          </w:p>
        </w:tc>
      </w:tr>
      <w:tr w:rsidR="00C8219D" w:rsidRPr="00C8219D" w14:paraId="6CF3D51A" w14:textId="77777777" w:rsidTr="00C8219D">
        <w:tc>
          <w:tcPr>
            <w:cnfStyle w:val="001000000000" w:firstRow="0" w:lastRow="0" w:firstColumn="1" w:lastColumn="0" w:oddVBand="0" w:evenVBand="0" w:oddHBand="0" w:evenHBand="0" w:firstRowFirstColumn="0" w:firstRowLastColumn="0" w:lastRowFirstColumn="0" w:lastRowLastColumn="0"/>
            <w:tcW w:w="0" w:type="auto"/>
            <w:hideMark/>
          </w:tcPr>
          <w:p w14:paraId="1C87F987" w14:textId="77777777" w:rsidR="00C8219D" w:rsidRPr="00C8219D" w:rsidRDefault="00C8219D" w:rsidP="00C8219D">
            <w:pPr>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Market Size Value in 2024</w:t>
            </w:r>
          </w:p>
        </w:tc>
        <w:tc>
          <w:tcPr>
            <w:tcW w:w="0" w:type="auto"/>
            <w:hideMark/>
          </w:tcPr>
          <w:p w14:paraId="277C7727" w14:textId="1C890071" w:rsidR="00C8219D" w:rsidRPr="00C8219D" w:rsidRDefault="00C8219D" w:rsidP="00C821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 xml:space="preserve">USD 42.5 Billion </w:t>
            </w:r>
          </w:p>
        </w:tc>
      </w:tr>
      <w:tr w:rsidR="00C8219D" w:rsidRPr="00C8219D" w14:paraId="5CAB5BD3" w14:textId="77777777" w:rsidTr="00C82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340A7" w14:textId="77777777" w:rsidR="00C8219D" w:rsidRPr="00C8219D" w:rsidRDefault="00C8219D" w:rsidP="00C8219D">
            <w:pPr>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Revenue Forecast in 2030</w:t>
            </w:r>
          </w:p>
        </w:tc>
        <w:tc>
          <w:tcPr>
            <w:tcW w:w="0" w:type="auto"/>
            <w:hideMark/>
          </w:tcPr>
          <w:p w14:paraId="6C142A65" w14:textId="1A6A4074" w:rsidR="00C8219D" w:rsidRPr="00C8219D" w:rsidRDefault="00C8219D" w:rsidP="00C821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 xml:space="preserve">USD 61.2 Billion </w:t>
            </w:r>
          </w:p>
        </w:tc>
      </w:tr>
      <w:tr w:rsidR="00C8219D" w:rsidRPr="00C8219D" w14:paraId="3E930752" w14:textId="77777777" w:rsidTr="00C8219D">
        <w:tc>
          <w:tcPr>
            <w:cnfStyle w:val="001000000000" w:firstRow="0" w:lastRow="0" w:firstColumn="1" w:lastColumn="0" w:oddVBand="0" w:evenVBand="0" w:oddHBand="0" w:evenHBand="0" w:firstRowFirstColumn="0" w:firstRowLastColumn="0" w:lastRowFirstColumn="0" w:lastRowLastColumn="0"/>
            <w:tcW w:w="0" w:type="auto"/>
            <w:hideMark/>
          </w:tcPr>
          <w:p w14:paraId="34EEA6AA" w14:textId="77777777" w:rsidR="00C8219D" w:rsidRPr="00C8219D" w:rsidRDefault="00C8219D" w:rsidP="00C8219D">
            <w:pPr>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Overall Growth Rate</w:t>
            </w:r>
          </w:p>
        </w:tc>
        <w:tc>
          <w:tcPr>
            <w:tcW w:w="0" w:type="auto"/>
            <w:hideMark/>
          </w:tcPr>
          <w:p w14:paraId="427C88A5" w14:textId="77777777" w:rsidR="00C8219D" w:rsidRPr="00C8219D" w:rsidRDefault="00C8219D" w:rsidP="00C821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CAGR of 5.8% (2024 – 2030)</w:t>
            </w:r>
          </w:p>
        </w:tc>
      </w:tr>
      <w:tr w:rsidR="00C8219D" w:rsidRPr="00C8219D" w14:paraId="4580A5BB" w14:textId="77777777" w:rsidTr="00C82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CA56A" w14:textId="77777777" w:rsidR="00C8219D" w:rsidRPr="00C8219D" w:rsidRDefault="00C8219D" w:rsidP="00C8219D">
            <w:pPr>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Base Year for Estimation</w:t>
            </w:r>
          </w:p>
        </w:tc>
        <w:tc>
          <w:tcPr>
            <w:tcW w:w="0" w:type="auto"/>
            <w:hideMark/>
          </w:tcPr>
          <w:p w14:paraId="13B29812" w14:textId="77777777" w:rsidR="00C8219D" w:rsidRPr="00C8219D" w:rsidRDefault="00C8219D" w:rsidP="00C821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2024</w:t>
            </w:r>
          </w:p>
        </w:tc>
      </w:tr>
      <w:tr w:rsidR="00C8219D" w:rsidRPr="00C8219D" w14:paraId="6E23B690" w14:textId="77777777" w:rsidTr="00C8219D">
        <w:tc>
          <w:tcPr>
            <w:cnfStyle w:val="001000000000" w:firstRow="0" w:lastRow="0" w:firstColumn="1" w:lastColumn="0" w:oddVBand="0" w:evenVBand="0" w:oddHBand="0" w:evenHBand="0" w:firstRowFirstColumn="0" w:firstRowLastColumn="0" w:lastRowFirstColumn="0" w:lastRowLastColumn="0"/>
            <w:tcW w:w="0" w:type="auto"/>
            <w:hideMark/>
          </w:tcPr>
          <w:p w14:paraId="7362E3CD" w14:textId="77777777" w:rsidR="00C8219D" w:rsidRPr="00C8219D" w:rsidRDefault="00C8219D" w:rsidP="00C8219D">
            <w:pPr>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Historical Data</w:t>
            </w:r>
          </w:p>
        </w:tc>
        <w:tc>
          <w:tcPr>
            <w:tcW w:w="0" w:type="auto"/>
            <w:hideMark/>
          </w:tcPr>
          <w:p w14:paraId="33CA2CC1" w14:textId="77777777" w:rsidR="00C8219D" w:rsidRPr="00C8219D" w:rsidRDefault="00C8219D" w:rsidP="00C821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2019 – 2023</w:t>
            </w:r>
          </w:p>
        </w:tc>
      </w:tr>
      <w:tr w:rsidR="00C8219D" w:rsidRPr="00C8219D" w14:paraId="4338C65D" w14:textId="77777777" w:rsidTr="00C82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F92F8" w14:textId="77777777" w:rsidR="00C8219D" w:rsidRPr="00C8219D" w:rsidRDefault="00C8219D" w:rsidP="00C8219D">
            <w:pPr>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Unit</w:t>
            </w:r>
          </w:p>
        </w:tc>
        <w:tc>
          <w:tcPr>
            <w:tcW w:w="0" w:type="auto"/>
            <w:hideMark/>
          </w:tcPr>
          <w:p w14:paraId="35561A39" w14:textId="77777777" w:rsidR="00C8219D" w:rsidRPr="00C8219D" w:rsidRDefault="00C8219D" w:rsidP="00C821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USD Million, CAGR (2024 – 2030)</w:t>
            </w:r>
          </w:p>
        </w:tc>
      </w:tr>
      <w:tr w:rsidR="00C8219D" w:rsidRPr="00C8219D" w14:paraId="2AE7209D" w14:textId="77777777" w:rsidTr="00C8219D">
        <w:tc>
          <w:tcPr>
            <w:cnfStyle w:val="001000000000" w:firstRow="0" w:lastRow="0" w:firstColumn="1" w:lastColumn="0" w:oddVBand="0" w:evenVBand="0" w:oddHBand="0" w:evenHBand="0" w:firstRowFirstColumn="0" w:firstRowLastColumn="0" w:lastRowFirstColumn="0" w:lastRowLastColumn="0"/>
            <w:tcW w:w="0" w:type="auto"/>
            <w:hideMark/>
          </w:tcPr>
          <w:p w14:paraId="741EA676" w14:textId="77777777" w:rsidR="00C8219D" w:rsidRPr="00C8219D" w:rsidRDefault="00C8219D" w:rsidP="00C8219D">
            <w:pPr>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Segmentation</w:t>
            </w:r>
          </w:p>
        </w:tc>
        <w:tc>
          <w:tcPr>
            <w:tcW w:w="0" w:type="auto"/>
            <w:hideMark/>
          </w:tcPr>
          <w:p w14:paraId="56E50469" w14:textId="77777777" w:rsidR="00C8219D" w:rsidRPr="00C8219D" w:rsidRDefault="00C8219D" w:rsidP="00C821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By Feedstock Type, By Product Type, By Process Configuration, By Region</w:t>
            </w:r>
          </w:p>
        </w:tc>
      </w:tr>
      <w:tr w:rsidR="00C8219D" w:rsidRPr="00C8219D" w14:paraId="1B37EAD6" w14:textId="77777777" w:rsidTr="00C82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DAF329" w14:textId="77777777" w:rsidR="00C8219D" w:rsidRPr="00C8219D" w:rsidRDefault="00C8219D" w:rsidP="00C8219D">
            <w:pPr>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By Feedstock Type</w:t>
            </w:r>
          </w:p>
        </w:tc>
        <w:tc>
          <w:tcPr>
            <w:tcW w:w="0" w:type="auto"/>
            <w:hideMark/>
          </w:tcPr>
          <w:p w14:paraId="0DAF5AB8" w14:textId="77777777" w:rsidR="00C8219D" w:rsidRPr="00C8219D" w:rsidRDefault="00C8219D" w:rsidP="00C821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Vacuum Gas Oil (VGO), Residual Oils</w:t>
            </w:r>
          </w:p>
        </w:tc>
      </w:tr>
      <w:tr w:rsidR="00C8219D" w:rsidRPr="00C8219D" w14:paraId="4A32C0B4" w14:textId="77777777" w:rsidTr="00C8219D">
        <w:tc>
          <w:tcPr>
            <w:cnfStyle w:val="001000000000" w:firstRow="0" w:lastRow="0" w:firstColumn="1" w:lastColumn="0" w:oddVBand="0" w:evenVBand="0" w:oddHBand="0" w:evenHBand="0" w:firstRowFirstColumn="0" w:firstRowLastColumn="0" w:lastRowFirstColumn="0" w:lastRowLastColumn="0"/>
            <w:tcW w:w="0" w:type="auto"/>
            <w:hideMark/>
          </w:tcPr>
          <w:p w14:paraId="4B38CABD" w14:textId="77777777" w:rsidR="00C8219D" w:rsidRPr="00C8219D" w:rsidRDefault="00C8219D" w:rsidP="00C8219D">
            <w:pPr>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By Product Type</w:t>
            </w:r>
          </w:p>
        </w:tc>
        <w:tc>
          <w:tcPr>
            <w:tcW w:w="0" w:type="auto"/>
            <w:hideMark/>
          </w:tcPr>
          <w:p w14:paraId="5CC69AF0" w14:textId="77777777" w:rsidR="00C8219D" w:rsidRPr="00C8219D" w:rsidRDefault="00C8219D" w:rsidP="00C821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Middle Distillates (Diesel, Kerosene), Naphtha, Jet Fuel</w:t>
            </w:r>
          </w:p>
        </w:tc>
      </w:tr>
      <w:tr w:rsidR="00C8219D" w:rsidRPr="00C8219D" w14:paraId="1E0FCC74" w14:textId="77777777" w:rsidTr="00C82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7993A" w14:textId="77777777" w:rsidR="00C8219D" w:rsidRPr="00C8219D" w:rsidRDefault="00C8219D" w:rsidP="00C8219D">
            <w:pPr>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By Process Configuration</w:t>
            </w:r>
          </w:p>
        </w:tc>
        <w:tc>
          <w:tcPr>
            <w:tcW w:w="0" w:type="auto"/>
            <w:hideMark/>
          </w:tcPr>
          <w:p w14:paraId="5C5E05C2" w14:textId="77777777" w:rsidR="00C8219D" w:rsidRPr="00C8219D" w:rsidRDefault="00C8219D" w:rsidP="00C821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Single-Stage Hydrocracking, Two-Stage Hydrocracking</w:t>
            </w:r>
          </w:p>
        </w:tc>
      </w:tr>
      <w:tr w:rsidR="00C8219D" w:rsidRPr="00C8219D" w14:paraId="285D7F25" w14:textId="77777777" w:rsidTr="00C8219D">
        <w:tc>
          <w:tcPr>
            <w:cnfStyle w:val="001000000000" w:firstRow="0" w:lastRow="0" w:firstColumn="1" w:lastColumn="0" w:oddVBand="0" w:evenVBand="0" w:oddHBand="0" w:evenHBand="0" w:firstRowFirstColumn="0" w:firstRowLastColumn="0" w:lastRowFirstColumn="0" w:lastRowLastColumn="0"/>
            <w:tcW w:w="0" w:type="auto"/>
            <w:hideMark/>
          </w:tcPr>
          <w:p w14:paraId="5F2343F9" w14:textId="77777777" w:rsidR="00C8219D" w:rsidRPr="00C8219D" w:rsidRDefault="00C8219D" w:rsidP="00C8219D">
            <w:pPr>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By Region</w:t>
            </w:r>
          </w:p>
        </w:tc>
        <w:tc>
          <w:tcPr>
            <w:tcW w:w="0" w:type="auto"/>
            <w:hideMark/>
          </w:tcPr>
          <w:p w14:paraId="66F38C62" w14:textId="77777777" w:rsidR="00C8219D" w:rsidRPr="00C8219D" w:rsidRDefault="00C8219D" w:rsidP="00C821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North America, Europe, Asia-Pacific, LAMEA</w:t>
            </w:r>
          </w:p>
        </w:tc>
      </w:tr>
      <w:tr w:rsidR="00C8219D" w:rsidRPr="00C8219D" w14:paraId="6AA2F45B" w14:textId="77777777" w:rsidTr="00C82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3655E" w14:textId="77777777" w:rsidR="00C8219D" w:rsidRPr="00C8219D" w:rsidRDefault="00C8219D" w:rsidP="00C8219D">
            <w:pPr>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Country Scope</w:t>
            </w:r>
          </w:p>
        </w:tc>
        <w:tc>
          <w:tcPr>
            <w:tcW w:w="0" w:type="auto"/>
            <w:hideMark/>
          </w:tcPr>
          <w:p w14:paraId="1FB48019" w14:textId="77777777" w:rsidR="00C8219D" w:rsidRPr="00C8219D" w:rsidRDefault="00C8219D" w:rsidP="00C821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U.S., Canada, Germany, France, China, India, Saudi Arabia, Brazil, UAE, Mexico, Rest of World</w:t>
            </w:r>
          </w:p>
        </w:tc>
      </w:tr>
      <w:tr w:rsidR="00C8219D" w:rsidRPr="00C8219D" w14:paraId="27E03543" w14:textId="77777777" w:rsidTr="00C8219D">
        <w:tc>
          <w:tcPr>
            <w:cnfStyle w:val="001000000000" w:firstRow="0" w:lastRow="0" w:firstColumn="1" w:lastColumn="0" w:oddVBand="0" w:evenVBand="0" w:oddHBand="0" w:evenHBand="0" w:firstRowFirstColumn="0" w:firstRowLastColumn="0" w:lastRowFirstColumn="0" w:lastRowLastColumn="0"/>
            <w:tcW w:w="0" w:type="auto"/>
            <w:hideMark/>
          </w:tcPr>
          <w:p w14:paraId="08852685" w14:textId="77777777" w:rsidR="00C8219D" w:rsidRPr="00C8219D" w:rsidRDefault="00C8219D" w:rsidP="00C8219D">
            <w:pPr>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Market Drivers</w:t>
            </w:r>
          </w:p>
        </w:tc>
        <w:tc>
          <w:tcPr>
            <w:tcW w:w="0" w:type="auto"/>
            <w:hideMark/>
          </w:tcPr>
          <w:p w14:paraId="77237F86" w14:textId="77777777" w:rsidR="00C8219D" w:rsidRPr="00C8219D" w:rsidRDefault="00C8219D" w:rsidP="00C8219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 Rising demand for middle distillates globally</w:t>
            </w:r>
            <w:r w:rsidRPr="00C8219D">
              <w:rPr>
                <w:rFonts w:ascii="Times New Roman" w:eastAsia="Times New Roman" w:hAnsi="Times New Roman" w:cs="Times New Roman"/>
                <w:sz w:val="24"/>
                <w:szCs w:val="24"/>
                <w:lang w:eastAsia="en-IN"/>
              </w:rPr>
              <w:br/>
              <w:t>- Regulatory mandates for low-</w:t>
            </w:r>
            <w:proofErr w:type="spellStart"/>
            <w:r w:rsidRPr="00C8219D">
              <w:rPr>
                <w:rFonts w:ascii="Times New Roman" w:eastAsia="Times New Roman" w:hAnsi="Times New Roman" w:cs="Times New Roman"/>
                <w:sz w:val="24"/>
                <w:szCs w:val="24"/>
                <w:lang w:eastAsia="en-IN"/>
              </w:rPr>
              <w:t>sulfur</w:t>
            </w:r>
            <w:proofErr w:type="spellEnd"/>
            <w:r w:rsidRPr="00C8219D">
              <w:rPr>
                <w:rFonts w:ascii="Times New Roman" w:eastAsia="Times New Roman" w:hAnsi="Times New Roman" w:cs="Times New Roman"/>
                <w:sz w:val="24"/>
                <w:szCs w:val="24"/>
                <w:lang w:eastAsia="en-IN"/>
              </w:rPr>
              <w:t xml:space="preserve"> fuel</w:t>
            </w:r>
            <w:r w:rsidRPr="00C8219D">
              <w:rPr>
                <w:rFonts w:ascii="Times New Roman" w:eastAsia="Times New Roman" w:hAnsi="Times New Roman" w:cs="Times New Roman"/>
                <w:sz w:val="24"/>
                <w:szCs w:val="24"/>
                <w:lang w:eastAsia="en-IN"/>
              </w:rPr>
              <w:br/>
              <w:t>- Advancements in catalyst and process technology</w:t>
            </w:r>
          </w:p>
        </w:tc>
      </w:tr>
      <w:tr w:rsidR="00C8219D" w:rsidRPr="00C8219D" w14:paraId="7D0DEBEA" w14:textId="77777777" w:rsidTr="00C82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80F4C" w14:textId="77777777" w:rsidR="00C8219D" w:rsidRPr="00C8219D" w:rsidRDefault="00C8219D" w:rsidP="00C8219D">
            <w:pPr>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Customization Option</w:t>
            </w:r>
          </w:p>
        </w:tc>
        <w:tc>
          <w:tcPr>
            <w:tcW w:w="0" w:type="auto"/>
            <w:hideMark/>
          </w:tcPr>
          <w:p w14:paraId="361FCD26" w14:textId="77777777" w:rsidR="00C8219D" w:rsidRPr="00C8219D" w:rsidRDefault="00C8219D" w:rsidP="00C8219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Available upon request</w:t>
            </w:r>
          </w:p>
        </w:tc>
      </w:tr>
    </w:tbl>
    <w:p w14:paraId="1AC1900F" w14:textId="77777777" w:rsidR="00C8219D" w:rsidRPr="00C8219D" w:rsidRDefault="00C8219D" w:rsidP="00C8219D">
      <w:pPr>
        <w:pStyle w:val="Heading1"/>
        <w:rPr>
          <w:rFonts w:ascii="Times New Roman" w:eastAsia="Times New Roman" w:hAnsi="Times New Roman" w:cs="Times New Roman"/>
          <w:b/>
          <w:bCs/>
          <w:color w:val="auto"/>
          <w:kern w:val="36"/>
          <w:sz w:val="48"/>
          <w:szCs w:val="48"/>
          <w:lang w:eastAsia="en-IN"/>
        </w:rPr>
      </w:pPr>
      <w:r>
        <w:br/>
      </w:r>
      <w:r>
        <w:br/>
      </w:r>
      <w:r w:rsidRPr="00C8219D">
        <w:rPr>
          <w:rFonts w:ascii="Times New Roman" w:eastAsia="Times New Roman" w:hAnsi="Times New Roman" w:cs="Times New Roman"/>
          <w:b/>
          <w:bCs/>
          <w:color w:val="auto"/>
          <w:kern w:val="36"/>
          <w:sz w:val="48"/>
          <w:szCs w:val="48"/>
          <w:lang w:eastAsia="en-IN"/>
        </w:rPr>
        <w:t>8. Report Summary, FAQs, and SEO Schema</w:t>
      </w:r>
    </w:p>
    <w:p w14:paraId="0EC051FD"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A.1. Report Title (Long-Form)</w:t>
      </w:r>
      <w:r w:rsidRPr="00C8219D">
        <w:rPr>
          <w:rFonts w:ascii="Times New Roman" w:eastAsia="Times New Roman" w:hAnsi="Times New Roman" w:cs="Times New Roman"/>
          <w:sz w:val="24"/>
          <w:szCs w:val="24"/>
          <w:lang w:eastAsia="en-IN"/>
        </w:rPr>
        <w:br/>
        <w:t xml:space="preserve">Hydrocracking Market </w:t>
      </w:r>
      <w:proofErr w:type="gramStart"/>
      <w:r w:rsidRPr="00C8219D">
        <w:rPr>
          <w:rFonts w:ascii="Times New Roman" w:eastAsia="Times New Roman" w:hAnsi="Times New Roman" w:cs="Times New Roman"/>
          <w:sz w:val="24"/>
          <w:szCs w:val="24"/>
          <w:lang w:eastAsia="en-IN"/>
        </w:rPr>
        <w:t>By</w:t>
      </w:r>
      <w:proofErr w:type="gramEnd"/>
      <w:r w:rsidRPr="00C8219D">
        <w:rPr>
          <w:rFonts w:ascii="Times New Roman" w:eastAsia="Times New Roman" w:hAnsi="Times New Roman" w:cs="Times New Roman"/>
          <w:sz w:val="24"/>
          <w:szCs w:val="24"/>
          <w:lang w:eastAsia="en-IN"/>
        </w:rPr>
        <w:t xml:space="preserve"> Feedstock Type (Vacuum Gas Oil [VGO], Residual Oils); By Product Type (Middle Distillates, Naphtha, Jet Fuel); By Process Configuration (Single-Stage Hydrocracking, Two-Stage Hydrocracking); By Geography, Segment Revenue Estimation, Forecast, 2024–2030</w:t>
      </w:r>
    </w:p>
    <w:p w14:paraId="031615C7"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A.2. Lowercase Market Name</w:t>
      </w:r>
      <w:r w:rsidRPr="00C8219D">
        <w:rPr>
          <w:rFonts w:ascii="Times New Roman" w:eastAsia="Times New Roman" w:hAnsi="Times New Roman" w:cs="Times New Roman"/>
          <w:sz w:val="24"/>
          <w:szCs w:val="24"/>
          <w:lang w:eastAsia="en-IN"/>
        </w:rPr>
        <w:br/>
        <w:t>hydrocracking market</w:t>
      </w:r>
    </w:p>
    <w:p w14:paraId="014E35FC"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A.3. SEO-Friendly Market Size Tagline</w:t>
      </w:r>
      <w:r w:rsidRPr="00C8219D">
        <w:rPr>
          <w:rFonts w:ascii="Times New Roman" w:eastAsia="Times New Roman" w:hAnsi="Times New Roman" w:cs="Times New Roman"/>
          <w:sz w:val="24"/>
          <w:szCs w:val="24"/>
          <w:lang w:eastAsia="en-IN"/>
        </w:rPr>
        <w:br/>
        <w:t>Hydrocracking Market Size ($61.2 Billion) 2030</w:t>
      </w:r>
    </w:p>
    <w:p w14:paraId="3079AAFD"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lastRenderedPageBreak/>
        <w:t xml:space="preserve">A.4. SEO-Friendly Market Size Tagline </w:t>
      </w:r>
      <w:proofErr w:type="spellStart"/>
      <w:r w:rsidRPr="00C8219D">
        <w:rPr>
          <w:rFonts w:ascii="Times New Roman" w:eastAsia="Times New Roman" w:hAnsi="Times New Roman" w:cs="Times New Roman"/>
          <w:b/>
          <w:bCs/>
          <w:sz w:val="24"/>
          <w:szCs w:val="24"/>
          <w:lang w:eastAsia="en-IN"/>
        </w:rPr>
        <w:t>BreadCrumb</w:t>
      </w:r>
      <w:proofErr w:type="spellEnd"/>
      <w:r w:rsidRPr="00C8219D">
        <w:rPr>
          <w:rFonts w:ascii="Times New Roman" w:eastAsia="Times New Roman" w:hAnsi="Times New Roman" w:cs="Times New Roman"/>
          <w:sz w:val="24"/>
          <w:szCs w:val="24"/>
          <w:lang w:eastAsia="en-IN"/>
        </w:rPr>
        <w:br/>
        <w:t>Hydrocracking Market Report 2030</w:t>
      </w:r>
    </w:p>
    <w:p w14:paraId="46A17D5A" w14:textId="77777777" w:rsidR="00C8219D" w:rsidRPr="00C8219D" w:rsidRDefault="00C8219D" w:rsidP="00C8219D">
      <w:pPr>
        <w:spacing w:after="0"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pict w14:anchorId="6EE7B03A">
          <v:rect id="_x0000_i1025" style="width:0;height:1.5pt" o:hralign="center" o:hrstd="t" o:hr="t" fillcolor="#a0a0a0" stroked="f"/>
        </w:pict>
      </w:r>
    </w:p>
    <w:p w14:paraId="3C52BD66"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B. Top 5 FAQs</w:t>
      </w:r>
    </w:p>
    <w:p w14:paraId="4D38D02A"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Q1. How big is the hydrocracking market?</w:t>
      </w:r>
      <w:r w:rsidRPr="00C8219D">
        <w:rPr>
          <w:rFonts w:ascii="Times New Roman" w:eastAsia="Times New Roman" w:hAnsi="Times New Roman" w:cs="Times New Roman"/>
          <w:sz w:val="24"/>
          <w:szCs w:val="24"/>
          <w:lang w:eastAsia="en-IN"/>
        </w:rPr>
        <w:br/>
      </w:r>
      <w:r w:rsidRPr="00C8219D">
        <w:rPr>
          <w:rFonts w:ascii="Times New Roman" w:eastAsia="Times New Roman" w:hAnsi="Times New Roman" w:cs="Times New Roman"/>
          <w:b/>
          <w:bCs/>
          <w:sz w:val="24"/>
          <w:szCs w:val="24"/>
          <w:lang w:eastAsia="en-IN"/>
        </w:rPr>
        <w:t>A1.</w:t>
      </w:r>
      <w:r w:rsidRPr="00C8219D">
        <w:rPr>
          <w:rFonts w:ascii="Times New Roman" w:eastAsia="Times New Roman" w:hAnsi="Times New Roman" w:cs="Times New Roman"/>
          <w:sz w:val="24"/>
          <w:szCs w:val="24"/>
          <w:lang w:eastAsia="en-IN"/>
        </w:rPr>
        <w:t xml:space="preserve"> The global hydrocracking market was valued at USD 42.5 billion in 2024.</w:t>
      </w:r>
    </w:p>
    <w:p w14:paraId="1796BA7F"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Q2. What is the CAGR for the forecast period?</w:t>
      </w:r>
      <w:r w:rsidRPr="00C8219D">
        <w:rPr>
          <w:rFonts w:ascii="Times New Roman" w:eastAsia="Times New Roman" w:hAnsi="Times New Roman" w:cs="Times New Roman"/>
          <w:sz w:val="24"/>
          <w:szCs w:val="24"/>
          <w:lang w:eastAsia="en-IN"/>
        </w:rPr>
        <w:br/>
      </w:r>
      <w:r w:rsidRPr="00C8219D">
        <w:rPr>
          <w:rFonts w:ascii="Times New Roman" w:eastAsia="Times New Roman" w:hAnsi="Times New Roman" w:cs="Times New Roman"/>
          <w:b/>
          <w:bCs/>
          <w:sz w:val="24"/>
          <w:szCs w:val="24"/>
          <w:lang w:eastAsia="en-IN"/>
        </w:rPr>
        <w:t>A2.</w:t>
      </w:r>
      <w:r w:rsidRPr="00C8219D">
        <w:rPr>
          <w:rFonts w:ascii="Times New Roman" w:eastAsia="Times New Roman" w:hAnsi="Times New Roman" w:cs="Times New Roman"/>
          <w:sz w:val="24"/>
          <w:szCs w:val="24"/>
          <w:lang w:eastAsia="en-IN"/>
        </w:rPr>
        <w:t xml:space="preserve"> The market is expected to grow at a CAGR of 5.8% from 2024 to 2030.</w:t>
      </w:r>
    </w:p>
    <w:p w14:paraId="0C7D4872"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Q3. Who are the major players in the hydrocracking market?</w:t>
      </w:r>
      <w:r w:rsidRPr="00C8219D">
        <w:rPr>
          <w:rFonts w:ascii="Times New Roman" w:eastAsia="Times New Roman" w:hAnsi="Times New Roman" w:cs="Times New Roman"/>
          <w:sz w:val="24"/>
          <w:szCs w:val="24"/>
          <w:lang w:eastAsia="en-IN"/>
        </w:rPr>
        <w:br/>
      </w:r>
      <w:r w:rsidRPr="00C8219D">
        <w:rPr>
          <w:rFonts w:ascii="Times New Roman" w:eastAsia="Times New Roman" w:hAnsi="Times New Roman" w:cs="Times New Roman"/>
          <w:b/>
          <w:bCs/>
          <w:sz w:val="24"/>
          <w:szCs w:val="24"/>
          <w:lang w:eastAsia="en-IN"/>
        </w:rPr>
        <w:t>A3.</w:t>
      </w:r>
      <w:r w:rsidRPr="00C8219D">
        <w:rPr>
          <w:rFonts w:ascii="Times New Roman" w:eastAsia="Times New Roman" w:hAnsi="Times New Roman" w:cs="Times New Roman"/>
          <w:sz w:val="24"/>
          <w:szCs w:val="24"/>
          <w:lang w:eastAsia="en-IN"/>
        </w:rPr>
        <w:t xml:space="preserve"> Leading players include Honeywell UOP, </w:t>
      </w:r>
      <w:proofErr w:type="spellStart"/>
      <w:r w:rsidRPr="00C8219D">
        <w:rPr>
          <w:rFonts w:ascii="Times New Roman" w:eastAsia="Times New Roman" w:hAnsi="Times New Roman" w:cs="Times New Roman"/>
          <w:sz w:val="24"/>
          <w:szCs w:val="24"/>
          <w:lang w:eastAsia="en-IN"/>
        </w:rPr>
        <w:t>Axens</w:t>
      </w:r>
      <w:proofErr w:type="spellEnd"/>
      <w:r w:rsidRPr="00C8219D">
        <w:rPr>
          <w:rFonts w:ascii="Times New Roman" w:eastAsia="Times New Roman" w:hAnsi="Times New Roman" w:cs="Times New Roman"/>
          <w:sz w:val="24"/>
          <w:szCs w:val="24"/>
          <w:lang w:eastAsia="en-IN"/>
        </w:rPr>
        <w:t>, Shell Global Solutions, KBR Inc., Technip Energies, and Lummus Technology.</w:t>
      </w:r>
    </w:p>
    <w:p w14:paraId="3D50FAA2"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Q4. Which region dominates the hydrocracking market?</w:t>
      </w:r>
      <w:r w:rsidRPr="00C8219D">
        <w:rPr>
          <w:rFonts w:ascii="Times New Roman" w:eastAsia="Times New Roman" w:hAnsi="Times New Roman" w:cs="Times New Roman"/>
          <w:sz w:val="24"/>
          <w:szCs w:val="24"/>
          <w:lang w:eastAsia="en-IN"/>
        </w:rPr>
        <w:br/>
      </w:r>
      <w:r w:rsidRPr="00C8219D">
        <w:rPr>
          <w:rFonts w:ascii="Times New Roman" w:eastAsia="Times New Roman" w:hAnsi="Times New Roman" w:cs="Times New Roman"/>
          <w:b/>
          <w:bCs/>
          <w:sz w:val="24"/>
          <w:szCs w:val="24"/>
          <w:lang w:eastAsia="en-IN"/>
        </w:rPr>
        <w:t>A4.</w:t>
      </w:r>
      <w:r w:rsidRPr="00C8219D">
        <w:rPr>
          <w:rFonts w:ascii="Times New Roman" w:eastAsia="Times New Roman" w:hAnsi="Times New Roman" w:cs="Times New Roman"/>
          <w:sz w:val="24"/>
          <w:szCs w:val="24"/>
          <w:lang w:eastAsia="en-IN"/>
        </w:rPr>
        <w:t xml:space="preserve"> Asia-Pacific leads due to rising middle distillate demand, refinery expansions, and abundant heavy crude availability.</w:t>
      </w:r>
    </w:p>
    <w:p w14:paraId="66ABDBB0"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Q5. What factors are driving growth in the hydrocracking market?</w:t>
      </w:r>
      <w:r w:rsidRPr="00C8219D">
        <w:rPr>
          <w:rFonts w:ascii="Times New Roman" w:eastAsia="Times New Roman" w:hAnsi="Times New Roman" w:cs="Times New Roman"/>
          <w:sz w:val="24"/>
          <w:szCs w:val="24"/>
          <w:lang w:eastAsia="en-IN"/>
        </w:rPr>
        <w:br/>
      </w:r>
      <w:r w:rsidRPr="00C8219D">
        <w:rPr>
          <w:rFonts w:ascii="Times New Roman" w:eastAsia="Times New Roman" w:hAnsi="Times New Roman" w:cs="Times New Roman"/>
          <w:b/>
          <w:bCs/>
          <w:sz w:val="24"/>
          <w:szCs w:val="24"/>
          <w:lang w:eastAsia="en-IN"/>
        </w:rPr>
        <w:t>A5.</w:t>
      </w:r>
      <w:r w:rsidRPr="00C8219D">
        <w:rPr>
          <w:rFonts w:ascii="Times New Roman" w:eastAsia="Times New Roman" w:hAnsi="Times New Roman" w:cs="Times New Roman"/>
          <w:sz w:val="24"/>
          <w:szCs w:val="24"/>
          <w:lang w:eastAsia="en-IN"/>
        </w:rPr>
        <w:t xml:space="preserve"> Growth is </w:t>
      </w:r>
      <w:proofErr w:type="spellStart"/>
      <w:r w:rsidRPr="00C8219D">
        <w:rPr>
          <w:rFonts w:ascii="Times New Roman" w:eastAsia="Times New Roman" w:hAnsi="Times New Roman" w:cs="Times New Roman"/>
          <w:sz w:val="24"/>
          <w:szCs w:val="24"/>
          <w:lang w:eastAsia="en-IN"/>
        </w:rPr>
        <w:t>fueled</w:t>
      </w:r>
      <w:proofErr w:type="spellEnd"/>
      <w:r w:rsidRPr="00C8219D">
        <w:rPr>
          <w:rFonts w:ascii="Times New Roman" w:eastAsia="Times New Roman" w:hAnsi="Times New Roman" w:cs="Times New Roman"/>
          <w:sz w:val="24"/>
          <w:szCs w:val="24"/>
          <w:lang w:eastAsia="en-IN"/>
        </w:rPr>
        <w:t xml:space="preserve"> by rising middle distillate demand, environmental regulations for low-</w:t>
      </w:r>
      <w:proofErr w:type="spellStart"/>
      <w:r w:rsidRPr="00C8219D">
        <w:rPr>
          <w:rFonts w:ascii="Times New Roman" w:eastAsia="Times New Roman" w:hAnsi="Times New Roman" w:cs="Times New Roman"/>
          <w:sz w:val="24"/>
          <w:szCs w:val="24"/>
          <w:lang w:eastAsia="en-IN"/>
        </w:rPr>
        <w:t>sulfur</w:t>
      </w:r>
      <w:proofErr w:type="spellEnd"/>
      <w:r w:rsidRPr="00C8219D">
        <w:rPr>
          <w:rFonts w:ascii="Times New Roman" w:eastAsia="Times New Roman" w:hAnsi="Times New Roman" w:cs="Times New Roman"/>
          <w:sz w:val="24"/>
          <w:szCs w:val="24"/>
          <w:lang w:eastAsia="en-IN"/>
        </w:rPr>
        <w:t xml:space="preserve"> fuels, and advancements in hydrocracking catalyst and process technology.</w:t>
      </w:r>
    </w:p>
    <w:p w14:paraId="6A17C9AC" w14:textId="77777777" w:rsidR="00C8219D" w:rsidRPr="00C8219D" w:rsidRDefault="00C8219D" w:rsidP="00C8219D">
      <w:pPr>
        <w:spacing w:after="0"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pict w14:anchorId="49609F06">
          <v:rect id="_x0000_i1026" style="width:0;height:1.5pt" o:hralign="center" o:hrstd="t" o:hr="t" fillcolor="#a0a0a0" stroked="f"/>
        </w:pict>
      </w:r>
    </w:p>
    <w:p w14:paraId="2DA0CA6A"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C. JSON-LD SEO Schema</w:t>
      </w:r>
    </w:p>
    <w:p w14:paraId="0C8212D0"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Breadcrumb Schema</w:t>
      </w:r>
    </w:p>
    <w:p w14:paraId="751861EB"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w:t>
      </w:r>
    </w:p>
    <w:p w14:paraId="43716297"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"@context": "https://schema.org",</w:t>
      </w:r>
    </w:p>
    <w:p w14:paraId="6FE01C2F"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"@type": "</w:t>
      </w:r>
      <w:proofErr w:type="spellStart"/>
      <w:r w:rsidRPr="00C8219D">
        <w:rPr>
          <w:rFonts w:ascii="Courier New" w:eastAsia="Times New Roman" w:hAnsi="Courier New" w:cs="Courier New"/>
          <w:sz w:val="20"/>
          <w:szCs w:val="20"/>
          <w:lang w:eastAsia="en-IN"/>
        </w:rPr>
        <w:t>BreadcrumbList</w:t>
      </w:r>
      <w:proofErr w:type="spellEnd"/>
      <w:r w:rsidRPr="00C8219D">
        <w:rPr>
          <w:rFonts w:ascii="Courier New" w:eastAsia="Times New Roman" w:hAnsi="Courier New" w:cs="Courier New"/>
          <w:sz w:val="20"/>
          <w:szCs w:val="20"/>
          <w:lang w:eastAsia="en-IN"/>
        </w:rPr>
        <w:t>",</w:t>
      </w:r>
    </w:p>
    <w:p w14:paraId="03A63568"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roofErr w:type="spellStart"/>
      <w:r w:rsidRPr="00C8219D">
        <w:rPr>
          <w:rFonts w:ascii="Courier New" w:eastAsia="Times New Roman" w:hAnsi="Courier New" w:cs="Courier New"/>
          <w:sz w:val="20"/>
          <w:szCs w:val="20"/>
          <w:lang w:eastAsia="en-IN"/>
        </w:rPr>
        <w:t>itemListElement</w:t>
      </w:r>
      <w:proofErr w:type="spellEnd"/>
      <w:r w:rsidRPr="00C8219D">
        <w:rPr>
          <w:rFonts w:ascii="Courier New" w:eastAsia="Times New Roman" w:hAnsi="Courier New" w:cs="Courier New"/>
          <w:sz w:val="20"/>
          <w:szCs w:val="20"/>
          <w:lang w:eastAsia="en-IN"/>
        </w:rPr>
        <w:t>": [</w:t>
      </w:r>
    </w:p>
    <w:p w14:paraId="1A5B93DA"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
    <w:p w14:paraId="4643C718"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"@type": "</w:t>
      </w:r>
      <w:proofErr w:type="spellStart"/>
      <w:r w:rsidRPr="00C8219D">
        <w:rPr>
          <w:rFonts w:ascii="Courier New" w:eastAsia="Times New Roman" w:hAnsi="Courier New" w:cs="Courier New"/>
          <w:sz w:val="20"/>
          <w:szCs w:val="20"/>
          <w:lang w:eastAsia="en-IN"/>
        </w:rPr>
        <w:t>ListItem</w:t>
      </w:r>
      <w:proofErr w:type="spellEnd"/>
      <w:r w:rsidRPr="00C8219D">
        <w:rPr>
          <w:rFonts w:ascii="Courier New" w:eastAsia="Times New Roman" w:hAnsi="Courier New" w:cs="Courier New"/>
          <w:sz w:val="20"/>
          <w:szCs w:val="20"/>
          <w:lang w:eastAsia="en-IN"/>
        </w:rPr>
        <w:t>",</w:t>
      </w:r>
    </w:p>
    <w:p w14:paraId="3139C6B3"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"position": 1,</w:t>
      </w:r>
    </w:p>
    <w:p w14:paraId="108898D9"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"name": "Home",</w:t>
      </w:r>
    </w:p>
    <w:p w14:paraId="635C6BCF"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"item": "https://www.strategicmarketresearch.com/"</w:t>
      </w:r>
    </w:p>
    <w:p w14:paraId="6BA0E021"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
    <w:p w14:paraId="15C33C77"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
    <w:p w14:paraId="7DF3590C"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"@type": "</w:t>
      </w:r>
      <w:proofErr w:type="spellStart"/>
      <w:r w:rsidRPr="00C8219D">
        <w:rPr>
          <w:rFonts w:ascii="Courier New" w:eastAsia="Times New Roman" w:hAnsi="Courier New" w:cs="Courier New"/>
          <w:sz w:val="20"/>
          <w:szCs w:val="20"/>
          <w:lang w:eastAsia="en-IN"/>
        </w:rPr>
        <w:t>ListItem</w:t>
      </w:r>
      <w:proofErr w:type="spellEnd"/>
      <w:r w:rsidRPr="00C8219D">
        <w:rPr>
          <w:rFonts w:ascii="Courier New" w:eastAsia="Times New Roman" w:hAnsi="Courier New" w:cs="Courier New"/>
          <w:sz w:val="20"/>
          <w:szCs w:val="20"/>
          <w:lang w:eastAsia="en-IN"/>
        </w:rPr>
        <w:t>",</w:t>
      </w:r>
    </w:p>
    <w:p w14:paraId="7BAC2DEC"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"position": 2,</w:t>
      </w:r>
    </w:p>
    <w:p w14:paraId="176AADA6" w14:textId="01F476D2"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"name": "Oil </w:t>
      </w:r>
      <w:proofErr w:type="gramStart"/>
      <w:r>
        <w:rPr>
          <w:rFonts w:ascii="Courier New" w:eastAsia="Times New Roman" w:hAnsi="Courier New" w:cs="Courier New"/>
          <w:sz w:val="20"/>
          <w:szCs w:val="20"/>
          <w:lang w:eastAsia="en-IN"/>
        </w:rPr>
        <w:t>A</w:t>
      </w:r>
      <w:r w:rsidRPr="00C8219D">
        <w:rPr>
          <w:rFonts w:ascii="Courier New" w:eastAsia="Times New Roman" w:hAnsi="Courier New" w:cs="Courier New"/>
          <w:sz w:val="20"/>
          <w:szCs w:val="20"/>
          <w:lang w:eastAsia="en-IN"/>
        </w:rPr>
        <w:t>nd</w:t>
      </w:r>
      <w:proofErr w:type="gramEnd"/>
      <w:r w:rsidRPr="00C8219D">
        <w:rPr>
          <w:rFonts w:ascii="Courier New" w:eastAsia="Times New Roman" w:hAnsi="Courier New" w:cs="Courier New"/>
          <w:sz w:val="20"/>
          <w:szCs w:val="20"/>
          <w:lang w:eastAsia="en-IN"/>
        </w:rPr>
        <w:t xml:space="preserve"> Gas",</w:t>
      </w:r>
    </w:p>
    <w:p w14:paraId="729476F8" w14:textId="1A7EFBAE"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"item": "https://www.strategicmarketresearch.com/report/oil-and-gas"</w:t>
      </w:r>
    </w:p>
    <w:p w14:paraId="44A4F4BD"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
    <w:p w14:paraId="074DDF30"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
    <w:p w14:paraId="5177F6D3"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"@type": "</w:t>
      </w:r>
      <w:proofErr w:type="spellStart"/>
      <w:r w:rsidRPr="00C8219D">
        <w:rPr>
          <w:rFonts w:ascii="Courier New" w:eastAsia="Times New Roman" w:hAnsi="Courier New" w:cs="Courier New"/>
          <w:sz w:val="20"/>
          <w:szCs w:val="20"/>
          <w:lang w:eastAsia="en-IN"/>
        </w:rPr>
        <w:t>ListItem</w:t>
      </w:r>
      <w:proofErr w:type="spellEnd"/>
      <w:r w:rsidRPr="00C8219D">
        <w:rPr>
          <w:rFonts w:ascii="Courier New" w:eastAsia="Times New Roman" w:hAnsi="Courier New" w:cs="Courier New"/>
          <w:sz w:val="20"/>
          <w:szCs w:val="20"/>
          <w:lang w:eastAsia="en-IN"/>
        </w:rPr>
        <w:t>",</w:t>
      </w:r>
    </w:p>
    <w:p w14:paraId="0244D3F3"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"position": 3,</w:t>
      </w:r>
    </w:p>
    <w:p w14:paraId="2583B5D8"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"name": "Hydrocracking Market Report 2030",</w:t>
      </w:r>
    </w:p>
    <w:p w14:paraId="48E3EB86"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"item": "https://www.strategicmarketresearch.com/market-report/hydrocracking-market"</w:t>
      </w:r>
    </w:p>
    <w:p w14:paraId="6ACF4C2B"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
    <w:p w14:paraId="2DA9FB51"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lastRenderedPageBreak/>
        <w:t xml:space="preserve">  ]</w:t>
      </w:r>
    </w:p>
    <w:p w14:paraId="6D1B2944"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w:t>
      </w:r>
    </w:p>
    <w:p w14:paraId="460B038C"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FAQ Schema</w:t>
      </w:r>
    </w:p>
    <w:p w14:paraId="2F93F6CA"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w:t>
      </w:r>
    </w:p>
    <w:p w14:paraId="5A6F708F"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"@context": "https://schema.org",</w:t>
      </w:r>
    </w:p>
    <w:p w14:paraId="003DFB3D"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"@type": "</w:t>
      </w:r>
      <w:proofErr w:type="spellStart"/>
      <w:r w:rsidRPr="00C8219D">
        <w:rPr>
          <w:rFonts w:ascii="Courier New" w:eastAsia="Times New Roman" w:hAnsi="Courier New" w:cs="Courier New"/>
          <w:sz w:val="20"/>
          <w:szCs w:val="20"/>
          <w:lang w:eastAsia="en-IN"/>
        </w:rPr>
        <w:t>FAQPage</w:t>
      </w:r>
      <w:proofErr w:type="spellEnd"/>
      <w:r w:rsidRPr="00C8219D">
        <w:rPr>
          <w:rFonts w:ascii="Courier New" w:eastAsia="Times New Roman" w:hAnsi="Courier New" w:cs="Courier New"/>
          <w:sz w:val="20"/>
          <w:szCs w:val="20"/>
          <w:lang w:eastAsia="en-IN"/>
        </w:rPr>
        <w:t>",</w:t>
      </w:r>
    </w:p>
    <w:p w14:paraId="64DC0C1B"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roofErr w:type="spellStart"/>
      <w:r w:rsidRPr="00C8219D">
        <w:rPr>
          <w:rFonts w:ascii="Courier New" w:eastAsia="Times New Roman" w:hAnsi="Courier New" w:cs="Courier New"/>
          <w:sz w:val="20"/>
          <w:szCs w:val="20"/>
          <w:lang w:eastAsia="en-IN"/>
        </w:rPr>
        <w:t>mainEntity</w:t>
      </w:r>
      <w:proofErr w:type="spellEnd"/>
      <w:r w:rsidRPr="00C8219D">
        <w:rPr>
          <w:rFonts w:ascii="Courier New" w:eastAsia="Times New Roman" w:hAnsi="Courier New" w:cs="Courier New"/>
          <w:sz w:val="20"/>
          <w:szCs w:val="20"/>
          <w:lang w:eastAsia="en-IN"/>
        </w:rPr>
        <w:t>": [</w:t>
      </w:r>
    </w:p>
    <w:p w14:paraId="68C94372"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
    <w:p w14:paraId="0C2D5A43"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"@type": "Question",</w:t>
      </w:r>
    </w:p>
    <w:p w14:paraId="42EC7AC1"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"name": "How big is the hydrocracking market?",</w:t>
      </w:r>
    </w:p>
    <w:p w14:paraId="052E23B8"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roofErr w:type="spellStart"/>
      <w:r w:rsidRPr="00C8219D">
        <w:rPr>
          <w:rFonts w:ascii="Courier New" w:eastAsia="Times New Roman" w:hAnsi="Courier New" w:cs="Courier New"/>
          <w:sz w:val="20"/>
          <w:szCs w:val="20"/>
          <w:lang w:eastAsia="en-IN"/>
        </w:rPr>
        <w:t>acceptedAnswer</w:t>
      </w:r>
      <w:proofErr w:type="spellEnd"/>
      <w:r w:rsidRPr="00C8219D">
        <w:rPr>
          <w:rFonts w:ascii="Courier New" w:eastAsia="Times New Roman" w:hAnsi="Courier New" w:cs="Courier New"/>
          <w:sz w:val="20"/>
          <w:szCs w:val="20"/>
          <w:lang w:eastAsia="en-IN"/>
        </w:rPr>
        <w:t>": {</w:t>
      </w:r>
    </w:p>
    <w:p w14:paraId="561D0902"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"@type": "Answer",</w:t>
      </w:r>
    </w:p>
    <w:p w14:paraId="32EF704A"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"text": "The global hydrocracking market was valued at USD 42.5 billion in 2024."</w:t>
      </w:r>
    </w:p>
    <w:p w14:paraId="26B38334"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
    <w:p w14:paraId="4FBD1DD5"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
    <w:p w14:paraId="252E5A35"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
    <w:p w14:paraId="7E477752"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"@type": "Question",</w:t>
      </w:r>
    </w:p>
    <w:p w14:paraId="16B97D5A"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"name": "What is the CAGR for the forecast period?",</w:t>
      </w:r>
    </w:p>
    <w:p w14:paraId="650AA336"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roofErr w:type="spellStart"/>
      <w:r w:rsidRPr="00C8219D">
        <w:rPr>
          <w:rFonts w:ascii="Courier New" w:eastAsia="Times New Roman" w:hAnsi="Courier New" w:cs="Courier New"/>
          <w:sz w:val="20"/>
          <w:szCs w:val="20"/>
          <w:lang w:eastAsia="en-IN"/>
        </w:rPr>
        <w:t>acceptedAnswer</w:t>
      </w:r>
      <w:proofErr w:type="spellEnd"/>
      <w:r w:rsidRPr="00C8219D">
        <w:rPr>
          <w:rFonts w:ascii="Courier New" w:eastAsia="Times New Roman" w:hAnsi="Courier New" w:cs="Courier New"/>
          <w:sz w:val="20"/>
          <w:szCs w:val="20"/>
          <w:lang w:eastAsia="en-IN"/>
        </w:rPr>
        <w:t>": {</w:t>
      </w:r>
    </w:p>
    <w:p w14:paraId="64242D53"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"@type": "Answer",</w:t>
      </w:r>
    </w:p>
    <w:p w14:paraId="5AEBB9C5"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"text": "The market is expected to grow at a CAGR of 5.8% from 2024 to 2030."</w:t>
      </w:r>
    </w:p>
    <w:p w14:paraId="204294A2"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
    <w:p w14:paraId="354CCB11"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
    <w:p w14:paraId="5E171833"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
    <w:p w14:paraId="3708523E"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"@type": "Question",</w:t>
      </w:r>
    </w:p>
    <w:p w14:paraId="5547D5B6"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"name": "Who are the major players in the hydrocracking market?",</w:t>
      </w:r>
    </w:p>
    <w:p w14:paraId="3FDE8201"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roofErr w:type="spellStart"/>
      <w:r w:rsidRPr="00C8219D">
        <w:rPr>
          <w:rFonts w:ascii="Courier New" w:eastAsia="Times New Roman" w:hAnsi="Courier New" w:cs="Courier New"/>
          <w:sz w:val="20"/>
          <w:szCs w:val="20"/>
          <w:lang w:eastAsia="en-IN"/>
        </w:rPr>
        <w:t>acceptedAnswer</w:t>
      </w:r>
      <w:proofErr w:type="spellEnd"/>
      <w:r w:rsidRPr="00C8219D">
        <w:rPr>
          <w:rFonts w:ascii="Courier New" w:eastAsia="Times New Roman" w:hAnsi="Courier New" w:cs="Courier New"/>
          <w:sz w:val="20"/>
          <w:szCs w:val="20"/>
          <w:lang w:eastAsia="en-IN"/>
        </w:rPr>
        <w:t>": {</w:t>
      </w:r>
    </w:p>
    <w:p w14:paraId="562E46DD"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"@type": "Answer",</w:t>
      </w:r>
    </w:p>
    <w:p w14:paraId="486178B5"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"text": "Leading players include Honeywell UOP, </w:t>
      </w:r>
      <w:proofErr w:type="spellStart"/>
      <w:r w:rsidRPr="00C8219D">
        <w:rPr>
          <w:rFonts w:ascii="Courier New" w:eastAsia="Times New Roman" w:hAnsi="Courier New" w:cs="Courier New"/>
          <w:sz w:val="20"/>
          <w:szCs w:val="20"/>
          <w:lang w:eastAsia="en-IN"/>
        </w:rPr>
        <w:t>Axens</w:t>
      </w:r>
      <w:proofErr w:type="spellEnd"/>
      <w:r w:rsidRPr="00C8219D">
        <w:rPr>
          <w:rFonts w:ascii="Courier New" w:eastAsia="Times New Roman" w:hAnsi="Courier New" w:cs="Courier New"/>
          <w:sz w:val="20"/>
          <w:szCs w:val="20"/>
          <w:lang w:eastAsia="en-IN"/>
        </w:rPr>
        <w:t>, Shell Global Solutions, KBR Inc., Technip Energies, and Lummus Technology."</w:t>
      </w:r>
    </w:p>
    <w:p w14:paraId="5E608B39"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
    <w:p w14:paraId="38C9F0E2"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
    <w:p w14:paraId="362AEC83"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
    <w:p w14:paraId="27C03256"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"@type": "Question",</w:t>
      </w:r>
    </w:p>
    <w:p w14:paraId="1357D16E"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"name": "Which region dominates the hydrocracking market?",</w:t>
      </w:r>
    </w:p>
    <w:p w14:paraId="2B0A27AD"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roofErr w:type="spellStart"/>
      <w:r w:rsidRPr="00C8219D">
        <w:rPr>
          <w:rFonts w:ascii="Courier New" w:eastAsia="Times New Roman" w:hAnsi="Courier New" w:cs="Courier New"/>
          <w:sz w:val="20"/>
          <w:szCs w:val="20"/>
          <w:lang w:eastAsia="en-IN"/>
        </w:rPr>
        <w:t>acceptedAnswer</w:t>
      </w:r>
      <w:proofErr w:type="spellEnd"/>
      <w:r w:rsidRPr="00C8219D">
        <w:rPr>
          <w:rFonts w:ascii="Courier New" w:eastAsia="Times New Roman" w:hAnsi="Courier New" w:cs="Courier New"/>
          <w:sz w:val="20"/>
          <w:szCs w:val="20"/>
          <w:lang w:eastAsia="en-IN"/>
        </w:rPr>
        <w:t>": {</w:t>
      </w:r>
    </w:p>
    <w:p w14:paraId="3FA0F2F6"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"@type": "Answer",</w:t>
      </w:r>
    </w:p>
    <w:p w14:paraId="1C959C6A"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"text": "Asia-Pacific leads due to rising middle distillate demand, refinery expansions, and abundant heavy crude availability."</w:t>
      </w:r>
    </w:p>
    <w:p w14:paraId="329E4834"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
    <w:p w14:paraId="7D44C77B"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
    <w:p w14:paraId="52A5BCA8"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
    <w:p w14:paraId="3B43665A"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"@type": "Question",</w:t>
      </w:r>
    </w:p>
    <w:p w14:paraId="23BA6510"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"name": "What factors are driving growth in the hydrocracking market?",</w:t>
      </w:r>
    </w:p>
    <w:p w14:paraId="40C3CC89"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roofErr w:type="spellStart"/>
      <w:r w:rsidRPr="00C8219D">
        <w:rPr>
          <w:rFonts w:ascii="Courier New" w:eastAsia="Times New Roman" w:hAnsi="Courier New" w:cs="Courier New"/>
          <w:sz w:val="20"/>
          <w:szCs w:val="20"/>
          <w:lang w:eastAsia="en-IN"/>
        </w:rPr>
        <w:t>acceptedAnswer</w:t>
      </w:r>
      <w:proofErr w:type="spellEnd"/>
      <w:r w:rsidRPr="00C8219D">
        <w:rPr>
          <w:rFonts w:ascii="Courier New" w:eastAsia="Times New Roman" w:hAnsi="Courier New" w:cs="Courier New"/>
          <w:sz w:val="20"/>
          <w:szCs w:val="20"/>
          <w:lang w:eastAsia="en-IN"/>
        </w:rPr>
        <w:t>": {</w:t>
      </w:r>
    </w:p>
    <w:p w14:paraId="328A86AD"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"@type": "Answer",</w:t>
      </w:r>
    </w:p>
    <w:p w14:paraId="075D6BB3"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"text": "Growth is </w:t>
      </w:r>
      <w:proofErr w:type="spellStart"/>
      <w:r w:rsidRPr="00C8219D">
        <w:rPr>
          <w:rFonts w:ascii="Courier New" w:eastAsia="Times New Roman" w:hAnsi="Courier New" w:cs="Courier New"/>
          <w:sz w:val="20"/>
          <w:szCs w:val="20"/>
          <w:lang w:eastAsia="en-IN"/>
        </w:rPr>
        <w:t>fueled</w:t>
      </w:r>
      <w:proofErr w:type="spellEnd"/>
      <w:r w:rsidRPr="00C8219D">
        <w:rPr>
          <w:rFonts w:ascii="Courier New" w:eastAsia="Times New Roman" w:hAnsi="Courier New" w:cs="Courier New"/>
          <w:sz w:val="20"/>
          <w:szCs w:val="20"/>
          <w:lang w:eastAsia="en-IN"/>
        </w:rPr>
        <w:t xml:space="preserve"> by rising middle distillate demand, environmental regulations for low-</w:t>
      </w:r>
      <w:proofErr w:type="spellStart"/>
      <w:r w:rsidRPr="00C8219D">
        <w:rPr>
          <w:rFonts w:ascii="Courier New" w:eastAsia="Times New Roman" w:hAnsi="Courier New" w:cs="Courier New"/>
          <w:sz w:val="20"/>
          <w:szCs w:val="20"/>
          <w:lang w:eastAsia="en-IN"/>
        </w:rPr>
        <w:t>sulfur</w:t>
      </w:r>
      <w:proofErr w:type="spellEnd"/>
      <w:r w:rsidRPr="00C8219D">
        <w:rPr>
          <w:rFonts w:ascii="Courier New" w:eastAsia="Times New Roman" w:hAnsi="Courier New" w:cs="Courier New"/>
          <w:sz w:val="20"/>
          <w:szCs w:val="20"/>
          <w:lang w:eastAsia="en-IN"/>
        </w:rPr>
        <w:t xml:space="preserve"> fuels, and advancements in hydrocracking catalyst and process technology."</w:t>
      </w:r>
    </w:p>
    <w:p w14:paraId="25F96521"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
    <w:p w14:paraId="6BA9782E"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
    <w:p w14:paraId="5F746AB4"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 xml:space="preserve">  ]</w:t>
      </w:r>
    </w:p>
    <w:p w14:paraId="102E6E1C" w14:textId="77777777" w:rsidR="00C8219D" w:rsidRPr="00C8219D" w:rsidRDefault="00C8219D" w:rsidP="00C82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219D">
        <w:rPr>
          <w:rFonts w:ascii="Courier New" w:eastAsia="Times New Roman" w:hAnsi="Courier New" w:cs="Courier New"/>
          <w:sz w:val="20"/>
          <w:szCs w:val="20"/>
          <w:lang w:eastAsia="en-IN"/>
        </w:rPr>
        <w:t>}</w:t>
      </w:r>
    </w:p>
    <w:p w14:paraId="0CB3905B" w14:textId="77777777" w:rsidR="00C8219D" w:rsidRPr="00C8219D" w:rsidRDefault="00C8219D" w:rsidP="00C821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219D">
        <w:rPr>
          <w:rFonts w:ascii="Times New Roman" w:eastAsia="Times New Roman" w:hAnsi="Times New Roman" w:cs="Times New Roman"/>
          <w:b/>
          <w:bCs/>
          <w:kern w:val="36"/>
          <w:sz w:val="48"/>
          <w:szCs w:val="48"/>
          <w:lang w:eastAsia="en-IN"/>
        </w:rPr>
        <w:lastRenderedPageBreak/>
        <w:t>9. Table of Contents</w:t>
      </w:r>
    </w:p>
    <w:p w14:paraId="5FB5B7C4"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Executive Summary</w:t>
      </w:r>
    </w:p>
    <w:p w14:paraId="5957C9B2" w14:textId="77777777" w:rsidR="00C8219D" w:rsidRPr="00C8219D" w:rsidRDefault="00C8219D" w:rsidP="00C8219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Market Overview</w:t>
      </w:r>
    </w:p>
    <w:p w14:paraId="17E1964C" w14:textId="77777777" w:rsidR="00C8219D" w:rsidRPr="00C8219D" w:rsidRDefault="00C8219D" w:rsidP="00C8219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Market Attractiveness by Feedstock Type, Product Type, Process Configuration, and Region</w:t>
      </w:r>
    </w:p>
    <w:p w14:paraId="444F92EA" w14:textId="77777777" w:rsidR="00C8219D" w:rsidRPr="00C8219D" w:rsidRDefault="00C8219D" w:rsidP="00C8219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Strategic Insights from Key Executives (CXO Perspective)</w:t>
      </w:r>
    </w:p>
    <w:p w14:paraId="3BC3E26A" w14:textId="77777777" w:rsidR="00C8219D" w:rsidRPr="00C8219D" w:rsidRDefault="00C8219D" w:rsidP="00C8219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Historical Market Size and Future Projections (2019–2030)</w:t>
      </w:r>
    </w:p>
    <w:p w14:paraId="64D1DA51" w14:textId="77777777" w:rsidR="00C8219D" w:rsidRPr="00C8219D" w:rsidRDefault="00C8219D" w:rsidP="00C8219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Summary of Market Segmentation by Feedstock, Product, Process Configuration, and Region</w:t>
      </w:r>
    </w:p>
    <w:p w14:paraId="61B13F26"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Market Share Analysis</w:t>
      </w:r>
    </w:p>
    <w:p w14:paraId="67D079F5" w14:textId="77777777" w:rsidR="00C8219D" w:rsidRPr="00C8219D" w:rsidRDefault="00C8219D" w:rsidP="00C8219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Leading Players by Revenue and Market Share</w:t>
      </w:r>
    </w:p>
    <w:p w14:paraId="43E38E16" w14:textId="77777777" w:rsidR="00C8219D" w:rsidRPr="00C8219D" w:rsidRDefault="00C8219D" w:rsidP="00C8219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Market Share Analysis by Feedstock Type, Product Type, and Process Configuration</w:t>
      </w:r>
    </w:p>
    <w:p w14:paraId="0BCEB2EB"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Investment Opportunities in the Hydrocracking Market</w:t>
      </w:r>
    </w:p>
    <w:p w14:paraId="13B29B72" w14:textId="77777777" w:rsidR="00C8219D" w:rsidRPr="00C8219D" w:rsidRDefault="00C8219D" w:rsidP="00C8219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Key Developments and Innovations</w:t>
      </w:r>
    </w:p>
    <w:p w14:paraId="46020F20" w14:textId="77777777" w:rsidR="00C8219D" w:rsidRPr="00C8219D" w:rsidRDefault="00C8219D" w:rsidP="00C8219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Mergers, Acquisitions, and Strategic Partnerships</w:t>
      </w:r>
    </w:p>
    <w:p w14:paraId="580B06A1" w14:textId="77777777" w:rsidR="00C8219D" w:rsidRPr="00C8219D" w:rsidRDefault="00C8219D" w:rsidP="00C8219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High-Growth Segments for Investment</w:t>
      </w:r>
    </w:p>
    <w:p w14:paraId="3A0A3DAF"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Market Introduction</w:t>
      </w:r>
    </w:p>
    <w:p w14:paraId="35ED2B55" w14:textId="77777777" w:rsidR="00C8219D" w:rsidRPr="00C8219D" w:rsidRDefault="00C8219D" w:rsidP="00C8219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Definition and Scope of the Study</w:t>
      </w:r>
    </w:p>
    <w:p w14:paraId="66A41DAA" w14:textId="77777777" w:rsidR="00C8219D" w:rsidRPr="00C8219D" w:rsidRDefault="00C8219D" w:rsidP="00C8219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Market Structure and Key Findings</w:t>
      </w:r>
    </w:p>
    <w:p w14:paraId="4112EF08" w14:textId="77777777" w:rsidR="00C8219D" w:rsidRPr="00C8219D" w:rsidRDefault="00C8219D" w:rsidP="00C8219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Overview of Top Investment Pockets</w:t>
      </w:r>
    </w:p>
    <w:p w14:paraId="0E68CB71"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Research Methodology</w:t>
      </w:r>
    </w:p>
    <w:p w14:paraId="6551771B" w14:textId="77777777" w:rsidR="00C8219D" w:rsidRPr="00C8219D" w:rsidRDefault="00C8219D" w:rsidP="00C8219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Research Process Overview</w:t>
      </w:r>
    </w:p>
    <w:p w14:paraId="01532479" w14:textId="77777777" w:rsidR="00C8219D" w:rsidRPr="00C8219D" w:rsidRDefault="00C8219D" w:rsidP="00C8219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Primary and Secondary Research Approaches</w:t>
      </w:r>
    </w:p>
    <w:p w14:paraId="6DAAEB61" w14:textId="77777777" w:rsidR="00C8219D" w:rsidRPr="00C8219D" w:rsidRDefault="00C8219D" w:rsidP="00C8219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Market Size Estimation and Forecasting Techniques</w:t>
      </w:r>
    </w:p>
    <w:p w14:paraId="5114D5A2"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Market Dynamics</w:t>
      </w:r>
    </w:p>
    <w:p w14:paraId="275494B9" w14:textId="77777777" w:rsidR="00C8219D" w:rsidRPr="00C8219D" w:rsidRDefault="00C8219D" w:rsidP="00C8219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Key Market Drivers</w:t>
      </w:r>
    </w:p>
    <w:p w14:paraId="72DA541F" w14:textId="77777777" w:rsidR="00C8219D" w:rsidRPr="00C8219D" w:rsidRDefault="00C8219D" w:rsidP="00C8219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Challenges and Restraints Impacting Growth</w:t>
      </w:r>
    </w:p>
    <w:p w14:paraId="3CDA1E13" w14:textId="77777777" w:rsidR="00C8219D" w:rsidRPr="00C8219D" w:rsidRDefault="00C8219D" w:rsidP="00C8219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Emerging Opportunities for Stakeholders</w:t>
      </w:r>
    </w:p>
    <w:p w14:paraId="16C09FA3" w14:textId="77777777" w:rsidR="00C8219D" w:rsidRPr="00C8219D" w:rsidRDefault="00C8219D" w:rsidP="00C8219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 xml:space="preserve">Impact of </w:t>
      </w:r>
      <w:proofErr w:type="spellStart"/>
      <w:r w:rsidRPr="00C8219D">
        <w:rPr>
          <w:rFonts w:ascii="Times New Roman" w:eastAsia="Times New Roman" w:hAnsi="Times New Roman" w:cs="Times New Roman"/>
          <w:sz w:val="24"/>
          <w:szCs w:val="24"/>
          <w:lang w:eastAsia="en-IN"/>
        </w:rPr>
        <w:t>Behavioral</w:t>
      </w:r>
      <w:proofErr w:type="spellEnd"/>
      <w:r w:rsidRPr="00C8219D">
        <w:rPr>
          <w:rFonts w:ascii="Times New Roman" w:eastAsia="Times New Roman" w:hAnsi="Times New Roman" w:cs="Times New Roman"/>
          <w:sz w:val="24"/>
          <w:szCs w:val="24"/>
          <w:lang w:eastAsia="en-IN"/>
        </w:rPr>
        <w:t xml:space="preserve"> and Regulatory Factors</w:t>
      </w:r>
    </w:p>
    <w:p w14:paraId="76B8F6CB" w14:textId="77777777" w:rsidR="00C8219D" w:rsidRPr="00C8219D" w:rsidRDefault="00C8219D" w:rsidP="00C8219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Technological Advances in Hydrocracking</w:t>
      </w:r>
    </w:p>
    <w:p w14:paraId="30E0CDFF"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Global Hydrocracking Market Analysis</w:t>
      </w:r>
    </w:p>
    <w:p w14:paraId="3B4B7A0B" w14:textId="77777777" w:rsidR="00C8219D" w:rsidRPr="00C8219D" w:rsidRDefault="00C8219D" w:rsidP="00C8219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Historical Market Size and Volume (2019–2023)</w:t>
      </w:r>
    </w:p>
    <w:p w14:paraId="5995B9A2" w14:textId="77777777" w:rsidR="00C8219D" w:rsidRPr="00C8219D" w:rsidRDefault="00C8219D" w:rsidP="00C8219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Market Size and Volume Forecasts (2024–2030)</w:t>
      </w:r>
    </w:p>
    <w:p w14:paraId="5FFF5A2F" w14:textId="77777777" w:rsidR="00C8219D" w:rsidRPr="00C8219D" w:rsidRDefault="00C8219D" w:rsidP="00C8219D">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C8219D">
        <w:rPr>
          <w:rFonts w:ascii="Times New Roman" w:eastAsia="Times New Roman" w:hAnsi="Times New Roman" w:cs="Times New Roman"/>
          <w:b/>
          <w:bCs/>
          <w:sz w:val="24"/>
          <w:szCs w:val="24"/>
          <w:lang w:eastAsia="en-IN"/>
        </w:rPr>
        <w:t>Market Analysis by Feedstock Type:</w:t>
      </w:r>
    </w:p>
    <w:p w14:paraId="6233B136" w14:textId="77777777" w:rsidR="00C8219D" w:rsidRPr="00C8219D" w:rsidRDefault="00C8219D" w:rsidP="00C8219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Vacuum Gas Oil (VGO)</w:t>
      </w:r>
    </w:p>
    <w:p w14:paraId="74225349" w14:textId="77777777" w:rsidR="00C8219D" w:rsidRPr="00C8219D" w:rsidRDefault="00C8219D" w:rsidP="00C8219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lastRenderedPageBreak/>
        <w:t>Residual Oils</w:t>
      </w:r>
    </w:p>
    <w:p w14:paraId="63E1FC39" w14:textId="77777777" w:rsidR="00C8219D" w:rsidRPr="00C8219D" w:rsidRDefault="00C8219D" w:rsidP="00C8219D">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C8219D">
        <w:rPr>
          <w:rFonts w:ascii="Times New Roman" w:eastAsia="Times New Roman" w:hAnsi="Times New Roman" w:cs="Times New Roman"/>
          <w:b/>
          <w:bCs/>
          <w:sz w:val="24"/>
          <w:szCs w:val="24"/>
          <w:lang w:eastAsia="en-IN"/>
        </w:rPr>
        <w:t>Market Analysis by Product Type:</w:t>
      </w:r>
    </w:p>
    <w:p w14:paraId="6F95F557" w14:textId="77777777" w:rsidR="00C8219D" w:rsidRPr="00C8219D" w:rsidRDefault="00C8219D" w:rsidP="00C8219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Middle Distillates (Diesel, Kerosene)</w:t>
      </w:r>
    </w:p>
    <w:p w14:paraId="66F1F441" w14:textId="77777777" w:rsidR="00C8219D" w:rsidRPr="00C8219D" w:rsidRDefault="00C8219D" w:rsidP="00C8219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Naphtha</w:t>
      </w:r>
    </w:p>
    <w:p w14:paraId="6B343FF2" w14:textId="77777777" w:rsidR="00C8219D" w:rsidRPr="00C8219D" w:rsidRDefault="00C8219D" w:rsidP="00C8219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Jet Fuel</w:t>
      </w:r>
    </w:p>
    <w:p w14:paraId="4E861B0D" w14:textId="77777777" w:rsidR="00C8219D" w:rsidRPr="00C8219D" w:rsidRDefault="00C8219D" w:rsidP="00C8219D">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C8219D">
        <w:rPr>
          <w:rFonts w:ascii="Times New Roman" w:eastAsia="Times New Roman" w:hAnsi="Times New Roman" w:cs="Times New Roman"/>
          <w:b/>
          <w:bCs/>
          <w:sz w:val="24"/>
          <w:szCs w:val="24"/>
          <w:lang w:eastAsia="en-IN"/>
        </w:rPr>
        <w:t>Market Analysis by Process Configuration:</w:t>
      </w:r>
    </w:p>
    <w:p w14:paraId="09C8B08C" w14:textId="77777777" w:rsidR="00C8219D" w:rsidRPr="00C8219D" w:rsidRDefault="00C8219D" w:rsidP="00C8219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Single-Stage Hydrocracking</w:t>
      </w:r>
    </w:p>
    <w:p w14:paraId="732990C5" w14:textId="77777777" w:rsidR="00C8219D" w:rsidRPr="00C8219D" w:rsidRDefault="00C8219D" w:rsidP="00C8219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Two-Stage Hydrocracking</w:t>
      </w:r>
    </w:p>
    <w:p w14:paraId="1CA3D253" w14:textId="77777777" w:rsidR="00C8219D" w:rsidRPr="00C8219D" w:rsidRDefault="00C8219D" w:rsidP="00C8219D">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C8219D">
        <w:rPr>
          <w:rFonts w:ascii="Times New Roman" w:eastAsia="Times New Roman" w:hAnsi="Times New Roman" w:cs="Times New Roman"/>
          <w:b/>
          <w:bCs/>
          <w:sz w:val="24"/>
          <w:szCs w:val="24"/>
          <w:lang w:eastAsia="en-IN"/>
        </w:rPr>
        <w:t>Market Analysis by Region:</w:t>
      </w:r>
    </w:p>
    <w:p w14:paraId="53C87E43" w14:textId="77777777" w:rsidR="00C8219D" w:rsidRPr="00C8219D" w:rsidRDefault="00C8219D" w:rsidP="00C8219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North America</w:t>
      </w:r>
    </w:p>
    <w:p w14:paraId="4DA0AE73" w14:textId="77777777" w:rsidR="00C8219D" w:rsidRPr="00C8219D" w:rsidRDefault="00C8219D" w:rsidP="00C8219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Europe</w:t>
      </w:r>
    </w:p>
    <w:p w14:paraId="28515103" w14:textId="77777777" w:rsidR="00C8219D" w:rsidRPr="00C8219D" w:rsidRDefault="00C8219D" w:rsidP="00C8219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Asia-Pacific</w:t>
      </w:r>
    </w:p>
    <w:p w14:paraId="529DB4C2" w14:textId="77777777" w:rsidR="00C8219D" w:rsidRPr="00C8219D" w:rsidRDefault="00C8219D" w:rsidP="00C8219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Latin America, Middle East &amp; Africa (LAMEA)</w:t>
      </w:r>
    </w:p>
    <w:p w14:paraId="072C5A0F"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Regional Market Analysis</w:t>
      </w:r>
    </w:p>
    <w:p w14:paraId="4B87B449" w14:textId="77777777" w:rsidR="00C8219D" w:rsidRPr="00C8219D" w:rsidRDefault="00C8219D" w:rsidP="00C8219D">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C8219D">
        <w:rPr>
          <w:rFonts w:ascii="Times New Roman" w:eastAsia="Times New Roman" w:hAnsi="Times New Roman" w:cs="Times New Roman"/>
          <w:b/>
          <w:bCs/>
          <w:sz w:val="24"/>
          <w:szCs w:val="24"/>
          <w:lang w:eastAsia="en-IN"/>
        </w:rPr>
        <w:t>North America Hydrocracking Market</w:t>
      </w:r>
    </w:p>
    <w:p w14:paraId="301C2F42" w14:textId="77777777" w:rsidR="00C8219D" w:rsidRPr="00C8219D" w:rsidRDefault="00C8219D" w:rsidP="00C8219D">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Historical Market Size and Volume (2019–2023)</w:t>
      </w:r>
    </w:p>
    <w:p w14:paraId="444DCF8B" w14:textId="77777777" w:rsidR="00C8219D" w:rsidRPr="00C8219D" w:rsidRDefault="00C8219D" w:rsidP="00C8219D">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Market Size and Volume Forecasts (2024–2030)</w:t>
      </w:r>
    </w:p>
    <w:p w14:paraId="781FD5CB" w14:textId="77777777" w:rsidR="00C8219D" w:rsidRPr="00C8219D" w:rsidRDefault="00C8219D" w:rsidP="00C8219D">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Market Analysis by Feedstock, Product, and Process Configuration</w:t>
      </w:r>
    </w:p>
    <w:p w14:paraId="7859C5D4" w14:textId="77777777" w:rsidR="00C8219D" w:rsidRPr="00C8219D" w:rsidRDefault="00C8219D" w:rsidP="00C8219D">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Country-Level Breakdown: U.S., Canada, Mexico</w:t>
      </w:r>
    </w:p>
    <w:p w14:paraId="2707443D" w14:textId="77777777" w:rsidR="00C8219D" w:rsidRPr="00C8219D" w:rsidRDefault="00C8219D" w:rsidP="00C8219D">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C8219D">
        <w:rPr>
          <w:rFonts w:ascii="Times New Roman" w:eastAsia="Times New Roman" w:hAnsi="Times New Roman" w:cs="Times New Roman"/>
          <w:b/>
          <w:bCs/>
          <w:sz w:val="24"/>
          <w:szCs w:val="24"/>
          <w:lang w:eastAsia="en-IN"/>
        </w:rPr>
        <w:t>Europe Hydrocracking Market</w:t>
      </w:r>
    </w:p>
    <w:p w14:paraId="5CD19321" w14:textId="77777777" w:rsidR="00C8219D" w:rsidRPr="00C8219D" w:rsidRDefault="00C8219D" w:rsidP="00C8219D">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Country-Level Breakdown: Germany, France, UK, Italy, Spain, Rest of Europe</w:t>
      </w:r>
    </w:p>
    <w:p w14:paraId="6F0630F4" w14:textId="77777777" w:rsidR="00C8219D" w:rsidRPr="00C8219D" w:rsidRDefault="00C8219D" w:rsidP="00C8219D">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C8219D">
        <w:rPr>
          <w:rFonts w:ascii="Times New Roman" w:eastAsia="Times New Roman" w:hAnsi="Times New Roman" w:cs="Times New Roman"/>
          <w:b/>
          <w:bCs/>
          <w:sz w:val="24"/>
          <w:szCs w:val="24"/>
          <w:lang w:eastAsia="en-IN"/>
        </w:rPr>
        <w:t>Asia-Pacific Hydrocracking Market</w:t>
      </w:r>
    </w:p>
    <w:p w14:paraId="5B90E3EB" w14:textId="77777777" w:rsidR="00C8219D" w:rsidRPr="00C8219D" w:rsidRDefault="00C8219D" w:rsidP="00C8219D">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Country-Level Breakdown: China, India, Japan, South Korea, Rest of Asia-Pacific</w:t>
      </w:r>
    </w:p>
    <w:p w14:paraId="6084A222" w14:textId="77777777" w:rsidR="00C8219D" w:rsidRPr="00C8219D" w:rsidRDefault="00C8219D" w:rsidP="00C8219D">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C8219D">
        <w:rPr>
          <w:rFonts w:ascii="Times New Roman" w:eastAsia="Times New Roman" w:hAnsi="Times New Roman" w:cs="Times New Roman"/>
          <w:b/>
          <w:bCs/>
          <w:sz w:val="24"/>
          <w:szCs w:val="24"/>
          <w:lang w:eastAsia="en-IN"/>
        </w:rPr>
        <w:t>Latin America Hydrocracking Market</w:t>
      </w:r>
    </w:p>
    <w:p w14:paraId="5B4CE48A" w14:textId="77777777" w:rsidR="00C8219D" w:rsidRPr="00C8219D" w:rsidRDefault="00C8219D" w:rsidP="00C8219D">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Country-Level Breakdown: Brazil, Argentina, Rest of Latin America</w:t>
      </w:r>
    </w:p>
    <w:p w14:paraId="2FE87B71" w14:textId="77777777" w:rsidR="00C8219D" w:rsidRPr="00C8219D" w:rsidRDefault="00C8219D" w:rsidP="00C8219D">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C8219D">
        <w:rPr>
          <w:rFonts w:ascii="Times New Roman" w:eastAsia="Times New Roman" w:hAnsi="Times New Roman" w:cs="Times New Roman"/>
          <w:b/>
          <w:bCs/>
          <w:sz w:val="24"/>
          <w:szCs w:val="24"/>
          <w:lang w:eastAsia="en-IN"/>
        </w:rPr>
        <w:t>Middle East &amp; Africa Hydrocracking Market</w:t>
      </w:r>
    </w:p>
    <w:p w14:paraId="04D47AD1" w14:textId="77777777" w:rsidR="00C8219D" w:rsidRPr="00C8219D" w:rsidRDefault="00C8219D" w:rsidP="00C8219D">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Country-Level Breakdown: Saudi Arabia, UAE, South Africa, Rest of MEA</w:t>
      </w:r>
    </w:p>
    <w:p w14:paraId="66785274"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Key Players and Competitive Analysis</w:t>
      </w:r>
    </w:p>
    <w:p w14:paraId="310024A0" w14:textId="77777777" w:rsidR="00C8219D" w:rsidRPr="00C8219D" w:rsidRDefault="00C8219D" w:rsidP="00C821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Honeywell UOP</w:t>
      </w:r>
    </w:p>
    <w:p w14:paraId="6D89EAF5" w14:textId="77777777" w:rsidR="00C8219D" w:rsidRPr="00C8219D" w:rsidRDefault="00C8219D" w:rsidP="00C821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8219D">
        <w:rPr>
          <w:rFonts w:ascii="Times New Roman" w:eastAsia="Times New Roman" w:hAnsi="Times New Roman" w:cs="Times New Roman"/>
          <w:sz w:val="24"/>
          <w:szCs w:val="24"/>
          <w:lang w:eastAsia="en-IN"/>
        </w:rPr>
        <w:t>Axens</w:t>
      </w:r>
      <w:proofErr w:type="spellEnd"/>
    </w:p>
    <w:p w14:paraId="5F07BB3A" w14:textId="77777777" w:rsidR="00C8219D" w:rsidRPr="00C8219D" w:rsidRDefault="00C8219D" w:rsidP="00C821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Shell Global Solutions</w:t>
      </w:r>
    </w:p>
    <w:p w14:paraId="46A69495" w14:textId="77777777" w:rsidR="00C8219D" w:rsidRPr="00C8219D" w:rsidRDefault="00C8219D" w:rsidP="00C821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KBR Inc.</w:t>
      </w:r>
    </w:p>
    <w:p w14:paraId="7F9F0346" w14:textId="77777777" w:rsidR="00C8219D" w:rsidRPr="00C8219D" w:rsidRDefault="00C8219D" w:rsidP="00C821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Technip Energies</w:t>
      </w:r>
    </w:p>
    <w:p w14:paraId="124D8AE5" w14:textId="77777777" w:rsidR="00C8219D" w:rsidRPr="00C8219D" w:rsidRDefault="00C8219D" w:rsidP="00C821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Lummus Technology</w:t>
      </w:r>
    </w:p>
    <w:p w14:paraId="43D62D69"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Appendix</w:t>
      </w:r>
    </w:p>
    <w:p w14:paraId="0A98F428" w14:textId="77777777" w:rsidR="00C8219D" w:rsidRPr="00C8219D" w:rsidRDefault="00C8219D" w:rsidP="00C8219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Abbreviations and Terminologies Used in the Report</w:t>
      </w:r>
    </w:p>
    <w:p w14:paraId="28DB624C" w14:textId="77777777" w:rsidR="00C8219D" w:rsidRPr="00C8219D" w:rsidRDefault="00C8219D" w:rsidP="00C8219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References and Sources</w:t>
      </w:r>
    </w:p>
    <w:p w14:paraId="0356C731"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List of Tables</w:t>
      </w:r>
    </w:p>
    <w:p w14:paraId="33246484" w14:textId="77777777" w:rsidR="00C8219D" w:rsidRPr="00C8219D" w:rsidRDefault="00C8219D" w:rsidP="00C8219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Market Size by Feedstock Type, Product Type, Process Configuration, and Region (2024–2030)</w:t>
      </w:r>
    </w:p>
    <w:p w14:paraId="1630DAE5" w14:textId="77777777" w:rsidR="00C8219D" w:rsidRPr="00C8219D" w:rsidRDefault="00C8219D" w:rsidP="00C8219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lastRenderedPageBreak/>
        <w:t>Regional Market Breakdown by Feedstock, Product Type, and Process Configuration (2024–2030)</w:t>
      </w:r>
    </w:p>
    <w:p w14:paraId="6B4A4CD8" w14:textId="77777777" w:rsidR="00C8219D" w:rsidRPr="00C8219D" w:rsidRDefault="00C8219D" w:rsidP="00C8219D">
      <w:p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b/>
          <w:bCs/>
          <w:sz w:val="24"/>
          <w:szCs w:val="24"/>
          <w:lang w:eastAsia="en-IN"/>
        </w:rPr>
        <w:t>List of Figures</w:t>
      </w:r>
    </w:p>
    <w:p w14:paraId="1C72E984" w14:textId="77777777" w:rsidR="00C8219D" w:rsidRPr="00C8219D" w:rsidRDefault="00C8219D" w:rsidP="00C8219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Market Dynamics: Drivers, Restraints, Opportunities, and Challenges</w:t>
      </w:r>
    </w:p>
    <w:p w14:paraId="7F7527EB" w14:textId="77777777" w:rsidR="00C8219D" w:rsidRPr="00C8219D" w:rsidRDefault="00C8219D" w:rsidP="00C8219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Regional Market Snapshot for Key Regions</w:t>
      </w:r>
    </w:p>
    <w:p w14:paraId="4C8960B3" w14:textId="77777777" w:rsidR="00C8219D" w:rsidRPr="00C8219D" w:rsidRDefault="00C8219D" w:rsidP="00C8219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Competitive Landscape and Market Share Analysis</w:t>
      </w:r>
    </w:p>
    <w:p w14:paraId="4D4F9675" w14:textId="77777777" w:rsidR="00C8219D" w:rsidRPr="00C8219D" w:rsidRDefault="00C8219D" w:rsidP="00C8219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Growth Strategies Adopted by Key Players</w:t>
      </w:r>
    </w:p>
    <w:p w14:paraId="014BE1C5" w14:textId="77777777" w:rsidR="00C8219D" w:rsidRPr="00C8219D" w:rsidRDefault="00C8219D" w:rsidP="00C8219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219D">
        <w:rPr>
          <w:rFonts w:ascii="Times New Roman" w:eastAsia="Times New Roman" w:hAnsi="Times New Roman" w:cs="Times New Roman"/>
          <w:sz w:val="24"/>
          <w:szCs w:val="24"/>
          <w:lang w:eastAsia="en-IN"/>
        </w:rPr>
        <w:t>Market Share by Feedstock Type, Product Type, and Process Configuration (2024 vs. 2030)</w:t>
      </w:r>
    </w:p>
    <w:p w14:paraId="45DB0C62" w14:textId="6042DF2B"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350C5"/>
    <w:multiLevelType w:val="multilevel"/>
    <w:tmpl w:val="A2E8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308FA"/>
    <w:multiLevelType w:val="multilevel"/>
    <w:tmpl w:val="FE54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7282E"/>
    <w:multiLevelType w:val="multilevel"/>
    <w:tmpl w:val="5BA0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16D6F"/>
    <w:multiLevelType w:val="multilevel"/>
    <w:tmpl w:val="F9F2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A0B7F"/>
    <w:multiLevelType w:val="multilevel"/>
    <w:tmpl w:val="5CB6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9D6E36"/>
    <w:multiLevelType w:val="multilevel"/>
    <w:tmpl w:val="D092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E92C90"/>
    <w:multiLevelType w:val="multilevel"/>
    <w:tmpl w:val="A3C4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3779A8"/>
    <w:multiLevelType w:val="multilevel"/>
    <w:tmpl w:val="CDA2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D406B9"/>
    <w:multiLevelType w:val="multilevel"/>
    <w:tmpl w:val="2F36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9C40CF"/>
    <w:multiLevelType w:val="multilevel"/>
    <w:tmpl w:val="3188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529AC"/>
    <w:multiLevelType w:val="multilevel"/>
    <w:tmpl w:val="BF60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B661A"/>
    <w:multiLevelType w:val="multilevel"/>
    <w:tmpl w:val="9920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27351C"/>
    <w:multiLevelType w:val="multilevel"/>
    <w:tmpl w:val="60B09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E7661C"/>
    <w:multiLevelType w:val="multilevel"/>
    <w:tmpl w:val="057A8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F51B87"/>
    <w:multiLevelType w:val="multilevel"/>
    <w:tmpl w:val="A3E4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0E0466"/>
    <w:multiLevelType w:val="multilevel"/>
    <w:tmpl w:val="BC84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8"/>
  </w:num>
  <w:num w:numId="4">
    <w:abstractNumId w:val="3"/>
  </w:num>
  <w:num w:numId="5">
    <w:abstractNumId w:val="6"/>
  </w:num>
  <w:num w:numId="6">
    <w:abstractNumId w:val="1"/>
  </w:num>
  <w:num w:numId="7">
    <w:abstractNumId w:val="5"/>
  </w:num>
  <w:num w:numId="8">
    <w:abstractNumId w:val="7"/>
  </w:num>
  <w:num w:numId="9">
    <w:abstractNumId w:val="15"/>
  </w:num>
  <w:num w:numId="10">
    <w:abstractNumId w:val="10"/>
  </w:num>
  <w:num w:numId="11">
    <w:abstractNumId w:val="12"/>
  </w:num>
  <w:num w:numId="12">
    <w:abstractNumId w:val="13"/>
  </w:num>
  <w:num w:numId="13">
    <w:abstractNumId w:val="14"/>
  </w:num>
  <w:num w:numId="14">
    <w:abstractNumId w:val="0"/>
  </w:num>
  <w:num w:numId="15">
    <w:abstractNumId w:val="4"/>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19D"/>
    <w:rsid w:val="0038114E"/>
    <w:rsid w:val="00A11F02"/>
    <w:rsid w:val="00C821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2C205"/>
  <w15:chartTrackingRefBased/>
  <w15:docId w15:val="{804E67EF-CEC5-43B2-8C9B-E2627C650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1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19D"/>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C821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92844">
      <w:bodyDiv w:val="1"/>
      <w:marLeft w:val="0"/>
      <w:marRight w:val="0"/>
      <w:marTop w:val="0"/>
      <w:marBottom w:val="0"/>
      <w:divBdr>
        <w:top w:val="none" w:sz="0" w:space="0" w:color="auto"/>
        <w:left w:val="none" w:sz="0" w:space="0" w:color="auto"/>
        <w:bottom w:val="none" w:sz="0" w:space="0" w:color="auto"/>
        <w:right w:val="none" w:sz="0" w:space="0" w:color="auto"/>
      </w:divBdr>
    </w:div>
    <w:div w:id="274020072">
      <w:bodyDiv w:val="1"/>
      <w:marLeft w:val="0"/>
      <w:marRight w:val="0"/>
      <w:marTop w:val="0"/>
      <w:marBottom w:val="0"/>
      <w:divBdr>
        <w:top w:val="none" w:sz="0" w:space="0" w:color="auto"/>
        <w:left w:val="none" w:sz="0" w:space="0" w:color="auto"/>
        <w:bottom w:val="none" w:sz="0" w:space="0" w:color="auto"/>
        <w:right w:val="none" w:sz="0" w:space="0" w:color="auto"/>
      </w:divBdr>
      <w:divsChild>
        <w:div w:id="89543057">
          <w:marLeft w:val="0"/>
          <w:marRight w:val="0"/>
          <w:marTop w:val="0"/>
          <w:marBottom w:val="0"/>
          <w:divBdr>
            <w:top w:val="none" w:sz="0" w:space="0" w:color="auto"/>
            <w:left w:val="none" w:sz="0" w:space="0" w:color="auto"/>
            <w:bottom w:val="none" w:sz="0" w:space="0" w:color="auto"/>
            <w:right w:val="none" w:sz="0" w:space="0" w:color="auto"/>
          </w:divBdr>
          <w:divsChild>
            <w:div w:id="753936223">
              <w:marLeft w:val="0"/>
              <w:marRight w:val="0"/>
              <w:marTop w:val="0"/>
              <w:marBottom w:val="0"/>
              <w:divBdr>
                <w:top w:val="none" w:sz="0" w:space="0" w:color="auto"/>
                <w:left w:val="none" w:sz="0" w:space="0" w:color="auto"/>
                <w:bottom w:val="none" w:sz="0" w:space="0" w:color="auto"/>
                <w:right w:val="none" w:sz="0" w:space="0" w:color="auto"/>
              </w:divBdr>
            </w:div>
          </w:divsChild>
        </w:div>
        <w:div w:id="707484846">
          <w:marLeft w:val="0"/>
          <w:marRight w:val="0"/>
          <w:marTop w:val="0"/>
          <w:marBottom w:val="0"/>
          <w:divBdr>
            <w:top w:val="none" w:sz="0" w:space="0" w:color="auto"/>
            <w:left w:val="none" w:sz="0" w:space="0" w:color="auto"/>
            <w:bottom w:val="none" w:sz="0" w:space="0" w:color="auto"/>
            <w:right w:val="none" w:sz="0" w:space="0" w:color="auto"/>
          </w:divBdr>
          <w:divsChild>
            <w:div w:id="99329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29657">
      <w:bodyDiv w:val="1"/>
      <w:marLeft w:val="0"/>
      <w:marRight w:val="0"/>
      <w:marTop w:val="0"/>
      <w:marBottom w:val="0"/>
      <w:divBdr>
        <w:top w:val="none" w:sz="0" w:space="0" w:color="auto"/>
        <w:left w:val="none" w:sz="0" w:space="0" w:color="auto"/>
        <w:bottom w:val="none" w:sz="0" w:space="0" w:color="auto"/>
        <w:right w:val="none" w:sz="0" w:space="0" w:color="auto"/>
      </w:divBdr>
      <w:divsChild>
        <w:div w:id="1488666449">
          <w:marLeft w:val="0"/>
          <w:marRight w:val="0"/>
          <w:marTop w:val="0"/>
          <w:marBottom w:val="0"/>
          <w:divBdr>
            <w:top w:val="none" w:sz="0" w:space="0" w:color="auto"/>
            <w:left w:val="none" w:sz="0" w:space="0" w:color="auto"/>
            <w:bottom w:val="none" w:sz="0" w:space="0" w:color="auto"/>
            <w:right w:val="none" w:sz="0" w:space="0" w:color="auto"/>
          </w:divBdr>
          <w:divsChild>
            <w:div w:id="34008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96055">
      <w:bodyDiv w:val="1"/>
      <w:marLeft w:val="0"/>
      <w:marRight w:val="0"/>
      <w:marTop w:val="0"/>
      <w:marBottom w:val="0"/>
      <w:divBdr>
        <w:top w:val="none" w:sz="0" w:space="0" w:color="auto"/>
        <w:left w:val="none" w:sz="0" w:space="0" w:color="auto"/>
        <w:bottom w:val="none" w:sz="0" w:space="0" w:color="auto"/>
        <w:right w:val="none" w:sz="0" w:space="0" w:color="auto"/>
      </w:divBdr>
    </w:div>
    <w:div w:id="1069962819">
      <w:bodyDiv w:val="1"/>
      <w:marLeft w:val="0"/>
      <w:marRight w:val="0"/>
      <w:marTop w:val="0"/>
      <w:marBottom w:val="0"/>
      <w:divBdr>
        <w:top w:val="none" w:sz="0" w:space="0" w:color="auto"/>
        <w:left w:val="none" w:sz="0" w:space="0" w:color="auto"/>
        <w:bottom w:val="none" w:sz="0" w:space="0" w:color="auto"/>
        <w:right w:val="none" w:sz="0" w:space="0" w:color="auto"/>
      </w:divBdr>
    </w:div>
    <w:div w:id="1071730913">
      <w:bodyDiv w:val="1"/>
      <w:marLeft w:val="0"/>
      <w:marRight w:val="0"/>
      <w:marTop w:val="0"/>
      <w:marBottom w:val="0"/>
      <w:divBdr>
        <w:top w:val="none" w:sz="0" w:space="0" w:color="auto"/>
        <w:left w:val="none" w:sz="0" w:space="0" w:color="auto"/>
        <w:bottom w:val="none" w:sz="0" w:space="0" w:color="auto"/>
        <w:right w:val="none" w:sz="0" w:space="0" w:color="auto"/>
      </w:divBdr>
    </w:div>
    <w:div w:id="1301111364">
      <w:bodyDiv w:val="1"/>
      <w:marLeft w:val="0"/>
      <w:marRight w:val="0"/>
      <w:marTop w:val="0"/>
      <w:marBottom w:val="0"/>
      <w:divBdr>
        <w:top w:val="none" w:sz="0" w:space="0" w:color="auto"/>
        <w:left w:val="none" w:sz="0" w:space="0" w:color="auto"/>
        <w:bottom w:val="none" w:sz="0" w:space="0" w:color="auto"/>
        <w:right w:val="none" w:sz="0" w:space="0" w:color="auto"/>
      </w:divBdr>
    </w:div>
    <w:div w:id="1802920850">
      <w:bodyDiv w:val="1"/>
      <w:marLeft w:val="0"/>
      <w:marRight w:val="0"/>
      <w:marTop w:val="0"/>
      <w:marBottom w:val="0"/>
      <w:divBdr>
        <w:top w:val="none" w:sz="0" w:space="0" w:color="auto"/>
        <w:left w:val="none" w:sz="0" w:space="0" w:color="auto"/>
        <w:bottom w:val="none" w:sz="0" w:space="0" w:color="auto"/>
        <w:right w:val="none" w:sz="0" w:space="0" w:color="auto"/>
      </w:divBdr>
    </w:div>
    <w:div w:id="1975718058">
      <w:bodyDiv w:val="1"/>
      <w:marLeft w:val="0"/>
      <w:marRight w:val="0"/>
      <w:marTop w:val="0"/>
      <w:marBottom w:val="0"/>
      <w:divBdr>
        <w:top w:val="none" w:sz="0" w:space="0" w:color="auto"/>
        <w:left w:val="none" w:sz="0" w:space="0" w:color="auto"/>
        <w:bottom w:val="none" w:sz="0" w:space="0" w:color="auto"/>
        <w:right w:val="none" w:sz="0" w:space="0" w:color="auto"/>
      </w:divBdr>
      <w:divsChild>
        <w:div w:id="670524509">
          <w:marLeft w:val="0"/>
          <w:marRight w:val="0"/>
          <w:marTop w:val="0"/>
          <w:marBottom w:val="0"/>
          <w:divBdr>
            <w:top w:val="none" w:sz="0" w:space="0" w:color="auto"/>
            <w:left w:val="none" w:sz="0" w:space="0" w:color="auto"/>
            <w:bottom w:val="none" w:sz="0" w:space="0" w:color="auto"/>
            <w:right w:val="none" w:sz="0" w:space="0" w:color="auto"/>
          </w:divBdr>
          <w:divsChild>
            <w:div w:id="69889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89760">
      <w:bodyDiv w:val="1"/>
      <w:marLeft w:val="0"/>
      <w:marRight w:val="0"/>
      <w:marTop w:val="0"/>
      <w:marBottom w:val="0"/>
      <w:divBdr>
        <w:top w:val="none" w:sz="0" w:space="0" w:color="auto"/>
        <w:left w:val="none" w:sz="0" w:space="0" w:color="auto"/>
        <w:bottom w:val="none" w:sz="0" w:space="0" w:color="auto"/>
        <w:right w:val="none" w:sz="0" w:space="0" w:color="auto"/>
      </w:divBdr>
    </w:div>
    <w:div w:id="2118867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4663</Words>
  <Characters>26582</Characters>
  <Application>Microsoft Office Word</Application>
  <DocSecurity>0</DocSecurity>
  <Lines>221</Lines>
  <Paragraphs>62</Paragraphs>
  <ScaleCrop>false</ScaleCrop>
  <Company/>
  <LinksUpToDate>false</LinksUpToDate>
  <CharactersWithSpaces>31183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2025-10-14T12:02:00Z</dcterms:created>
  <dcterms:modified xsi:type="dcterms:W3CDTF">2025-10-14T12:12:00Z</dcterms:modified>
</cp:coreProperties>
</file>