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02265" w14:textId="77777777" w:rsidR="00764A3C" w:rsidRPr="00764A3C" w:rsidRDefault="00764A3C" w:rsidP="00764A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64A3C">
        <w:rPr>
          <w:rFonts w:ascii="Times New Roman" w:eastAsia="Times New Roman" w:hAnsi="Times New Roman" w:cs="Times New Roman"/>
          <w:b/>
          <w:bCs/>
          <w:kern w:val="36"/>
          <w:sz w:val="48"/>
          <w:szCs w:val="48"/>
          <w:lang w:eastAsia="en-IN"/>
          <w14:ligatures w14:val="none"/>
        </w:rPr>
        <w:t>1. Introduction and Strategic Context</w:t>
      </w:r>
    </w:p>
    <w:p w14:paraId="0AD43F88" w14:textId="61F058A1"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 xml:space="preserve">The </w:t>
      </w:r>
      <w:r w:rsidRPr="00764A3C">
        <w:rPr>
          <w:rFonts w:ascii="Times New Roman" w:eastAsia="Times New Roman" w:hAnsi="Times New Roman" w:cs="Times New Roman"/>
          <w:b/>
          <w:bCs/>
          <w:kern w:val="0"/>
          <w:sz w:val="24"/>
          <w:szCs w:val="24"/>
          <w:lang w:eastAsia="en-IN"/>
          <w14:ligatures w14:val="none"/>
        </w:rPr>
        <w:t>Global Offshore Decommissioning Market</w:t>
      </w:r>
      <w:r w:rsidRPr="00764A3C">
        <w:rPr>
          <w:rFonts w:ascii="Times New Roman" w:eastAsia="Times New Roman" w:hAnsi="Times New Roman" w:cs="Times New Roman"/>
          <w:kern w:val="0"/>
          <w:sz w:val="24"/>
          <w:szCs w:val="24"/>
          <w:lang w:eastAsia="en-IN"/>
          <w14:ligatures w14:val="none"/>
        </w:rPr>
        <w:t xml:space="preserve"> </w:t>
      </w:r>
      <w:r w:rsidRPr="00764A3C">
        <w:rPr>
          <w:rFonts w:ascii="Times New Roman" w:eastAsia="Times New Roman" w:hAnsi="Times New Roman" w:cs="Times New Roman"/>
          <w:kern w:val="0"/>
          <w:sz w:val="24"/>
          <w:szCs w:val="24"/>
          <w:lang w:eastAsia="en-IN"/>
          <w14:ligatures w14:val="none"/>
        </w:rPr>
        <w:t xml:space="preserve">will expand steadily at an </w:t>
      </w:r>
      <w:r w:rsidRPr="00764A3C">
        <w:rPr>
          <w:rFonts w:ascii="Times New Roman" w:eastAsia="Times New Roman" w:hAnsi="Times New Roman" w:cs="Times New Roman"/>
          <w:b/>
          <w:bCs/>
          <w:kern w:val="0"/>
          <w:sz w:val="24"/>
          <w:szCs w:val="24"/>
          <w:lang w:eastAsia="en-IN"/>
          <w14:ligatures w14:val="none"/>
        </w:rPr>
        <w:t>CAGR of 6.1%</w:t>
      </w:r>
      <w:r w:rsidRPr="00764A3C">
        <w:rPr>
          <w:rFonts w:ascii="Times New Roman" w:eastAsia="Times New Roman" w:hAnsi="Times New Roman" w:cs="Times New Roman"/>
          <w:kern w:val="0"/>
          <w:sz w:val="24"/>
          <w:szCs w:val="24"/>
          <w:lang w:eastAsia="en-IN"/>
          <w14:ligatures w14:val="none"/>
        </w:rPr>
        <w:t xml:space="preserve">, valued at around </w:t>
      </w:r>
      <w:r w:rsidRPr="00764A3C">
        <w:rPr>
          <w:rFonts w:ascii="Times New Roman" w:eastAsia="Times New Roman" w:hAnsi="Times New Roman" w:cs="Times New Roman"/>
          <w:b/>
          <w:bCs/>
          <w:kern w:val="0"/>
          <w:sz w:val="24"/>
          <w:szCs w:val="24"/>
          <w:lang w:eastAsia="en-IN"/>
          <w14:ligatures w14:val="none"/>
        </w:rPr>
        <w:t>USD 7.8 billion in 2024</w:t>
      </w:r>
      <w:r w:rsidRPr="00764A3C">
        <w:rPr>
          <w:rFonts w:ascii="Times New Roman" w:eastAsia="Times New Roman" w:hAnsi="Times New Roman" w:cs="Times New Roman"/>
          <w:kern w:val="0"/>
          <w:sz w:val="24"/>
          <w:szCs w:val="24"/>
          <w:lang w:eastAsia="en-IN"/>
          <w14:ligatures w14:val="none"/>
        </w:rPr>
        <w:t xml:space="preserve"> and projected to reach </w:t>
      </w:r>
      <w:r w:rsidRPr="00764A3C">
        <w:rPr>
          <w:rFonts w:ascii="Times New Roman" w:eastAsia="Times New Roman" w:hAnsi="Times New Roman" w:cs="Times New Roman"/>
          <w:b/>
          <w:bCs/>
          <w:kern w:val="0"/>
          <w:sz w:val="24"/>
          <w:szCs w:val="24"/>
          <w:lang w:eastAsia="en-IN"/>
          <w14:ligatures w14:val="none"/>
        </w:rPr>
        <w:t>USD 11.2 billion by 2030</w:t>
      </w:r>
      <w:r w:rsidRPr="00764A3C">
        <w:rPr>
          <w:rFonts w:ascii="Times New Roman" w:eastAsia="Times New Roman" w:hAnsi="Times New Roman" w:cs="Times New Roman"/>
          <w:kern w:val="0"/>
          <w:sz w:val="24"/>
          <w:szCs w:val="24"/>
          <w:lang w:eastAsia="en-IN"/>
          <w14:ligatures w14:val="none"/>
        </w:rPr>
        <w:t xml:space="preserve">, according to </w:t>
      </w:r>
      <w:r w:rsidRPr="00764A3C">
        <w:rPr>
          <w:rFonts w:ascii="Times New Roman" w:eastAsia="Times New Roman" w:hAnsi="Times New Roman" w:cs="Times New Roman"/>
          <w:b/>
          <w:bCs/>
          <w:kern w:val="0"/>
          <w:sz w:val="24"/>
          <w:szCs w:val="24"/>
          <w:lang w:eastAsia="en-IN"/>
          <w14:ligatures w14:val="none"/>
        </w:rPr>
        <w:t>Strategic Market Research</w:t>
      </w:r>
      <w:r w:rsidRPr="00764A3C">
        <w:rPr>
          <w:rFonts w:ascii="Times New Roman" w:eastAsia="Times New Roman" w:hAnsi="Times New Roman" w:cs="Times New Roman"/>
          <w:kern w:val="0"/>
          <w:sz w:val="24"/>
          <w:szCs w:val="24"/>
          <w:lang w:eastAsia="en-IN"/>
          <w14:ligatures w14:val="none"/>
        </w:rPr>
        <w:t>.</w:t>
      </w:r>
    </w:p>
    <w:p w14:paraId="0B95F8C9"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Offshore decommissioning refers to the systematic dismantling, plugging, and removal of offshore oil and gas platforms that have reached the end of their productive life. Over the next decade, the market is entering a critical phase — shaped by the convergence of mature offshore fields, tightening environmental regulations, and rising costs of maintenance versus removal. What was once a back-end obligation is now a multi-billion-dollar services industry, with dedicated contractors, logistics chains, and technology providers competing for precision, safety, and sustainability.</w:t>
      </w:r>
    </w:p>
    <w:p w14:paraId="1375E939"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The North Sea continues to dominate activity, but momentum is spreading rapidly to the Gulf of Mexico, Asia-Pacific, and West Africa. Thousands of aging platforms, subsea wells, and pipelines are approaching the decommissioning threshold, with operators balancing environmental liability, cost efficiency, and stakeholder transparency. Governments are setting stricter abandonment standards — particularly around well plugging and waste management — while also offering tax incentives or shared-cost models to speed up removals.</w:t>
      </w:r>
    </w:p>
    <w:p w14:paraId="2D80FE02"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 xml:space="preserve">Technological progress is reshaping what used to be a purely mechanical job. Subsea robotics, AI-assisted inspection, and digital twins are helping predict integrity failures and optimize dismantling timelines. Offshore contractors are evolving too — blending engineering, environmental science, and project management into integrated service models. </w:t>
      </w:r>
      <w:r w:rsidRPr="00764A3C">
        <w:rPr>
          <w:rFonts w:ascii="Times New Roman" w:eastAsia="Times New Roman" w:hAnsi="Times New Roman" w:cs="Times New Roman"/>
          <w:i/>
          <w:iCs/>
          <w:kern w:val="0"/>
          <w:sz w:val="24"/>
          <w:szCs w:val="24"/>
          <w:lang w:eastAsia="en-IN"/>
          <w14:ligatures w14:val="none"/>
        </w:rPr>
        <w:t>It’s no longer just about pulling out steel; it’s about proving environmental accountability and asset stewardship.</w:t>
      </w:r>
    </w:p>
    <w:p w14:paraId="489D6572"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 xml:space="preserve">Another layer of complexity comes from repurposing opportunities. Some platforms are being converted into artificial reefs or offshore renewable hubs. This “second life” approach is gaining regulatory acceptance, especially in regions with strong biodiversity protection goals. </w:t>
      </w:r>
      <w:r w:rsidRPr="00764A3C">
        <w:rPr>
          <w:rFonts w:ascii="Times New Roman" w:eastAsia="Times New Roman" w:hAnsi="Times New Roman" w:cs="Times New Roman"/>
          <w:i/>
          <w:iCs/>
          <w:kern w:val="0"/>
          <w:sz w:val="24"/>
          <w:szCs w:val="24"/>
          <w:lang w:eastAsia="en-IN"/>
          <w14:ligatures w14:val="none"/>
        </w:rPr>
        <w:t>In a way, decommissioning is turning from a compliance burden into a sustainability narrative — showing how oil and gas infrastructure can transition responsibly into the energy future.</w:t>
      </w:r>
    </w:p>
    <w:p w14:paraId="5949B4A2"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Key stakeholders include offshore operators, EPC contractors, subsea engineering firms, waste management specialists, and environmental regulators. Financial institutions and private equity funds are also entering the space — viewing decommissioning as a predictable, risk-managed service cycle, insulated from oil price volatility.</w:t>
      </w:r>
    </w:p>
    <w:p w14:paraId="7BA38C1B"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That said, the economics are far from simple. Each project brings unique engineering challenges — weather conditions, platform type, depth, and reservoir integrity can alter cost projections by millions. The next six years will be about balancing those technical realities with a broader ESG (Environmental, Social, and Governance) mandate.</w:t>
      </w:r>
    </w:p>
    <w:p w14:paraId="63893B1C" w14:textId="77777777" w:rsidR="00764A3C" w:rsidRPr="00764A3C" w:rsidRDefault="00764A3C" w:rsidP="00764A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64A3C">
        <w:rPr>
          <w:rFonts w:ascii="Times New Roman" w:eastAsia="Times New Roman" w:hAnsi="Times New Roman" w:cs="Times New Roman"/>
          <w:b/>
          <w:bCs/>
          <w:kern w:val="36"/>
          <w:sz w:val="48"/>
          <w:szCs w:val="48"/>
          <w:lang w:eastAsia="en-IN"/>
          <w14:ligatures w14:val="none"/>
        </w:rPr>
        <w:lastRenderedPageBreak/>
        <w:t>2. Market Segmentation and Forecast Scope</w:t>
      </w:r>
    </w:p>
    <w:p w14:paraId="22AD7E16"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The offshore decommissioning market cuts across several distinct layers of service, technology, and geography — each reflecting how oil and gas operators are transitioning from extraction to environmental responsibility. Between 2024 and 2030, segmentation will largely hinge on project type, depth, and geography, with well plugging and abandonment (P&amp;A) leading both cost and volume share.</w:t>
      </w:r>
    </w:p>
    <w:p w14:paraId="74CACE75"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By Service Type</w:t>
      </w:r>
      <w:r w:rsidRPr="00764A3C">
        <w:rPr>
          <w:rFonts w:ascii="Times New Roman" w:eastAsia="Times New Roman" w:hAnsi="Times New Roman" w:cs="Times New Roman"/>
          <w:kern w:val="0"/>
          <w:sz w:val="24"/>
          <w:szCs w:val="24"/>
          <w:lang w:eastAsia="en-IN"/>
          <w14:ligatures w14:val="none"/>
        </w:rPr>
        <w:br/>
        <w:t>The service mix defines where most of the money and expertise flow. Well plugging and abandonment remains the largest segment, accounting for nearly 45% of total project costs in 2024. It’s also the most technically challenging phase — requiring specialized rigs, cementing tools, and subsea sealing technology. Platform removal follows closely, involving heavy-lift vessels, subsea cutting, and load-out operations. Pipeline and subsea infrastructure removal is expanding too, especially as inspection drones and trenchless recovery systems become safer and cheaper to deploy. Waste management and site clearance are gaining new importance as regulators tighten rules on residual debris and marine contamination.</w:t>
      </w:r>
      <w:r w:rsidRPr="00764A3C">
        <w:rPr>
          <w:rFonts w:ascii="Times New Roman" w:eastAsia="Times New Roman" w:hAnsi="Times New Roman" w:cs="Times New Roman"/>
          <w:kern w:val="0"/>
          <w:sz w:val="24"/>
          <w:szCs w:val="24"/>
          <w:lang w:eastAsia="en-IN"/>
          <w14:ligatures w14:val="none"/>
        </w:rPr>
        <w:br/>
      </w:r>
      <w:r w:rsidRPr="00764A3C">
        <w:rPr>
          <w:rFonts w:ascii="Times New Roman" w:eastAsia="Times New Roman" w:hAnsi="Times New Roman" w:cs="Times New Roman"/>
          <w:i/>
          <w:iCs/>
          <w:kern w:val="0"/>
          <w:sz w:val="24"/>
          <w:szCs w:val="24"/>
          <w:lang w:eastAsia="en-IN"/>
          <w14:ligatures w14:val="none"/>
        </w:rPr>
        <w:t>In the next few years, contractors offering integrated end-to-end decommissioning packages will likely outpace specialized niche firms that only focus on one stage.</w:t>
      </w:r>
    </w:p>
    <w:p w14:paraId="235F4EC0"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By Depth and Infrastructure Type</w:t>
      </w:r>
      <w:r w:rsidRPr="00764A3C">
        <w:rPr>
          <w:rFonts w:ascii="Times New Roman" w:eastAsia="Times New Roman" w:hAnsi="Times New Roman" w:cs="Times New Roman"/>
          <w:kern w:val="0"/>
          <w:sz w:val="24"/>
          <w:szCs w:val="24"/>
          <w:lang w:eastAsia="en-IN"/>
          <w14:ligatures w14:val="none"/>
        </w:rPr>
        <w:br/>
        <w:t>Decommissioning in shallow waters (less than 100 meters) still dominates current activity — mainly in the North Sea, Gulf of Mexico, and parts of Southeast Asia. These projects are relatively predictable, with established logistical frameworks and proven removal technologies. However, deepwater projects are rising faster, especially off West Africa and Brazil, where early offshore developments from the 1990s are nearing the end of production. Deepwater decommissioning brings unique risks: higher pressure wells, complex riser systems, and heavier subsea architecture.</w:t>
      </w:r>
      <w:r w:rsidRPr="00764A3C">
        <w:rPr>
          <w:rFonts w:ascii="Times New Roman" w:eastAsia="Times New Roman" w:hAnsi="Times New Roman" w:cs="Times New Roman"/>
          <w:kern w:val="0"/>
          <w:sz w:val="24"/>
          <w:szCs w:val="24"/>
          <w:lang w:eastAsia="en-IN"/>
          <w14:ligatures w14:val="none"/>
        </w:rPr>
        <w:br/>
      </w:r>
      <w:r w:rsidRPr="00764A3C">
        <w:rPr>
          <w:rFonts w:ascii="Times New Roman" w:eastAsia="Times New Roman" w:hAnsi="Times New Roman" w:cs="Times New Roman"/>
          <w:i/>
          <w:iCs/>
          <w:kern w:val="0"/>
          <w:sz w:val="24"/>
          <w:szCs w:val="24"/>
          <w:lang w:eastAsia="en-IN"/>
          <w14:ligatures w14:val="none"/>
        </w:rPr>
        <w:t>As offshore exploration continues to shift deeper, deepwater decommissioning could become the fastest-growing segment through 2030, though cost inflation and technical complexity remain persistent barriers.</w:t>
      </w:r>
    </w:p>
    <w:p w14:paraId="1A5CD320"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By Structure Type</w:t>
      </w:r>
      <w:r w:rsidRPr="00764A3C">
        <w:rPr>
          <w:rFonts w:ascii="Times New Roman" w:eastAsia="Times New Roman" w:hAnsi="Times New Roman" w:cs="Times New Roman"/>
          <w:kern w:val="0"/>
          <w:sz w:val="24"/>
          <w:szCs w:val="24"/>
          <w:lang w:eastAsia="en-IN"/>
          <w14:ligatures w14:val="none"/>
        </w:rPr>
        <w:br/>
        <w:t>Fixed platforms represent the bulk of current removals — jacket, topside, and substructure dismantling. Floating production systems (FPSOs, semi-submersibles) are next, driven by expiring contracts in the UK Continental Shelf and the Asia-Pacific region. Subsea templates and manifolds are a smaller but growing category, requiring precision ROV (remotely operated vehicle) interventions and specialized lifting assets.</w:t>
      </w:r>
    </w:p>
    <w:p w14:paraId="761C2F04"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By Region</w:t>
      </w:r>
      <w:r w:rsidRPr="00764A3C">
        <w:rPr>
          <w:rFonts w:ascii="Times New Roman" w:eastAsia="Times New Roman" w:hAnsi="Times New Roman" w:cs="Times New Roman"/>
          <w:kern w:val="0"/>
          <w:sz w:val="24"/>
          <w:szCs w:val="24"/>
          <w:lang w:eastAsia="en-IN"/>
          <w14:ligatures w14:val="none"/>
        </w:rPr>
        <w:br/>
        <w:t>Regional dynamics reveal where the action is happening — and where it’s about to accelerate.</w:t>
      </w:r>
    </w:p>
    <w:p w14:paraId="324495BB" w14:textId="77777777" w:rsidR="00764A3C" w:rsidRPr="00764A3C" w:rsidRDefault="00764A3C" w:rsidP="00764A3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Europe (North Sea)</w:t>
      </w:r>
      <w:r w:rsidRPr="00764A3C">
        <w:rPr>
          <w:rFonts w:ascii="Times New Roman" w:eastAsia="Times New Roman" w:hAnsi="Times New Roman" w:cs="Times New Roman"/>
          <w:kern w:val="0"/>
          <w:sz w:val="24"/>
          <w:szCs w:val="24"/>
          <w:lang w:eastAsia="en-IN"/>
          <w14:ligatures w14:val="none"/>
        </w:rPr>
        <w:t xml:space="preserve"> remains the largest and most mature market, thanks to well-defined policy frameworks like the UK’s Offshore Petroleum Regulator for Environment and Decommissioning (OPRED).</w:t>
      </w:r>
    </w:p>
    <w:p w14:paraId="0C30E25B" w14:textId="77777777" w:rsidR="00764A3C" w:rsidRPr="00764A3C" w:rsidRDefault="00764A3C" w:rsidP="00764A3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lastRenderedPageBreak/>
        <w:t>North America</w:t>
      </w:r>
      <w:r w:rsidRPr="00764A3C">
        <w:rPr>
          <w:rFonts w:ascii="Times New Roman" w:eastAsia="Times New Roman" w:hAnsi="Times New Roman" w:cs="Times New Roman"/>
          <w:kern w:val="0"/>
          <w:sz w:val="24"/>
          <w:szCs w:val="24"/>
          <w:lang w:eastAsia="en-IN"/>
          <w14:ligatures w14:val="none"/>
        </w:rPr>
        <w:t xml:space="preserve"> — especially the U.S. Gulf of Mexico — continues to record steady project flow as operators decommission late-1970s platforms.</w:t>
      </w:r>
    </w:p>
    <w:p w14:paraId="4A68721C" w14:textId="77777777" w:rsidR="00764A3C" w:rsidRPr="00764A3C" w:rsidRDefault="00764A3C" w:rsidP="00764A3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Asia Pacific</w:t>
      </w:r>
      <w:r w:rsidRPr="00764A3C">
        <w:rPr>
          <w:rFonts w:ascii="Times New Roman" w:eastAsia="Times New Roman" w:hAnsi="Times New Roman" w:cs="Times New Roman"/>
          <w:kern w:val="0"/>
          <w:sz w:val="24"/>
          <w:szCs w:val="24"/>
          <w:lang w:eastAsia="en-IN"/>
          <w14:ligatures w14:val="none"/>
        </w:rPr>
        <w:t xml:space="preserve"> is entering a decisive decade, with Malaysia, Thailand, and Australia emerging as active players. Regulatory clarity is still evolving but improving fast.</w:t>
      </w:r>
    </w:p>
    <w:p w14:paraId="23EE66BA" w14:textId="77777777" w:rsidR="00764A3C" w:rsidRPr="00764A3C" w:rsidRDefault="00764A3C" w:rsidP="00764A3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Middle East &amp; Africa</w:t>
      </w:r>
      <w:r w:rsidRPr="00764A3C">
        <w:rPr>
          <w:rFonts w:ascii="Times New Roman" w:eastAsia="Times New Roman" w:hAnsi="Times New Roman" w:cs="Times New Roman"/>
          <w:kern w:val="0"/>
          <w:sz w:val="24"/>
          <w:szCs w:val="24"/>
          <w:lang w:eastAsia="en-IN"/>
          <w14:ligatures w14:val="none"/>
        </w:rPr>
        <w:t xml:space="preserve"> are nascent yet promising, particularly as governments begin addressing legacy offshore fields with aging infrastructure.</w:t>
      </w:r>
    </w:p>
    <w:p w14:paraId="0BE7BD26" w14:textId="77777777" w:rsidR="00764A3C" w:rsidRPr="00764A3C" w:rsidRDefault="00764A3C" w:rsidP="00764A3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Latin America</w:t>
      </w:r>
      <w:r w:rsidRPr="00764A3C">
        <w:rPr>
          <w:rFonts w:ascii="Times New Roman" w:eastAsia="Times New Roman" w:hAnsi="Times New Roman" w:cs="Times New Roman"/>
          <w:kern w:val="0"/>
          <w:sz w:val="24"/>
          <w:szCs w:val="24"/>
          <w:lang w:eastAsia="en-IN"/>
          <w14:ligatures w14:val="none"/>
        </w:rPr>
        <w:t xml:space="preserve"> (mainly Brazil and Mexico) shows growing interest, with Petrobras and Pemex drafting structured decommissioning programs for mature fields.</w:t>
      </w:r>
    </w:p>
    <w:p w14:paraId="54500A88"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Scope-wise, the report covers revenue forecasts from 2024 to 2030, segmented by service type, structure, depth, and region. It reflects both contracted and anticipated projects — factoring in deferred decommissioning activity due to high oil prices in recent years.</w:t>
      </w:r>
    </w:p>
    <w:p w14:paraId="7BD9CB27" w14:textId="77777777" w:rsidR="00764A3C" w:rsidRPr="00764A3C" w:rsidRDefault="00764A3C" w:rsidP="00764A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64A3C">
        <w:rPr>
          <w:rFonts w:ascii="Times New Roman" w:eastAsia="Times New Roman" w:hAnsi="Times New Roman" w:cs="Times New Roman"/>
          <w:b/>
          <w:bCs/>
          <w:kern w:val="36"/>
          <w:sz w:val="48"/>
          <w:szCs w:val="48"/>
          <w:lang w:eastAsia="en-IN"/>
          <w14:ligatures w14:val="none"/>
        </w:rPr>
        <w:t>3. Market Trends and Innovation Landscape</w:t>
      </w:r>
    </w:p>
    <w:p w14:paraId="6D539DD0"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 xml:space="preserve">The offshore decommissioning market is evolving beyond its early identity as a heavy-engineering niche. It’s now at the intersection of robotics, sustainability, and digitalization. Between 2024 and 2030, the dominant trends will </w:t>
      </w:r>
      <w:proofErr w:type="spellStart"/>
      <w:r w:rsidRPr="00764A3C">
        <w:rPr>
          <w:rFonts w:ascii="Times New Roman" w:eastAsia="Times New Roman" w:hAnsi="Times New Roman" w:cs="Times New Roman"/>
          <w:kern w:val="0"/>
          <w:sz w:val="24"/>
          <w:szCs w:val="24"/>
          <w:lang w:eastAsia="en-IN"/>
          <w14:ligatures w14:val="none"/>
        </w:rPr>
        <w:t>center</w:t>
      </w:r>
      <w:proofErr w:type="spellEnd"/>
      <w:r w:rsidRPr="00764A3C">
        <w:rPr>
          <w:rFonts w:ascii="Times New Roman" w:eastAsia="Times New Roman" w:hAnsi="Times New Roman" w:cs="Times New Roman"/>
          <w:kern w:val="0"/>
          <w:sz w:val="24"/>
          <w:szCs w:val="24"/>
          <w:lang w:eastAsia="en-IN"/>
          <w14:ligatures w14:val="none"/>
        </w:rPr>
        <w:t xml:space="preserve"> around efficiency, cost predictability, and the environmental value chain. </w:t>
      </w:r>
      <w:r w:rsidRPr="00764A3C">
        <w:rPr>
          <w:rFonts w:ascii="Times New Roman" w:eastAsia="Times New Roman" w:hAnsi="Times New Roman" w:cs="Times New Roman"/>
          <w:i/>
          <w:iCs/>
          <w:kern w:val="0"/>
          <w:sz w:val="24"/>
          <w:szCs w:val="24"/>
          <w:lang w:eastAsia="en-IN"/>
          <w14:ligatures w14:val="none"/>
        </w:rPr>
        <w:t>The key shift is that operators are no longer asking if they should decommission — but how to do it faster, safer, and cleaner.</w:t>
      </w:r>
    </w:p>
    <w:p w14:paraId="3BDA1E23"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Digitalization and Predictive Planning</w:t>
      </w:r>
      <w:r w:rsidRPr="00764A3C">
        <w:rPr>
          <w:rFonts w:ascii="Times New Roman" w:eastAsia="Times New Roman" w:hAnsi="Times New Roman" w:cs="Times New Roman"/>
          <w:kern w:val="0"/>
          <w:sz w:val="24"/>
          <w:szCs w:val="24"/>
          <w:lang w:eastAsia="en-IN"/>
          <w14:ligatures w14:val="none"/>
        </w:rPr>
        <w:br/>
        <w:t xml:space="preserve">Digital twins and simulation tools are transforming how decommissioning projects are scoped and managed. Offshore operators now model entire dismantling phases — from well plugging to waste removal — in a virtual environment before deployment. This allows for risk </w:t>
      </w:r>
      <w:proofErr w:type="spellStart"/>
      <w:r w:rsidRPr="00764A3C">
        <w:rPr>
          <w:rFonts w:ascii="Times New Roman" w:eastAsia="Times New Roman" w:hAnsi="Times New Roman" w:cs="Times New Roman"/>
          <w:kern w:val="0"/>
          <w:sz w:val="24"/>
          <w:szCs w:val="24"/>
          <w:lang w:eastAsia="en-IN"/>
          <w14:ligatures w14:val="none"/>
        </w:rPr>
        <w:t>modeling</w:t>
      </w:r>
      <w:proofErr w:type="spellEnd"/>
      <w:r w:rsidRPr="00764A3C">
        <w:rPr>
          <w:rFonts w:ascii="Times New Roman" w:eastAsia="Times New Roman" w:hAnsi="Times New Roman" w:cs="Times New Roman"/>
          <w:kern w:val="0"/>
          <w:sz w:val="24"/>
          <w:szCs w:val="24"/>
          <w:lang w:eastAsia="en-IN"/>
          <w14:ligatures w14:val="none"/>
        </w:rPr>
        <w:t xml:space="preserve">, resource optimization, and scenario testing under real-time conditions. Companies are also integrating AI-driven inspection tools to assess corrosion, fatigue, and subsea integrity. These predictive analytics reduce downtime and help plan heavy-lift operations with greater precision. </w:t>
      </w:r>
      <w:r w:rsidRPr="00764A3C">
        <w:rPr>
          <w:rFonts w:ascii="Times New Roman" w:eastAsia="Times New Roman" w:hAnsi="Times New Roman" w:cs="Times New Roman"/>
          <w:i/>
          <w:iCs/>
          <w:kern w:val="0"/>
          <w:sz w:val="24"/>
          <w:szCs w:val="24"/>
          <w:lang w:eastAsia="en-IN"/>
          <w14:ligatures w14:val="none"/>
        </w:rPr>
        <w:t>Essentially, data is becoming the new anchor of offshore asset retirement.</w:t>
      </w:r>
    </w:p>
    <w:p w14:paraId="39C2FC02"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Rise of Subsea Robotics and Remote Intervention</w:t>
      </w:r>
      <w:r w:rsidRPr="00764A3C">
        <w:rPr>
          <w:rFonts w:ascii="Times New Roman" w:eastAsia="Times New Roman" w:hAnsi="Times New Roman" w:cs="Times New Roman"/>
          <w:kern w:val="0"/>
          <w:sz w:val="24"/>
          <w:szCs w:val="24"/>
          <w:lang w:eastAsia="en-IN"/>
          <w14:ligatures w14:val="none"/>
        </w:rPr>
        <w:br/>
        <w:t>Remotely Operated Vehicles (ROVs) and Autonomous Underwater Vehicles (AUVs) are now indispensable for subsea cutting, inspection, and verification. Robotics have replaced divers in most high-risk operations — especially at greater depths and in poor visibility zones. New-generation ROVs can dismantle pipelines, recover debris, and even carry sensors for environmental assessment in one pass. The latest versions are battery-powered and AI-assisted, reducing vessel dependency and fuel consumption. Offshore contractors are investing heavily in these systems to enhance both safety and profitability.</w:t>
      </w:r>
    </w:p>
    <w:p w14:paraId="084AA3A9"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Circular Decommissioning and Material Recovery</w:t>
      </w:r>
      <w:r w:rsidRPr="00764A3C">
        <w:rPr>
          <w:rFonts w:ascii="Times New Roman" w:eastAsia="Times New Roman" w:hAnsi="Times New Roman" w:cs="Times New Roman"/>
          <w:kern w:val="0"/>
          <w:sz w:val="24"/>
          <w:szCs w:val="24"/>
          <w:lang w:eastAsia="en-IN"/>
          <w14:ligatures w14:val="none"/>
        </w:rPr>
        <w:br/>
        <w:t xml:space="preserve">Sustainability has entered the core of project planning. Operators are moving toward “circular decommissioning,” where recovered steel, concrete, and subsea metals are recycled or repurposed instead of discarded. In Europe, up to 90% of steel from topsides is now reused or sold for secondary markets. Some companies are experimenting with reusing jackets as foundations for offshore wind turbines or as artificial reef structures. </w:t>
      </w:r>
      <w:r w:rsidRPr="00764A3C">
        <w:rPr>
          <w:rFonts w:ascii="Times New Roman" w:eastAsia="Times New Roman" w:hAnsi="Times New Roman" w:cs="Times New Roman"/>
          <w:i/>
          <w:iCs/>
          <w:kern w:val="0"/>
          <w:sz w:val="24"/>
          <w:szCs w:val="24"/>
          <w:lang w:eastAsia="en-IN"/>
          <w14:ligatures w14:val="none"/>
        </w:rPr>
        <w:t>This sustainability shift is reshaping the industry’s image — from environmental liability to lifecycle stewardship.</w:t>
      </w:r>
    </w:p>
    <w:p w14:paraId="32753016"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lastRenderedPageBreak/>
        <w:t>AI and Data-Driven Waste Management</w:t>
      </w:r>
      <w:r w:rsidRPr="00764A3C">
        <w:rPr>
          <w:rFonts w:ascii="Times New Roman" w:eastAsia="Times New Roman" w:hAnsi="Times New Roman" w:cs="Times New Roman"/>
          <w:kern w:val="0"/>
          <w:sz w:val="24"/>
          <w:szCs w:val="24"/>
          <w:lang w:eastAsia="en-IN"/>
          <w14:ligatures w14:val="none"/>
        </w:rPr>
        <w:br/>
        <w:t xml:space="preserve">Artificial intelligence is playing a growing role in environmental compliance. Advanced AI models </w:t>
      </w:r>
      <w:proofErr w:type="spellStart"/>
      <w:r w:rsidRPr="00764A3C">
        <w:rPr>
          <w:rFonts w:ascii="Times New Roman" w:eastAsia="Times New Roman" w:hAnsi="Times New Roman" w:cs="Times New Roman"/>
          <w:kern w:val="0"/>
          <w:sz w:val="24"/>
          <w:szCs w:val="24"/>
          <w:lang w:eastAsia="en-IN"/>
          <w14:ligatures w14:val="none"/>
        </w:rPr>
        <w:t>analyze</w:t>
      </w:r>
      <w:proofErr w:type="spellEnd"/>
      <w:r w:rsidRPr="00764A3C">
        <w:rPr>
          <w:rFonts w:ascii="Times New Roman" w:eastAsia="Times New Roman" w:hAnsi="Times New Roman" w:cs="Times New Roman"/>
          <w:kern w:val="0"/>
          <w:sz w:val="24"/>
          <w:szCs w:val="24"/>
          <w:lang w:eastAsia="en-IN"/>
          <w14:ligatures w14:val="none"/>
        </w:rPr>
        <w:t xml:space="preserve"> sediment data and water samples from the seabed to monitor contamination levels before, during, and after decommissioning. This helps contractors demonstrate compliance with environmental impact thresholds and avoid costly remediation penalties. It’s not only a monitoring tool but a trust enabler between operators, regulators, and coastal communities.</w:t>
      </w:r>
    </w:p>
    <w:p w14:paraId="54C27D7B"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Integration of Renewable and Decommissioning Operations</w:t>
      </w:r>
      <w:r w:rsidRPr="00764A3C">
        <w:rPr>
          <w:rFonts w:ascii="Times New Roman" w:eastAsia="Times New Roman" w:hAnsi="Times New Roman" w:cs="Times New Roman"/>
          <w:kern w:val="0"/>
          <w:sz w:val="24"/>
          <w:szCs w:val="24"/>
          <w:lang w:eastAsia="en-IN"/>
          <w14:ligatures w14:val="none"/>
        </w:rPr>
        <w:br/>
        <w:t>There’s a subtle but rising overlap between offshore wind and decommissioning logistics. Heavy-lift vessels, project management tools, and port infrastructure are often shared between these two sectors. Several contractors are forming hybrid business models — offering both platform removal and offshore wind installation. This dual capability helps stabilize revenue streams and maintain asset utilization year-round.</w:t>
      </w:r>
    </w:p>
    <w:p w14:paraId="4454A815"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Collaborative Contracting Models</w:t>
      </w:r>
      <w:r w:rsidRPr="00764A3C">
        <w:rPr>
          <w:rFonts w:ascii="Times New Roman" w:eastAsia="Times New Roman" w:hAnsi="Times New Roman" w:cs="Times New Roman"/>
          <w:kern w:val="0"/>
          <w:sz w:val="24"/>
          <w:szCs w:val="24"/>
          <w:lang w:eastAsia="en-IN"/>
          <w14:ligatures w14:val="none"/>
        </w:rPr>
        <w:br/>
        <w:t>Traditional lump-sum contracts are giving way to collaborative models like “Decom Alliances” and “Partnered Execution Frameworks.” These arrangements distribute risk and cost among multiple stakeholders — including operators, regulators, and contractors. They also enable shared access to data, equipment, and vessels, lowering total project costs. In the North Sea, these alliances have already reduced average removal costs by 10–15% across pilot projects.</w:t>
      </w:r>
    </w:p>
    <w:p w14:paraId="7EC103A5"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Emerging Technologies on the Horizon</w:t>
      </w:r>
      <w:r w:rsidRPr="00764A3C">
        <w:rPr>
          <w:rFonts w:ascii="Times New Roman" w:eastAsia="Times New Roman" w:hAnsi="Times New Roman" w:cs="Times New Roman"/>
          <w:kern w:val="0"/>
          <w:sz w:val="24"/>
          <w:szCs w:val="24"/>
          <w:lang w:eastAsia="en-IN"/>
          <w14:ligatures w14:val="none"/>
        </w:rPr>
        <w:br/>
        <w:t>Next-generation subsea cutters using plasma and laser technology promise faster disassembly of steel and composite materials. Drone-assisted aerial inspections are gaining traction for topside condition monitoring. Even blockchain is being explored for waste traceability, ensuring that every recovered component is tracked from sea to scrapyard.</w:t>
      </w:r>
    </w:p>
    <w:p w14:paraId="4DB5BEDC"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i/>
          <w:iCs/>
          <w:kern w:val="0"/>
          <w:sz w:val="24"/>
          <w:szCs w:val="24"/>
          <w:lang w:eastAsia="en-IN"/>
          <w14:ligatures w14:val="none"/>
        </w:rPr>
        <w:t>In short, the innovation frontier in offshore decommissioning is defined by precision and accountability. The old perception of decommissioning as “industrial cleanup” is giving way to a new one — a digitally coordinated, sustainability-driven operation that closes the loop on decades of offshore energy extraction.</w:t>
      </w:r>
    </w:p>
    <w:p w14:paraId="195AA215" w14:textId="77777777" w:rsidR="00764A3C" w:rsidRPr="00764A3C" w:rsidRDefault="00764A3C" w:rsidP="00764A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64A3C">
        <w:rPr>
          <w:rFonts w:ascii="Times New Roman" w:eastAsia="Times New Roman" w:hAnsi="Times New Roman" w:cs="Times New Roman"/>
          <w:b/>
          <w:bCs/>
          <w:kern w:val="36"/>
          <w:sz w:val="48"/>
          <w:szCs w:val="48"/>
          <w:lang w:eastAsia="en-IN"/>
          <w14:ligatures w14:val="none"/>
        </w:rPr>
        <w:t>4. Competitive Intelligence and Benchmarking</w:t>
      </w:r>
    </w:p>
    <w:p w14:paraId="4508AF5C"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The offshore decommissioning market is entering a consolidation phase where a few established engineering and marine service companies dominate large-scale projects, while regional specialists carve out value in niche areas like subsea cutting or waste logistics. The competition is less about who can lift the heaviest structure and more about who can manage the process with the least uncertainty — financially, environmentally, and operationally.</w:t>
      </w:r>
    </w:p>
    <w:p w14:paraId="793C2AF2"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TechnipFMC</w:t>
      </w:r>
      <w:r w:rsidRPr="00764A3C">
        <w:rPr>
          <w:rFonts w:ascii="Times New Roman" w:eastAsia="Times New Roman" w:hAnsi="Times New Roman" w:cs="Times New Roman"/>
          <w:kern w:val="0"/>
          <w:sz w:val="24"/>
          <w:szCs w:val="24"/>
          <w:lang w:eastAsia="en-IN"/>
          <w14:ligatures w14:val="none"/>
        </w:rPr>
        <w:br/>
      </w:r>
      <w:proofErr w:type="spellStart"/>
      <w:r w:rsidRPr="00764A3C">
        <w:rPr>
          <w:rFonts w:ascii="Times New Roman" w:eastAsia="Times New Roman" w:hAnsi="Times New Roman" w:cs="Times New Roman"/>
          <w:kern w:val="0"/>
          <w:sz w:val="24"/>
          <w:szCs w:val="24"/>
          <w:lang w:eastAsia="en-IN"/>
          <w14:ligatures w14:val="none"/>
        </w:rPr>
        <w:t>TechnipFMC</w:t>
      </w:r>
      <w:proofErr w:type="spellEnd"/>
      <w:r w:rsidRPr="00764A3C">
        <w:rPr>
          <w:rFonts w:ascii="Times New Roman" w:eastAsia="Times New Roman" w:hAnsi="Times New Roman" w:cs="Times New Roman"/>
          <w:kern w:val="0"/>
          <w:sz w:val="24"/>
          <w:szCs w:val="24"/>
          <w:lang w:eastAsia="en-IN"/>
          <w14:ligatures w14:val="none"/>
        </w:rPr>
        <w:t xml:space="preserve"> remains a front-runner in offshore dismantling, leveraging its integrated subsea-to-surface capabilities. The company’s strength lies in its project management and engineering precision, allowing it to deliver large-scale well plugging and subsea disconnection programs efficiently. They’ve recently aligned their decommissioning strategy </w:t>
      </w:r>
      <w:r w:rsidRPr="00764A3C">
        <w:rPr>
          <w:rFonts w:ascii="Times New Roman" w:eastAsia="Times New Roman" w:hAnsi="Times New Roman" w:cs="Times New Roman"/>
          <w:kern w:val="0"/>
          <w:sz w:val="24"/>
          <w:szCs w:val="24"/>
          <w:lang w:eastAsia="en-IN"/>
          <w14:ligatures w14:val="none"/>
        </w:rPr>
        <w:lastRenderedPageBreak/>
        <w:t xml:space="preserve">with their broader energy transition framework, focusing on material recovery and CO₂ reduction in operations. </w:t>
      </w:r>
      <w:r w:rsidRPr="00764A3C">
        <w:rPr>
          <w:rFonts w:ascii="Times New Roman" w:eastAsia="Times New Roman" w:hAnsi="Times New Roman" w:cs="Times New Roman"/>
          <w:i/>
          <w:iCs/>
          <w:kern w:val="0"/>
          <w:sz w:val="24"/>
          <w:szCs w:val="24"/>
          <w:lang w:eastAsia="en-IN"/>
          <w14:ligatures w14:val="none"/>
        </w:rPr>
        <w:t>Their integrated model — from planning to plug-and-abandonment — sets the industry benchmark for efficiency.</w:t>
      </w:r>
    </w:p>
    <w:p w14:paraId="14486D8B"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Subsea 7</w:t>
      </w:r>
      <w:r w:rsidRPr="00764A3C">
        <w:rPr>
          <w:rFonts w:ascii="Times New Roman" w:eastAsia="Times New Roman" w:hAnsi="Times New Roman" w:cs="Times New Roman"/>
          <w:kern w:val="0"/>
          <w:sz w:val="24"/>
          <w:szCs w:val="24"/>
          <w:lang w:eastAsia="en-IN"/>
          <w14:ligatures w14:val="none"/>
        </w:rPr>
        <w:br/>
        <w:t xml:space="preserve">Subsea 7 has been expanding its decommissioning portfolio aggressively, particularly across the North Sea and Asia-Pacific. It operates one of the world’s most advanced heavy-lift and subsea construction fleets, which doubles as decommissioning assets when demand shifts. The company’s advantage lies in deepwater expertise and robotic interventions — a critical differentiator as projects </w:t>
      </w:r>
      <w:proofErr w:type="gramStart"/>
      <w:r w:rsidRPr="00764A3C">
        <w:rPr>
          <w:rFonts w:ascii="Times New Roman" w:eastAsia="Times New Roman" w:hAnsi="Times New Roman" w:cs="Times New Roman"/>
          <w:kern w:val="0"/>
          <w:sz w:val="24"/>
          <w:szCs w:val="24"/>
          <w:lang w:eastAsia="en-IN"/>
          <w14:ligatures w14:val="none"/>
        </w:rPr>
        <w:t>move</w:t>
      </w:r>
      <w:proofErr w:type="gramEnd"/>
      <w:r w:rsidRPr="00764A3C">
        <w:rPr>
          <w:rFonts w:ascii="Times New Roman" w:eastAsia="Times New Roman" w:hAnsi="Times New Roman" w:cs="Times New Roman"/>
          <w:kern w:val="0"/>
          <w:sz w:val="24"/>
          <w:szCs w:val="24"/>
          <w:lang w:eastAsia="en-IN"/>
          <w14:ligatures w14:val="none"/>
        </w:rPr>
        <w:t xml:space="preserve"> beyond traditional shallow-water zones. Its environmental engineering arm also helps clients design low-impact site clearance solutions.</w:t>
      </w:r>
    </w:p>
    <w:p w14:paraId="399F2911"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64A3C">
        <w:rPr>
          <w:rFonts w:ascii="Times New Roman" w:eastAsia="Times New Roman" w:hAnsi="Times New Roman" w:cs="Times New Roman"/>
          <w:b/>
          <w:bCs/>
          <w:kern w:val="0"/>
          <w:sz w:val="24"/>
          <w:szCs w:val="24"/>
          <w:lang w:eastAsia="en-IN"/>
          <w14:ligatures w14:val="none"/>
        </w:rPr>
        <w:t>Allseas</w:t>
      </w:r>
      <w:proofErr w:type="spellEnd"/>
      <w:r w:rsidRPr="00764A3C">
        <w:rPr>
          <w:rFonts w:ascii="Times New Roman" w:eastAsia="Times New Roman" w:hAnsi="Times New Roman" w:cs="Times New Roman"/>
          <w:b/>
          <w:bCs/>
          <w:kern w:val="0"/>
          <w:sz w:val="24"/>
          <w:szCs w:val="24"/>
          <w:lang w:eastAsia="en-IN"/>
          <w14:ligatures w14:val="none"/>
        </w:rPr>
        <w:t xml:space="preserve"> Group</w:t>
      </w:r>
      <w:r w:rsidRPr="00764A3C">
        <w:rPr>
          <w:rFonts w:ascii="Times New Roman" w:eastAsia="Times New Roman" w:hAnsi="Times New Roman" w:cs="Times New Roman"/>
          <w:kern w:val="0"/>
          <w:sz w:val="24"/>
          <w:szCs w:val="24"/>
          <w:lang w:eastAsia="en-IN"/>
          <w14:ligatures w14:val="none"/>
        </w:rPr>
        <w:br/>
        <w:t xml:space="preserve">Known for its massive heavy-lift vessel, </w:t>
      </w:r>
      <w:r w:rsidRPr="00764A3C">
        <w:rPr>
          <w:rFonts w:ascii="Times New Roman" w:eastAsia="Times New Roman" w:hAnsi="Times New Roman" w:cs="Times New Roman"/>
          <w:i/>
          <w:iCs/>
          <w:kern w:val="0"/>
          <w:sz w:val="24"/>
          <w:szCs w:val="24"/>
          <w:lang w:eastAsia="en-IN"/>
          <w14:ligatures w14:val="none"/>
        </w:rPr>
        <w:t>Pioneering Spirit</w:t>
      </w:r>
      <w:r w:rsidRPr="00764A3C">
        <w:rPr>
          <w:rFonts w:ascii="Times New Roman" w:eastAsia="Times New Roman" w:hAnsi="Times New Roman" w:cs="Times New Roman"/>
          <w:kern w:val="0"/>
          <w:sz w:val="24"/>
          <w:szCs w:val="24"/>
          <w:lang w:eastAsia="en-IN"/>
          <w14:ligatures w14:val="none"/>
        </w:rPr>
        <w:t xml:space="preserve">, </w:t>
      </w:r>
      <w:proofErr w:type="spellStart"/>
      <w:r w:rsidRPr="00764A3C">
        <w:rPr>
          <w:rFonts w:ascii="Times New Roman" w:eastAsia="Times New Roman" w:hAnsi="Times New Roman" w:cs="Times New Roman"/>
          <w:kern w:val="0"/>
          <w:sz w:val="24"/>
          <w:szCs w:val="24"/>
          <w:lang w:eastAsia="en-IN"/>
          <w14:ligatures w14:val="none"/>
        </w:rPr>
        <w:t>Allseas</w:t>
      </w:r>
      <w:proofErr w:type="spellEnd"/>
      <w:r w:rsidRPr="00764A3C">
        <w:rPr>
          <w:rFonts w:ascii="Times New Roman" w:eastAsia="Times New Roman" w:hAnsi="Times New Roman" w:cs="Times New Roman"/>
          <w:kern w:val="0"/>
          <w:sz w:val="24"/>
          <w:szCs w:val="24"/>
          <w:lang w:eastAsia="en-IN"/>
          <w14:ligatures w14:val="none"/>
        </w:rPr>
        <w:t xml:space="preserve"> has set a new standard for single-lift removal of topsides and jackets. The company’s operational speed has drastically reduced offshore exposure time and cost for operators. Recently, </w:t>
      </w:r>
      <w:proofErr w:type="spellStart"/>
      <w:r w:rsidRPr="00764A3C">
        <w:rPr>
          <w:rFonts w:ascii="Times New Roman" w:eastAsia="Times New Roman" w:hAnsi="Times New Roman" w:cs="Times New Roman"/>
          <w:kern w:val="0"/>
          <w:sz w:val="24"/>
          <w:szCs w:val="24"/>
          <w:lang w:eastAsia="en-IN"/>
          <w14:ligatures w14:val="none"/>
        </w:rPr>
        <w:t>Allseas</w:t>
      </w:r>
      <w:proofErr w:type="spellEnd"/>
      <w:r w:rsidRPr="00764A3C">
        <w:rPr>
          <w:rFonts w:ascii="Times New Roman" w:eastAsia="Times New Roman" w:hAnsi="Times New Roman" w:cs="Times New Roman"/>
          <w:kern w:val="0"/>
          <w:sz w:val="24"/>
          <w:szCs w:val="24"/>
          <w:lang w:eastAsia="en-IN"/>
          <w14:ligatures w14:val="none"/>
        </w:rPr>
        <w:t xml:space="preserve"> has begun integrating digital monitoring tools for structural stress analysis, allowing it to simulate entire lifts virtually before execution. While its projects are capital-intensive, the precision and scale make it the preferred choice for complex, high-weight removals.</w:t>
      </w:r>
    </w:p>
    <w:p w14:paraId="29F7342A"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Saipem</w:t>
      </w:r>
      <w:r w:rsidRPr="00764A3C">
        <w:rPr>
          <w:rFonts w:ascii="Times New Roman" w:eastAsia="Times New Roman" w:hAnsi="Times New Roman" w:cs="Times New Roman"/>
          <w:kern w:val="0"/>
          <w:sz w:val="24"/>
          <w:szCs w:val="24"/>
          <w:lang w:eastAsia="en-IN"/>
          <w14:ligatures w14:val="none"/>
        </w:rPr>
        <w:br/>
      </w:r>
      <w:proofErr w:type="spellStart"/>
      <w:r w:rsidRPr="00764A3C">
        <w:rPr>
          <w:rFonts w:ascii="Times New Roman" w:eastAsia="Times New Roman" w:hAnsi="Times New Roman" w:cs="Times New Roman"/>
          <w:kern w:val="0"/>
          <w:sz w:val="24"/>
          <w:szCs w:val="24"/>
          <w:lang w:eastAsia="en-IN"/>
          <w14:ligatures w14:val="none"/>
        </w:rPr>
        <w:t>Saipem</w:t>
      </w:r>
      <w:proofErr w:type="spellEnd"/>
      <w:r w:rsidRPr="00764A3C">
        <w:rPr>
          <w:rFonts w:ascii="Times New Roman" w:eastAsia="Times New Roman" w:hAnsi="Times New Roman" w:cs="Times New Roman"/>
          <w:kern w:val="0"/>
          <w:sz w:val="24"/>
          <w:szCs w:val="24"/>
          <w:lang w:eastAsia="en-IN"/>
          <w14:ligatures w14:val="none"/>
        </w:rPr>
        <w:t xml:space="preserve"> maintains a balanced portfolio across removal, well abandonment, and subsea dismantling. The company has positioned itself as a “sustainable decommissioning partner,” emphasizing circular practices and reduced emissions logistics. Its collaboration with regional governments and local shipyards allows cost optimization through onshore recycling. Saipem’s competitive edge is its ability to localize operations, combining European engineering expertise with local </w:t>
      </w:r>
      <w:proofErr w:type="spellStart"/>
      <w:r w:rsidRPr="00764A3C">
        <w:rPr>
          <w:rFonts w:ascii="Times New Roman" w:eastAsia="Times New Roman" w:hAnsi="Times New Roman" w:cs="Times New Roman"/>
          <w:kern w:val="0"/>
          <w:sz w:val="24"/>
          <w:szCs w:val="24"/>
          <w:lang w:eastAsia="en-IN"/>
          <w14:ligatures w14:val="none"/>
        </w:rPr>
        <w:t>labor</w:t>
      </w:r>
      <w:proofErr w:type="spellEnd"/>
      <w:r w:rsidRPr="00764A3C">
        <w:rPr>
          <w:rFonts w:ascii="Times New Roman" w:eastAsia="Times New Roman" w:hAnsi="Times New Roman" w:cs="Times New Roman"/>
          <w:kern w:val="0"/>
          <w:sz w:val="24"/>
          <w:szCs w:val="24"/>
          <w:lang w:eastAsia="en-IN"/>
          <w14:ligatures w14:val="none"/>
        </w:rPr>
        <w:t xml:space="preserve"> and infrastructure.</w:t>
      </w:r>
    </w:p>
    <w:p w14:paraId="0B98F193"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Petrofac</w:t>
      </w:r>
      <w:r w:rsidRPr="00764A3C">
        <w:rPr>
          <w:rFonts w:ascii="Times New Roman" w:eastAsia="Times New Roman" w:hAnsi="Times New Roman" w:cs="Times New Roman"/>
          <w:kern w:val="0"/>
          <w:sz w:val="24"/>
          <w:szCs w:val="24"/>
          <w:lang w:eastAsia="en-IN"/>
          <w14:ligatures w14:val="none"/>
        </w:rPr>
        <w:br/>
      </w:r>
      <w:proofErr w:type="spellStart"/>
      <w:r w:rsidRPr="00764A3C">
        <w:rPr>
          <w:rFonts w:ascii="Times New Roman" w:eastAsia="Times New Roman" w:hAnsi="Times New Roman" w:cs="Times New Roman"/>
          <w:kern w:val="0"/>
          <w:sz w:val="24"/>
          <w:szCs w:val="24"/>
          <w:lang w:eastAsia="en-IN"/>
          <w14:ligatures w14:val="none"/>
        </w:rPr>
        <w:t>Petrofac</w:t>
      </w:r>
      <w:proofErr w:type="spellEnd"/>
      <w:r w:rsidRPr="00764A3C">
        <w:rPr>
          <w:rFonts w:ascii="Times New Roman" w:eastAsia="Times New Roman" w:hAnsi="Times New Roman" w:cs="Times New Roman"/>
          <w:kern w:val="0"/>
          <w:sz w:val="24"/>
          <w:szCs w:val="24"/>
          <w:lang w:eastAsia="en-IN"/>
          <w14:ligatures w14:val="none"/>
        </w:rPr>
        <w:t xml:space="preserve"> has developed a reputation for turnkey well plugging and abandonment projects, especially in the UK and Middle East. Its decommissioning framework combines engineering, procurement, and offshore management under a single contract. Petrofac is also experimenting with digital twins for late-life asset management, giving operators predictive data long before the final removal phase. </w:t>
      </w:r>
      <w:r w:rsidRPr="00764A3C">
        <w:rPr>
          <w:rFonts w:ascii="Times New Roman" w:eastAsia="Times New Roman" w:hAnsi="Times New Roman" w:cs="Times New Roman"/>
          <w:i/>
          <w:iCs/>
          <w:kern w:val="0"/>
          <w:sz w:val="24"/>
          <w:szCs w:val="24"/>
          <w:lang w:eastAsia="en-IN"/>
          <w14:ligatures w14:val="none"/>
        </w:rPr>
        <w:t>They’re moving from contractor to lifecycle partner — managing the tail-end of oilfield economics with transparency and speed.</w:t>
      </w:r>
    </w:p>
    <w:p w14:paraId="05783E5E"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Oceaneering International</w:t>
      </w:r>
      <w:r w:rsidRPr="00764A3C">
        <w:rPr>
          <w:rFonts w:ascii="Times New Roman" w:eastAsia="Times New Roman" w:hAnsi="Times New Roman" w:cs="Times New Roman"/>
          <w:kern w:val="0"/>
          <w:sz w:val="24"/>
          <w:szCs w:val="24"/>
          <w:lang w:eastAsia="en-IN"/>
          <w14:ligatures w14:val="none"/>
        </w:rPr>
        <w:br/>
        <w:t>Oceaneering’s robotics and remote intervention technologies give it a unique position in subsea asset removal. Its ROVs and AUVs are standard across deepwater decommissioning campaigns, particularly in the Gulf of Mexico. The company is also developing machine-learning algorithms to improve subsea inspection accuracy and automate corrosion mapping. These innovations are shortening project durations and cutting operational risk.</w:t>
      </w:r>
    </w:p>
    <w:p w14:paraId="70FD44D5"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Aker Solutions</w:t>
      </w:r>
      <w:r w:rsidRPr="00764A3C">
        <w:rPr>
          <w:rFonts w:ascii="Times New Roman" w:eastAsia="Times New Roman" w:hAnsi="Times New Roman" w:cs="Times New Roman"/>
          <w:kern w:val="0"/>
          <w:sz w:val="24"/>
          <w:szCs w:val="24"/>
          <w:lang w:eastAsia="en-IN"/>
          <w14:ligatures w14:val="none"/>
        </w:rPr>
        <w:br/>
        <w:t xml:space="preserve">Aker Solutions continues to dominate the Norwegian sector with a strong focus on engineering design, environmental compliance, and waste management. Their approach is highly data-centric, relying on digital platforms for asset condition </w:t>
      </w:r>
      <w:proofErr w:type="spellStart"/>
      <w:r w:rsidRPr="00764A3C">
        <w:rPr>
          <w:rFonts w:ascii="Times New Roman" w:eastAsia="Times New Roman" w:hAnsi="Times New Roman" w:cs="Times New Roman"/>
          <w:kern w:val="0"/>
          <w:sz w:val="24"/>
          <w:szCs w:val="24"/>
          <w:lang w:eastAsia="en-IN"/>
          <w14:ligatures w14:val="none"/>
        </w:rPr>
        <w:t>modeling</w:t>
      </w:r>
      <w:proofErr w:type="spellEnd"/>
      <w:r w:rsidRPr="00764A3C">
        <w:rPr>
          <w:rFonts w:ascii="Times New Roman" w:eastAsia="Times New Roman" w:hAnsi="Times New Roman" w:cs="Times New Roman"/>
          <w:kern w:val="0"/>
          <w:sz w:val="24"/>
          <w:szCs w:val="24"/>
          <w:lang w:eastAsia="en-IN"/>
          <w14:ligatures w14:val="none"/>
        </w:rPr>
        <w:t xml:space="preserve"> and regulatory reporting. Aker’s partnerships with recycling yards and renewable developers reflect a strategic pivot toward “sustainable decommissioning ecosystems,” a model other European firms are beginning to replicate.</w:t>
      </w:r>
    </w:p>
    <w:p w14:paraId="3F46916C"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lastRenderedPageBreak/>
        <w:t>Competitive Dynamics Summary</w:t>
      </w:r>
      <w:r w:rsidRPr="00764A3C">
        <w:rPr>
          <w:rFonts w:ascii="Times New Roman" w:eastAsia="Times New Roman" w:hAnsi="Times New Roman" w:cs="Times New Roman"/>
          <w:kern w:val="0"/>
          <w:sz w:val="24"/>
          <w:szCs w:val="24"/>
          <w:lang w:eastAsia="en-IN"/>
          <w14:ligatures w14:val="none"/>
        </w:rPr>
        <w:br/>
        <w:t xml:space="preserve">The competition in offshore decommissioning is structured around capability, not volume. Large players like </w:t>
      </w:r>
      <w:proofErr w:type="spellStart"/>
      <w:r w:rsidRPr="00764A3C">
        <w:rPr>
          <w:rFonts w:ascii="Times New Roman" w:eastAsia="Times New Roman" w:hAnsi="Times New Roman" w:cs="Times New Roman"/>
          <w:kern w:val="0"/>
          <w:sz w:val="24"/>
          <w:szCs w:val="24"/>
          <w:lang w:eastAsia="en-IN"/>
          <w14:ligatures w14:val="none"/>
        </w:rPr>
        <w:t>Allseas</w:t>
      </w:r>
      <w:proofErr w:type="spellEnd"/>
      <w:r w:rsidRPr="00764A3C">
        <w:rPr>
          <w:rFonts w:ascii="Times New Roman" w:eastAsia="Times New Roman" w:hAnsi="Times New Roman" w:cs="Times New Roman"/>
          <w:kern w:val="0"/>
          <w:sz w:val="24"/>
          <w:szCs w:val="24"/>
          <w:lang w:eastAsia="en-IN"/>
          <w14:ligatures w14:val="none"/>
        </w:rPr>
        <w:t xml:space="preserve"> and Subsea 7 command the heavy-lift domain, while TechnipFMC, Saipem, and Petrofac excel in integrated project execution. Robotics leaders like Oceaneering bring technological precision that smaller firms often can’t match. Meanwhile, newer entrants are targeting environmental services, data analytics, and waste recovery — smaller in scale but essential to meeting modern ESG benchmarks.</w:t>
      </w:r>
    </w:p>
    <w:p w14:paraId="1145A165"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i/>
          <w:iCs/>
          <w:kern w:val="0"/>
          <w:sz w:val="24"/>
          <w:szCs w:val="24"/>
          <w:lang w:eastAsia="en-IN"/>
          <w14:ligatures w14:val="none"/>
        </w:rPr>
        <w:t xml:space="preserve">The real race isn’t for the next contract — it’s for credibility. Operators now </w:t>
      </w:r>
      <w:proofErr w:type="spellStart"/>
      <w:r w:rsidRPr="00764A3C">
        <w:rPr>
          <w:rFonts w:ascii="Times New Roman" w:eastAsia="Times New Roman" w:hAnsi="Times New Roman" w:cs="Times New Roman"/>
          <w:i/>
          <w:iCs/>
          <w:kern w:val="0"/>
          <w:sz w:val="24"/>
          <w:szCs w:val="24"/>
          <w:lang w:eastAsia="en-IN"/>
          <w14:ligatures w14:val="none"/>
        </w:rPr>
        <w:t>favor</w:t>
      </w:r>
      <w:proofErr w:type="spellEnd"/>
      <w:r w:rsidRPr="00764A3C">
        <w:rPr>
          <w:rFonts w:ascii="Times New Roman" w:eastAsia="Times New Roman" w:hAnsi="Times New Roman" w:cs="Times New Roman"/>
          <w:i/>
          <w:iCs/>
          <w:kern w:val="0"/>
          <w:sz w:val="24"/>
          <w:szCs w:val="24"/>
          <w:lang w:eastAsia="en-IN"/>
          <w14:ligatures w14:val="none"/>
        </w:rPr>
        <w:t xml:space="preserve"> partners who can merge engineering prowess with sustainability reporting and cost predictability. That combination will define leadership in offshore decommissioning over the next decade.</w:t>
      </w:r>
    </w:p>
    <w:p w14:paraId="09111579" w14:textId="77777777" w:rsidR="00764A3C" w:rsidRPr="00764A3C" w:rsidRDefault="00764A3C" w:rsidP="00764A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64A3C">
        <w:rPr>
          <w:rFonts w:ascii="Times New Roman" w:eastAsia="Times New Roman" w:hAnsi="Times New Roman" w:cs="Times New Roman"/>
          <w:b/>
          <w:bCs/>
          <w:kern w:val="36"/>
          <w:sz w:val="48"/>
          <w:szCs w:val="48"/>
          <w:lang w:eastAsia="en-IN"/>
          <w14:ligatures w14:val="none"/>
        </w:rPr>
        <w:t>5. Regional Landscape and Adoption Outlook</w:t>
      </w:r>
    </w:p>
    <w:p w14:paraId="6F718B2F"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 xml:space="preserve">The offshore decommissioning market is geographically diverse, shaped by regulatory maturity, basin age, and operator </w:t>
      </w:r>
      <w:proofErr w:type="spellStart"/>
      <w:r w:rsidRPr="00764A3C">
        <w:rPr>
          <w:rFonts w:ascii="Times New Roman" w:eastAsia="Times New Roman" w:hAnsi="Times New Roman" w:cs="Times New Roman"/>
          <w:kern w:val="0"/>
          <w:sz w:val="24"/>
          <w:szCs w:val="24"/>
          <w:lang w:eastAsia="en-IN"/>
          <w14:ligatures w14:val="none"/>
        </w:rPr>
        <w:t>behavior</w:t>
      </w:r>
      <w:proofErr w:type="spellEnd"/>
      <w:r w:rsidRPr="00764A3C">
        <w:rPr>
          <w:rFonts w:ascii="Times New Roman" w:eastAsia="Times New Roman" w:hAnsi="Times New Roman" w:cs="Times New Roman"/>
          <w:kern w:val="0"/>
          <w:sz w:val="24"/>
          <w:szCs w:val="24"/>
          <w:lang w:eastAsia="en-IN"/>
          <w14:ligatures w14:val="none"/>
        </w:rPr>
        <w:t>. Some regions like the North Sea have well-defined frameworks and predictable project pipelines. Others — notably in Asia and Latin America — are just beginning to formalize decommissioning procedures as older assets approach the end of life. Between 2024 and 2030, the regional outlook reflects a shift from regulatory compliance to strategic sustainability.</w:t>
      </w:r>
    </w:p>
    <w:p w14:paraId="71F58E2C"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Europe</w:t>
      </w:r>
      <w:r w:rsidRPr="00764A3C">
        <w:rPr>
          <w:rFonts w:ascii="Times New Roman" w:eastAsia="Times New Roman" w:hAnsi="Times New Roman" w:cs="Times New Roman"/>
          <w:kern w:val="0"/>
          <w:sz w:val="24"/>
          <w:szCs w:val="24"/>
          <w:lang w:eastAsia="en-IN"/>
          <w14:ligatures w14:val="none"/>
        </w:rPr>
        <w:br/>
      </w:r>
      <w:proofErr w:type="spellStart"/>
      <w:r w:rsidRPr="00764A3C">
        <w:rPr>
          <w:rFonts w:ascii="Times New Roman" w:eastAsia="Times New Roman" w:hAnsi="Times New Roman" w:cs="Times New Roman"/>
          <w:kern w:val="0"/>
          <w:sz w:val="24"/>
          <w:szCs w:val="24"/>
          <w:lang w:eastAsia="en-IN"/>
          <w14:ligatures w14:val="none"/>
        </w:rPr>
        <w:t>Europe</w:t>
      </w:r>
      <w:proofErr w:type="spellEnd"/>
      <w:r w:rsidRPr="00764A3C">
        <w:rPr>
          <w:rFonts w:ascii="Times New Roman" w:eastAsia="Times New Roman" w:hAnsi="Times New Roman" w:cs="Times New Roman"/>
          <w:kern w:val="0"/>
          <w:sz w:val="24"/>
          <w:szCs w:val="24"/>
          <w:lang w:eastAsia="en-IN"/>
          <w14:ligatures w14:val="none"/>
        </w:rPr>
        <w:t xml:space="preserve">, particularly the </w:t>
      </w:r>
      <w:r w:rsidRPr="00764A3C">
        <w:rPr>
          <w:rFonts w:ascii="Times New Roman" w:eastAsia="Times New Roman" w:hAnsi="Times New Roman" w:cs="Times New Roman"/>
          <w:b/>
          <w:bCs/>
          <w:kern w:val="0"/>
          <w:sz w:val="24"/>
          <w:szCs w:val="24"/>
          <w:lang w:eastAsia="en-IN"/>
          <w14:ligatures w14:val="none"/>
        </w:rPr>
        <w:t>North Sea</w:t>
      </w:r>
      <w:r w:rsidRPr="00764A3C">
        <w:rPr>
          <w:rFonts w:ascii="Times New Roman" w:eastAsia="Times New Roman" w:hAnsi="Times New Roman" w:cs="Times New Roman"/>
          <w:kern w:val="0"/>
          <w:sz w:val="24"/>
          <w:szCs w:val="24"/>
          <w:lang w:eastAsia="en-IN"/>
          <w14:ligatures w14:val="none"/>
        </w:rPr>
        <w:t>, continues to lead global offshore decommissioning. The UK, Norway, and the Netherlands have established detailed legal frameworks and cost-sharing models that make project planning more transparent. The UK’s Offshore Petroleum Regulator for Environment and Decommissioning (OPRED) oversees one of the most structured regimes, with over 1,200 platforms expected to be fully or partially decommissioned by 2030. Norway maintains a slightly different approach — emphasizing reuse and material recycling under its strict environmental laws. The presence of advanced shipyards and recycling hubs in Scotland and Denmark has created a self-contained circular ecosystem.</w:t>
      </w:r>
      <w:r w:rsidRPr="00764A3C">
        <w:rPr>
          <w:rFonts w:ascii="Times New Roman" w:eastAsia="Times New Roman" w:hAnsi="Times New Roman" w:cs="Times New Roman"/>
          <w:kern w:val="0"/>
          <w:sz w:val="24"/>
          <w:szCs w:val="24"/>
          <w:lang w:eastAsia="en-IN"/>
          <w14:ligatures w14:val="none"/>
        </w:rPr>
        <w:br/>
      </w:r>
      <w:r w:rsidRPr="00764A3C">
        <w:rPr>
          <w:rFonts w:ascii="Times New Roman" w:eastAsia="Times New Roman" w:hAnsi="Times New Roman" w:cs="Times New Roman"/>
          <w:i/>
          <w:iCs/>
          <w:kern w:val="0"/>
          <w:sz w:val="24"/>
          <w:szCs w:val="24"/>
          <w:lang w:eastAsia="en-IN"/>
          <w14:ligatures w14:val="none"/>
        </w:rPr>
        <w:t>European operators no longer treat decommissioning as a liability; it’s a regulated obligation with measurable ESG impact. This predictability is why the region remains the global testing ground for innovative decommissioning technologies.</w:t>
      </w:r>
    </w:p>
    <w:p w14:paraId="745C10D0"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North America</w:t>
      </w:r>
      <w:r w:rsidRPr="00764A3C">
        <w:rPr>
          <w:rFonts w:ascii="Times New Roman" w:eastAsia="Times New Roman" w:hAnsi="Times New Roman" w:cs="Times New Roman"/>
          <w:kern w:val="0"/>
          <w:sz w:val="24"/>
          <w:szCs w:val="24"/>
          <w:lang w:eastAsia="en-IN"/>
          <w14:ligatures w14:val="none"/>
        </w:rPr>
        <w:br/>
        <w:t xml:space="preserve">The </w:t>
      </w:r>
      <w:r w:rsidRPr="00764A3C">
        <w:rPr>
          <w:rFonts w:ascii="Times New Roman" w:eastAsia="Times New Roman" w:hAnsi="Times New Roman" w:cs="Times New Roman"/>
          <w:b/>
          <w:bCs/>
          <w:kern w:val="0"/>
          <w:sz w:val="24"/>
          <w:szCs w:val="24"/>
          <w:lang w:eastAsia="en-IN"/>
          <w14:ligatures w14:val="none"/>
        </w:rPr>
        <w:t>Gulf of Mexico</w:t>
      </w:r>
      <w:r w:rsidRPr="00764A3C">
        <w:rPr>
          <w:rFonts w:ascii="Times New Roman" w:eastAsia="Times New Roman" w:hAnsi="Times New Roman" w:cs="Times New Roman"/>
          <w:kern w:val="0"/>
          <w:sz w:val="24"/>
          <w:szCs w:val="24"/>
          <w:lang w:eastAsia="en-IN"/>
          <w14:ligatures w14:val="none"/>
        </w:rPr>
        <w:t xml:space="preserve"> represents the second-largest decommissioning market worldwide. The United States has a long history of well plugging and platform removal, dating back to the early 1990s. However, aging shallow-water platforms and stricter liability rules under the Bureau of Safety and Environmental Enforcement (BSEE) are now driving a new wave of activity. Offshore operators are required to remove idle structures within two years of production cessation, accelerating contract flow for local marine contractors. The market also benefits from a competitive service ecosystem, including heavy-lift vessel operators, subsea robotics firms, and waste processors. Canada’s Atlantic coast has begun planning for its first major decommissioning campaigns, with government-funded programs ensuring environmental compliance.</w:t>
      </w:r>
    </w:p>
    <w:p w14:paraId="0AFDEBE2"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lastRenderedPageBreak/>
        <w:t>Asia Pacific</w:t>
      </w:r>
      <w:r w:rsidRPr="00764A3C">
        <w:rPr>
          <w:rFonts w:ascii="Times New Roman" w:eastAsia="Times New Roman" w:hAnsi="Times New Roman" w:cs="Times New Roman"/>
          <w:kern w:val="0"/>
          <w:sz w:val="24"/>
          <w:szCs w:val="24"/>
          <w:lang w:eastAsia="en-IN"/>
          <w14:ligatures w14:val="none"/>
        </w:rPr>
        <w:br/>
        <w:t xml:space="preserve">Asia Pacific is the fastest-growing region in offshore decommissioning, propelled by the maturity of early offshore fields in </w:t>
      </w:r>
      <w:r w:rsidRPr="00764A3C">
        <w:rPr>
          <w:rFonts w:ascii="Times New Roman" w:eastAsia="Times New Roman" w:hAnsi="Times New Roman" w:cs="Times New Roman"/>
          <w:b/>
          <w:bCs/>
          <w:kern w:val="0"/>
          <w:sz w:val="24"/>
          <w:szCs w:val="24"/>
          <w:lang w:eastAsia="en-IN"/>
          <w14:ligatures w14:val="none"/>
        </w:rPr>
        <w:t>Malaysia, Thailand, Indonesia, and Australia</w:t>
      </w:r>
      <w:r w:rsidRPr="00764A3C">
        <w:rPr>
          <w:rFonts w:ascii="Times New Roman" w:eastAsia="Times New Roman" w:hAnsi="Times New Roman" w:cs="Times New Roman"/>
          <w:kern w:val="0"/>
          <w:sz w:val="24"/>
          <w:szCs w:val="24"/>
          <w:lang w:eastAsia="en-IN"/>
          <w14:ligatures w14:val="none"/>
        </w:rPr>
        <w:t>. Many of these assets were built in the 1980s and 1990s without clear end-of-life frameworks. Over the past few years, regulatory bodies such as Malaysia’s Petronas and Thailand’s Department of Mineral Fuels have released new guidelines, prompting operators to budget for decommissioning costs upfront. Australia, in particular, is pushing strict operator accountability after high-profile abandonment cases.</w:t>
      </w:r>
      <w:r w:rsidRPr="00764A3C">
        <w:rPr>
          <w:rFonts w:ascii="Times New Roman" w:eastAsia="Times New Roman" w:hAnsi="Times New Roman" w:cs="Times New Roman"/>
          <w:kern w:val="0"/>
          <w:sz w:val="24"/>
          <w:szCs w:val="24"/>
          <w:lang w:eastAsia="en-IN"/>
          <w14:ligatures w14:val="none"/>
        </w:rPr>
        <w:br/>
      </w:r>
      <w:r w:rsidRPr="00764A3C">
        <w:rPr>
          <w:rFonts w:ascii="Times New Roman" w:eastAsia="Times New Roman" w:hAnsi="Times New Roman" w:cs="Times New Roman"/>
          <w:i/>
          <w:iCs/>
          <w:kern w:val="0"/>
          <w:sz w:val="24"/>
          <w:szCs w:val="24"/>
          <w:lang w:eastAsia="en-IN"/>
          <w14:ligatures w14:val="none"/>
        </w:rPr>
        <w:t>Despite regulatory uncertainty in some markets, Asia Pacific offers significant commercial opportunity. The sheer number of platforms nearing end-of-life — over 1,500 by 2030 — makes it a prime target for international service providers.</w:t>
      </w:r>
    </w:p>
    <w:p w14:paraId="4A4EFB5E"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Middle East and Africa</w:t>
      </w:r>
      <w:r w:rsidRPr="00764A3C">
        <w:rPr>
          <w:rFonts w:ascii="Times New Roman" w:eastAsia="Times New Roman" w:hAnsi="Times New Roman" w:cs="Times New Roman"/>
          <w:kern w:val="0"/>
          <w:sz w:val="24"/>
          <w:szCs w:val="24"/>
          <w:lang w:eastAsia="en-IN"/>
          <w14:ligatures w14:val="none"/>
        </w:rPr>
        <w:br/>
        <w:t xml:space="preserve">The Middle East is still early in its decommissioning cycle, as most of its offshore assets remain productive. However, smaller operators in the </w:t>
      </w:r>
      <w:r w:rsidRPr="00764A3C">
        <w:rPr>
          <w:rFonts w:ascii="Times New Roman" w:eastAsia="Times New Roman" w:hAnsi="Times New Roman" w:cs="Times New Roman"/>
          <w:b/>
          <w:bCs/>
          <w:kern w:val="0"/>
          <w:sz w:val="24"/>
          <w:szCs w:val="24"/>
          <w:lang w:eastAsia="en-IN"/>
          <w14:ligatures w14:val="none"/>
        </w:rPr>
        <w:t>United Arab Emirates, Qatar, and Oman</w:t>
      </w:r>
      <w:r w:rsidRPr="00764A3C">
        <w:rPr>
          <w:rFonts w:ascii="Times New Roman" w:eastAsia="Times New Roman" w:hAnsi="Times New Roman" w:cs="Times New Roman"/>
          <w:kern w:val="0"/>
          <w:sz w:val="24"/>
          <w:szCs w:val="24"/>
          <w:lang w:eastAsia="en-IN"/>
          <w14:ligatures w14:val="none"/>
        </w:rPr>
        <w:t xml:space="preserve"> are starting to assess removal costs for marginal wells. The region’s long-term potential lies in establishing cross-border frameworks that integrate waste recycling with oilfield rehabilitation. Africa’s offshore basins — particularly in </w:t>
      </w:r>
      <w:r w:rsidRPr="00764A3C">
        <w:rPr>
          <w:rFonts w:ascii="Times New Roman" w:eastAsia="Times New Roman" w:hAnsi="Times New Roman" w:cs="Times New Roman"/>
          <w:b/>
          <w:bCs/>
          <w:kern w:val="0"/>
          <w:sz w:val="24"/>
          <w:szCs w:val="24"/>
          <w:lang w:eastAsia="en-IN"/>
          <w14:ligatures w14:val="none"/>
        </w:rPr>
        <w:t>Nigeria and Angola</w:t>
      </w:r>
      <w:r w:rsidRPr="00764A3C">
        <w:rPr>
          <w:rFonts w:ascii="Times New Roman" w:eastAsia="Times New Roman" w:hAnsi="Times New Roman" w:cs="Times New Roman"/>
          <w:kern w:val="0"/>
          <w:sz w:val="24"/>
          <w:szCs w:val="24"/>
          <w:lang w:eastAsia="en-IN"/>
          <w14:ligatures w14:val="none"/>
        </w:rPr>
        <w:t xml:space="preserve"> — are beginning to face similar challenges. Corrosion and declining well integrity in mature assets are prompting regulatory action. Funding remains a barrier, though partnerships with international oil companies are bridging early project stages.</w:t>
      </w:r>
      <w:r w:rsidRPr="00764A3C">
        <w:rPr>
          <w:rFonts w:ascii="Times New Roman" w:eastAsia="Times New Roman" w:hAnsi="Times New Roman" w:cs="Times New Roman"/>
          <w:kern w:val="0"/>
          <w:sz w:val="24"/>
          <w:szCs w:val="24"/>
          <w:lang w:eastAsia="en-IN"/>
          <w14:ligatures w14:val="none"/>
        </w:rPr>
        <w:br/>
      </w:r>
      <w:r w:rsidRPr="00764A3C">
        <w:rPr>
          <w:rFonts w:ascii="Times New Roman" w:eastAsia="Times New Roman" w:hAnsi="Times New Roman" w:cs="Times New Roman"/>
          <w:i/>
          <w:iCs/>
          <w:kern w:val="0"/>
          <w:sz w:val="24"/>
          <w:szCs w:val="24"/>
          <w:lang w:eastAsia="en-IN"/>
          <w14:ligatures w14:val="none"/>
        </w:rPr>
        <w:t>In these regions, decommissioning is less about regulation and more about financial risk control — ensuring old fields don’t become environmental or reputational liabilities.</w:t>
      </w:r>
    </w:p>
    <w:p w14:paraId="530E1CD0"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Latin America</w:t>
      </w:r>
      <w:r w:rsidRPr="00764A3C">
        <w:rPr>
          <w:rFonts w:ascii="Times New Roman" w:eastAsia="Times New Roman" w:hAnsi="Times New Roman" w:cs="Times New Roman"/>
          <w:kern w:val="0"/>
          <w:sz w:val="24"/>
          <w:szCs w:val="24"/>
          <w:lang w:eastAsia="en-IN"/>
          <w14:ligatures w14:val="none"/>
        </w:rPr>
        <w:br/>
        <w:t xml:space="preserve">Latin America’s market is emerging rapidly, led by </w:t>
      </w:r>
      <w:r w:rsidRPr="00764A3C">
        <w:rPr>
          <w:rFonts w:ascii="Times New Roman" w:eastAsia="Times New Roman" w:hAnsi="Times New Roman" w:cs="Times New Roman"/>
          <w:b/>
          <w:bCs/>
          <w:kern w:val="0"/>
          <w:sz w:val="24"/>
          <w:szCs w:val="24"/>
          <w:lang w:eastAsia="en-IN"/>
          <w14:ligatures w14:val="none"/>
        </w:rPr>
        <w:t>Brazil and Mexico</w:t>
      </w:r>
      <w:r w:rsidRPr="00764A3C">
        <w:rPr>
          <w:rFonts w:ascii="Times New Roman" w:eastAsia="Times New Roman" w:hAnsi="Times New Roman" w:cs="Times New Roman"/>
          <w:kern w:val="0"/>
          <w:sz w:val="24"/>
          <w:szCs w:val="24"/>
          <w:lang w:eastAsia="en-IN"/>
          <w14:ligatures w14:val="none"/>
        </w:rPr>
        <w:t>. Brazil’s regulator ANP has begun requiring operators to submit detailed abandonment plans as part of their production licenses. Petrobras has already initiated multi-year decommissioning programs targeting platforms in Campos and Santos Basins. Mexico is also stepping up under Pemex’s new infrastructure modernization plan, which includes retiring inefficient platforms and transferring parts of its logistics capacity to private contractors.</w:t>
      </w:r>
      <w:r w:rsidRPr="00764A3C">
        <w:rPr>
          <w:rFonts w:ascii="Times New Roman" w:eastAsia="Times New Roman" w:hAnsi="Times New Roman" w:cs="Times New Roman"/>
          <w:kern w:val="0"/>
          <w:sz w:val="24"/>
          <w:szCs w:val="24"/>
          <w:lang w:eastAsia="en-IN"/>
          <w14:ligatures w14:val="none"/>
        </w:rPr>
        <w:br/>
      </w:r>
      <w:r w:rsidRPr="00764A3C">
        <w:rPr>
          <w:rFonts w:ascii="Times New Roman" w:eastAsia="Times New Roman" w:hAnsi="Times New Roman" w:cs="Times New Roman"/>
          <w:i/>
          <w:iCs/>
          <w:kern w:val="0"/>
          <w:sz w:val="24"/>
          <w:szCs w:val="24"/>
          <w:lang w:eastAsia="en-IN"/>
          <w14:ligatures w14:val="none"/>
        </w:rPr>
        <w:t>Latin America is becoming an attractive market for European and Asian contractors who can bring deepwater expertise, as many regional fields operate beyond 1,000 meters depth.</w:t>
      </w:r>
    </w:p>
    <w:p w14:paraId="5F744555"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Regional Outlook Summary</w:t>
      </w:r>
      <w:r w:rsidRPr="00764A3C">
        <w:rPr>
          <w:rFonts w:ascii="Times New Roman" w:eastAsia="Times New Roman" w:hAnsi="Times New Roman" w:cs="Times New Roman"/>
          <w:kern w:val="0"/>
          <w:sz w:val="24"/>
          <w:szCs w:val="24"/>
          <w:lang w:eastAsia="en-IN"/>
          <w14:ligatures w14:val="none"/>
        </w:rPr>
        <w:br/>
        <w:t>By 2030, Europe will likely maintain its leadership due to its institutional maturity, but Asia Pacific will deliver the highest growth rate, driven by scale and policy evolution. North America will stay steady, anchored by consistent regulatory enforcement, while Latin America and Africa will evolve through pilot projects and joint ventures.</w:t>
      </w:r>
    </w:p>
    <w:p w14:paraId="0A94ABB1"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i/>
          <w:iCs/>
          <w:kern w:val="0"/>
          <w:sz w:val="24"/>
          <w:szCs w:val="24"/>
          <w:lang w:eastAsia="en-IN"/>
          <w14:ligatures w14:val="none"/>
        </w:rPr>
        <w:t>In essence, regional dynamics are no longer about where the oldest platforms are — but where governments and companies can align incentives, safety, and sustainability in the same equation. That’s where the next wave of decommissioning value will emerge.</w:t>
      </w:r>
    </w:p>
    <w:p w14:paraId="28C71B4B" w14:textId="77777777" w:rsidR="00764A3C" w:rsidRPr="00764A3C" w:rsidRDefault="00764A3C" w:rsidP="00764A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64A3C">
        <w:rPr>
          <w:rFonts w:ascii="Times New Roman" w:eastAsia="Times New Roman" w:hAnsi="Times New Roman" w:cs="Times New Roman"/>
          <w:b/>
          <w:bCs/>
          <w:kern w:val="36"/>
          <w:sz w:val="48"/>
          <w:szCs w:val="48"/>
          <w:lang w:eastAsia="en-IN"/>
          <w14:ligatures w14:val="none"/>
        </w:rPr>
        <w:t>6. End-User Dynamics and Use Case</w:t>
      </w:r>
    </w:p>
    <w:p w14:paraId="796ED4A0"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 xml:space="preserve">End users in the offshore decommissioning market are a diverse mix — from national oil companies (NOCs) and international oil majors to specialized service providers and regulatory authorities. Their motivations are not the same. For operators, it’s about liability </w:t>
      </w:r>
      <w:r w:rsidRPr="00764A3C">
        <w:rPr>
          <w:rFonts w:ascii="Times New Roman" w:eastAsia="Times New Roman" w:hAnsi="Times New Roman" w:cs="Times New Roman"/>
          <w:kern w:val="0"/>
          <w:sz w:val="24"/>
          <w:szCs w:val="24"/>
          <w:lang w:eastAsia="en-IN"/>
          <w14:ligatures w14:val="none"/>
        </w:rPr>
        <w:lastRenderedPageBreak/>
        <w:t>and environmental compliance. For contractors, it’s about efficiency, safety, and reputation. And for regulators, it’s about proving that offshore energy can retire responsibly without leaving a footprint on marine ecosystems.</w:t>
      </w:r>
    </w:p>
    <w:p w14:paraId="2BDFE9CC"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Oil and Gas Operators</w:t>
      </w:r>
      <w:r w:rsidRPr="00764A3C">
        <w:rPr>
          <w:rFonts w:ascii="Times New Roman" w:eastAsia="Times New Roman" w:hAnsi="Times New Roman" w:cs="Times New Roman"/>
          <w:kern w:val="0"/>
          <w:sz w:val="24"/>
          <w:szCs w:val="24"/>
          <w:lang w:eastAsia="en-IN"/>
          <w14:ligatures w14:val="none"/>
        </w:rPr>
        <w:br/>
        <w:t>The primary end users are oil and gas companies — especially those with legacy offshore assets nearing depletion. Large integrated majors such as BP, Shell, Equinor, and TotalEnergies have built internal decommissioning divisions that manage planning, contracting, and compliance. These companies view decommissioning as a continuation of field development, not an afterthought. They rely heavily on digital platforms to map infrastructure condition, prioritize wells, and align schedules with environmental windows.</w:t>
      </w:r>
      <w:r w:rsidRPr="00764A3C">
        <w:rPr>
          <w:rFonts w:ascii="Times New Roman" w:eastAsia="Times New Roman" w:hAnsi="Times New Roman" w:cs="Times New Roman"/>
          <w:kern w:val="0"/>
          <w:sz w:val="24"/>
          <w:szCs w:val="24"/>
          <w:lang w:eastAsia="en-IN"/>
          <w14:ligatures w14:val="none"/>
        </w:rPr>
        <w:br/>
        <w:t xml:space="preserve">National oil companies — Petronas, ONGC, Petrobras, and Saudi Aramco — are now catching up, setting up dedicated decommissioning funds to comply with emerging national frameworks. </w:t>
      </w:r>
      <w:r w:rsidRPr="00764A3C">
        <w:rPr>
          <w:rFonts w:ascii="Times New Roman" w:eastAsia="Times New Roman" w:hAnsi="Times New Roman" w:cs="Times New Roman"/>
          <w:i/>
          <w:iCs/>
          <w:kern w:val="0"/>
          <w:sz w:val="24"/>
          <w:szCs w:val="24"/>
          <w:lang w:eastAsia="en-IN"/>
          <w14:ligatures w14:val="none"/>
        </w:rPr>
        <w:t>For them, decommissioning is as much a matter of national environmental image as it is of cost management.</w:t>
      </w:r>
    </w:p>
    <w:p w14:paraId="481911B3"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Engineering, Procurement, and Construction (EPC) Contractors</w:t>
      </w:r>
      <w:r w:rsidRPr="00764A3C">
        <w:rPr>
          <w:rFonts w:ascii="Times New Roman" w:eastAsia="Times New Roman" w:hAnsi="Times New Roman" w:cs="Times New Roman"/>
          <w:kern w:val="0"/>
          <w:sz w:val="24"/>
          <w:szCs w:val="24"/>
          <w:lang w:eastAsia="en-IN"/>
          <w14:ligatures w14:val="none"/>
        </w:rPr>
        <w:br/>
        <w:t>EPC firms represent the operational backbone of offshore decommissioning. Companies like TechnipFMC, Subsea 7, and Saipem handle the dismantling, lifting, and logistics side, coordinating everything from rig hire to waste disposal. Their value proposition has evolved from mechanical capability to integrated lifecycle management. They now offer front-end engineering, digital simulation, and post-removal verification — effectively managing the project from seabed to shore.</w:t>
      </w:r>
      <w:r w:rsidRPr="00764A3C">
        <w:rPr>
          <w:rFonts w:ascii="Times New Roman" w:eastAsia="Times New Roman" w:hAnsi="Times New Roman" w:cs="Times New Roman"/>
          <w:kern w:val="0"/>
          <w:sz w:val="24"/>
          <w:szCs w:val="24"/>
          <w:lang w:eastAsia="en-IN"/>
          <w14:ligatures w14:val="none"/>
        </w:rPr>
        <w:br/>
      </w:r>
      <w:r w:rsidRPr="00764A3C">
        <w:rPr>
          <w:rFonts w:ascii="Times New Roman" w:eastAsia="Times New Roman" w:hAnsi="Times New Roman" w:cs="Times New Roman"/>
          <w:i/>
          <w:iCs/>
          <w:kern w:val="0"/>
          <w:sz w:val="24"/>
          <w:szCs w:val="24"/>
          <w:lang w:eastAsia="en-IN"/>
          <w14:ligatures w14:val="none"/>
        </w:rPr>
        <w:t>The real advantage lies in those who can combine engineering rigor with sustainability performance tracking — because that’s where most contract evaluations now begin.</w:t>
      </w:r>
    </w:p>
    <w:p w14:paraId="04C8CAA9"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Waste Management and Recycling Firms</w:t>
      </w:r>
      <w:r w:rsidRPr="00764A3C">
        <w:rPr>
          <w:rFonts w:ascii="Times New Roman" w:eastAsia="Times New Roman" w:hAnsi="Times New Roman" w:cs="Times New Roman"/>
          <w:kern w:val="0"/>
          <w:sz w:val="24"/>
          <w:szCs w:val="24"/>
          <w:lang w:eastAsia="en-IN"/>
          <w14:ligatures w14:val="none"/>
        </w:rPr>
        <w:br/>
        <w:t>These players have quietly become indispensable. Once considered peripheral, waste processors and recyclers are now key stakeholders, often integrated directly into contract scopes. Their expertise in material recovery, hazardous waste treatment, and environmental documentation ensures compliance and cost savings. European recyclers, in particular, have refined the process of dismantling and reusing steel from offshore platforms at efficiency levels exceeding 90%.</w:t>
      </w:r>
    </w:p>
    <w:p w14:paraId="26136593"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Regulators and Government Agencies</w:t>
      </w:r>
      <w:r w:rsidRPr="00764A3C">
        <w:rPr>
          <w:rFonts w:ascii="Times New Roman" w:eastAsia="Times New Roman" w:hAnsi="Times New Roman" w:cs="Times New Roman"/>
          <w:kern w:val="0"/>
          <w:sz w:val="24"/>
          <w:szCs w:val="24"/>
          <w:lang w:eastAsia="en-IN"/>
          <w14:ligatures w14:val="none"/>
        </w:rPr>
        <w:br/>
        <w:t>In regions like Europe and North America, regulators have transitioned from passive overseers to active partners. They now participate in cost-sharing arrangements, technology validation, and data transparency. Government-backed databases track every decommissioned asset — from initial removal to final waste certification. This transparency helps build public trust and attract private capital into the sector.</w:t>
      </w:r>
    </w:p>
    <w:p w14:paraId="512C8A60"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Service Integrators and Logistics Providers</w:t>
      </w:r>
      <w:r w:rsidRPr="00764A3C">
        <w:rPr>
          <w:rFonts w:ascii="Times New Roman" w:eastAsia="Times New Roman" w:hAnsi="Times New Roman" w:cs="Times New Roman"/>
          <w:kern w:val="0"/>
          <w:sz w:val="24"/>
          <w:szCs w:val="24"/>
          <w:lang w:eastAsia="en-IN"/>
          <w14:ligatures w14:val="none"/>
        </w:rPr>
        <w:br/>
        <w:t>Marine transport firms, heavy-lift vessel operators, and subsea logistics providers make up the final layer. Their role is to ensure safe and efficient mobilization of equipment, often under extreme conditions. They are increasingly collaborating with EPCs through alliance models to share vessel time, equipment, and digital data to optimize project economics.</w:t>
      </w:r>
    </w:p>
    <w:p w14:paraId="34C553C7"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Use Case Highlight</w:t>
      </w:r>
      <w:r w:rsidRPr="00764A3C">
        <w:rPr>
          <w:rFonts w:ascii="Times New Roman" w:eastAsia="Times New Roman" w:hAnsi="Times New Roman" w:cs="Times New Roman"/>
          <w:kern w:val="0"/>
          <w:sz w:val="24"/>
          <w:szCs w:val="24"/>
          <w:lang w:eastAsia="en-IN"/>
          <w14:ligatures w14:val="none"/>
        </w:rPr>
        <w:br/>
        <w:t xml:space="preserve">A notable example comes from the UK North Sea. An aging fixed jacket platform owned by a mid-sized operator was scheduled for full removal in 2023. Instead of using traditional </w:t>
      </w:r>
      <w:r w:rsidRPr="00764A3C">
        <w:rPr>
          <w:rFonts w:ascii="Times New Roman" w:eastAsia="Times New Roman" w:hAnsi="Times New Roman" w:cs="Times New Roman"/>
          <w:kern w:val="0"/>
          <w:sz w:val="24"/>
          <w:szCs w:val="24"/>
          <w:lang w:eastAsia="en-IN"/>
          <w14:ligatures w14:val="none"/>
        </w:rPr>
        <w:lastRenderedPageBreak/>
        <w:t>multi-phase dismantling, the project adopted a digital twin-driven planning model integrated by an alliance between Petrofac, Subsea 7, and a regional waste recycler. The team simulated every structural cut and lift in a digital environment, identifying redundant steps that reduced vessel time by 18%. Once operations began, autonomous ROVs handled subsea cutting while a single-lift vessel removed the entire topside in one motion. Onshore, 96% of the recovered steel was recycled into new offshore wind foundations.</w:t>
      </w:r>
      <w:r w:rsidRPr="00764A3C">
        <w:rPr>
          <w:rFonts w:ascii="Times New Roman" w:eastAsia="Times New Roman" w:hAnsi="Times New Roman" w:cs="Times New Roman"/>
          <w:kern w:val="0"/>
          <w:sz w:val="24"/>
          <w:szCs w:val="24"/>
          <w:lang w:eastAsia="en-IN"/>
          <w14:ligatures w14:val="none"/>
        </w:rPr>
        <w:br/>
        <w:t>The result? The total cost dropped by nearly 12%, offshore exposure time was cut in half, and the environmental impact report exceeded regulatory benchmarks by a wide margin.</w:t>
      </w:r>
    </w:p>
    <w:p w14:paraId="112BB709"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 xml:space="preserve">This example underscores how the offshore decommissioning market is no longer defined by manual </w:t>
      </w:r>
      <w:proofErr w:type="spellStart"/>
      <w:r w:rsidRPr="00764A3C">
        <w:rPr>
          <w:rFonts w:ascii="Times New Roman" w:eastAsia="Times New Roman" w:hAnsi="Times New Roman" w:cs="Times New Roman"/>
          <w:kern w:val="0"/>
          <w:sz w:val="24"/>
          <w:szCs w:val="24"/>
          <w:lang w:eastAsia="en-IN"/>
          <w14:ligatures w14:val="none"/>
        </w:rPr>
        <w:t>labor</w:t>
      </w:r>
      <w:proofErr w:type="spellEnd"/>
      <w:r w:rsidRPr="00764A3C">
        <w:rPr>
          <w:rFonts w:ascii="Times New Roman" w:eastAsia="Times New Roman" w:hAnsi="Times New Roman" w:cs="Times New Roman"/>
          <w:kern w:val="0"/>
          <w:sz w:val="24"/>
          <w:szCs w:val="24"/>
          <w:lang w:eastAsia="en-IN"/>
          <w14:ligatures w14:val="none"/>
        </w:rPr>
        <w:t xml:space="preserve"> and heavy steel. It’s now an integrated, digitally driven, and sustainability-oriented process that brings multiple stakeholders together under one shared outcome: safe, responsible energy transition.</w:t>
      </w:r>
    </w:p>
    <w:p w14:paraId="57B9AF08" w14:textId="77777777" w:rsidR="00764A3C" w:rsidRPr="00764A3C" w:rsidRDefault="00764A3C" w:rsidP="00764A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64A3C">
        <w:rPr>
          <w:rFonts w:ascii="Times New Roman" w:eastAsia="Times New Roman" w:hAnsi="Times New Roman" w:cs="Times New Roman"/>
          <w:b/>
          <w:bCs/>
          <w:kern w:val="36"/>
          <w:sz w:val="48"/>
          <w:szCs w:val="48"/>
          <w:lang w:eastAsia="en-IN"/>
          <w14:ligatures w14:val="none"/>
        </w:rPr>
        <w:t>7. Recent Developments + Opportunities &amp; Restraints</w:t>
      </w:r>
    </w:p>
    <w:p w14:paraId="097C9EB3" w14:textId="77777777" w:rsidR="00764A3C" w:rsidRPr="00764A3C" w:rsidRDefault="00764A3C" w:rsidP="00764A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4A3C">
        <w:rPr>
          <w:rFonts w:ascii="Times New Roman" w:eastAsia="Times New Roman" w:hAnsi="Times New Roman" w:cs="Times New Roman"/>
          <w:b/>
          <w:bCs/>
          <w:kern w:val="0"/>
          <w:sz w:val="27"/>
          <w:szCs w:val="27"/>
          <w:lang w:eastAsia="en-IN"/>
          <w14:ligatures w14:val="none"/>
        </w:rPr>
        <w:t>Recent Developments (Last 2 Years)</w:t>
      </w:r>
    </w:p>
    <w:p w14:paraId="0CE0F5DF" w14:textId="77777777" w:rsidR="00764A3C" w:rsidRPr="00764A3C" w:rsidRDefault="00764A3C" w:rsidP="00764A3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TechnipFMC</w:t>
      </w:r>
      <w:r w:rsidRPr="00764A3C">
        <w:rPr>
          <w:rFonts w:ascii="Times New Roman" w:eastAsia="Times New Roman" w:hAnsi="Times New Roman" w:cs="Times New Roman"/>
          <w:kern w:val="0"/>
          <w:sz w:val="24"/>
          <w:szCs w:val="24"/>
          <w:lang w:eastAsia="en-IN"/>
          <w14:ligatures w14:val="none"/>
        </w:rPr>
        <w:t xml:space="preserve"> partnered with </w:t>
      </w:r>
      <w:r w:rsidRPr="00764A3C">
        <w:rPr>
          <w:rFonts w:ascii="Times New Roman" w:eastAsia="Times New Roman" w:hAnsi="Times New Roman" w:cs="Times New Roman"/>
          <w:b/>
          <w:bCs/>
          <w:kern w:val="0"/>
          <w:sz w:val="24"/>
          <w:szCs w:val="24"/>
          <w:lang w:eastAsia="en-IN"/>
          <w14:ligatures w14:val="none"/>
        </w:rPr>
        <w:t>Harbour Energy</w:t>
      </w:r>
      <w:r w:rsidRPr="00764A3C">
        <w:rPr>
          <w:rFonts w:ascii="Times New Roman" w:eastAsia="Times New Roman" w:hAnsi="Times New Roman" w:cs="Times New Roman"/>
          <w:kern w:val="0"/>
          <w:sz w:val="24"/>
          <w:szCs w:val="24"/>
          <w:lang w:eastAsia="en-IN"/>
          <w14:ligatures w14:val="none"/>
        </w:rPr>
        <w:t xml:space="preserve"> in 2024 to execute a multi-field subsea decommissioning project in the UK Continental Shelf. The collaboration introduced AI-powered inspection systems to streamline well plugging and structural disconnection.</w:t>
      </w:r>
    </w:p>
    <w:p w14:paraId="2D45325F" w14:textId="77777777" w:rsidR="00764A3C" w:rsidRPr="00764A3C" w:rsidRDefault="00764A3C" w:rsidP="00764A3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Subsea 7</w:t>
      </w:r>
      <w:r w:rsidRPr="00764A3C">
        <w:rPr>
          <w:rFonts w:ascii="Times New Roman" w:eastAsia="Times New Roman" w:hAnsi="Times New Roman" w:cs="Times New Roman"/>
          <w:kern w:val="0"/>
          <w:sz w:val="24"/>
          <w:szCs w:val="24"/>
          <w:lang w:eastAsia="en-IN"/>
          <w14:ligatures w14:val="none"/>
        </w:rPr>
        <w:t xml:space="preserve"> announced a 2023 contract with </w:t>
      </w:r>
      <w:r w:rsidRPr="00764A3C">
        <w:rPr>
          <w:rFonts w:ascii="Times New Roman" w:eastAsia="Times New Roman" w:hAnsi="Times New Roman" w:cs="Times New Roman"/>
          <w:b/>
          <w:bCs/>
          <w:kern w:val="0"/>
          <w:sz w:val="24"/>
          <w:szCs w:val="24"/>
          <w:lang w:eastAsia="en-IN"/>
          <w14:ligatures w14:val="none"/>
        </w:rPr>
        <w:t>Petronas</w:t>
      </w:r>
      <w:r w:rsidRPr="00764A3C">
        <w:rPr>
          <w:rFonts w:ascii="Times New Roman" w:eastAsia="Times New Roman" w:hAnsi="Times New Roman" w:cs="Times New Roman"/>
          <w:kern w:val="0"/>
          <w:sz w:val="24"/>
          <w:szCs w:val="24"/>
          <w:lang w:eastAsia="en-IN"/>
          <w14:ligatures w14:val="none"/>
        </w:rPr>
        <w:t xml:space="preserve"> in Malaysia for a cluster of shallow-water platform removals. The project marked one of Southeast Asia’s first large-scale decommissioning campaigns under a sustainability-certified process.</w:t>
      </w:r>
    </w:p>
    <w:p w14:paraId="52AA2F7E" w14:textId="77777777" w:rsidR="00764A3C" w:rsidRPr="00764A3C" w:rsidRDefault="00764A3C" w:rsidP="00764A3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64A3C">
        <w:rPr>
          <w:rFonts w:ascii="Times New Roman" w:eastAsia="Times New Roman" w:hAnsi="Times New Roman" w:cs="Times New Roman"/>
          <w:b/>
          <w:bCs/>
          <w:kern w:val="0"/>
          <w:sz w:val="24"/>
          <w:szCs w:val="24"/>
          <w:lang w:eastAsia="en-IN"/>
          <w14:ligatures w14:val="none"/>
        </w:rPr>
        <w:t>Allseas</w:t>
      </w:r>
      <w:proofErr w:type="spellEnd"/>
      <w:r w:rsidRPr="00764A3C">
        <w:rPr>
          <w:rFonts w:ascii="Times New Roman" w:eastAsia="Times New Roman" w:hAnsi="Times New Roman" w:cs="Times New Roman"/>
          <w:kern w:val="0"/>
          <w:sz w:val="24"/>
          <w:szCs w:val="24"/>
          <w:lang w:eastAsia="en-IN"/>
          <w14:ligatures w14:val="none"/>
        </w:rPr>
        <w:t xml:space="preserve"> expanded its heavy-lift fleet in 2024, introducing a new vessel designed for simultaneous jacket and topside removal — reducing offshore exposure time by up to 30%.</w:t>
      </w:r>
    </w:p>
    <w:p w14:paraId="65ECCB77" w14:textId="77777777" w:rsidR="00764A3C" w:rsidRPr="00764A3C" w:rsidRDefault="00764A3C" w:rsidP="00764A3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Saipem</w:t>
      </w:r>
      <w:r w:rsidRPr="00764A3C">
        <w:rPr>
          <w:rFonts w:ascii="Times New Roman" w:eastAsia="Times New Roman" w:hAnsi="Times New Roman" w:cs="Times New Roman"/>
          <w:kern w:val="0"/>
          <w:sz w:val="24"/>
          <w:szCs w:val="24"/>
          <w:lang w:eastAsia="en-IN"/>
          <w14:ligatures w14:val="none"/>
        </w:rPr>
        <w:t xml:space="preserve"> launched a digital “</w:t>
      </w:r>
      <w:proofErr w:type="spellStart"/>
      <w:r w:rsidRPr="00764A3C">
        <w:rPr>
          <w:rFonts w:ascii="Times New Roman" w:eastAsia="Times New Roman" w:hAnsi="Times New Roman" w:cs="Times New Roman"/>
          <w:kern w:val="0"/>
          <w:sz w:val="24"/>
          <w:szCs w:val="24"/>
          <w:lang w:eastAsia="en-IN"/>
          <w14:ligatures w14:val="none"/>
        </w:rPr>
        <w:t>DecomX</w:t>
      </w:r>
      <w:proofErr w:type="spellEnd"/>
      <w:r w:rsidRPr="00764A3C">
        <w:rPr>
          <w:rFonts w:ascii="Times New Roman" w:eastAsia="Times New Roman" w:hAnsi="Times New Roman" w:cs="Times New Roman"/>
          <w:kern w:val="0"/>
          <w:sz w:val="24"/>
          <w:szCs w:val="24"/>
          <w:lang w:eastAsia="en-IN"/>
          <w14:ligatures w14:val="none"/>
        </w:rPr>
        <w:t>” platform in 2023 to integrate project data, waste tracking, and emissions monitoring under a unified dashboard. The system is being tested in the Mediterranean Sea for pilot projects.</w:t>
      </w:r>
    </w:p>
    <w:p w14:paraId="48467423" w14:textId="77777777" w:rsidR="00764A3C" w:rsidRPr="00764A3C" w:rsidRDefault="00764A3C" w:rsidP="00764A3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Petrofac</w:t>
      </w:r>
      <w:r w:rsidRPr="00764A3C">
        <w:rPr>
          <w:rFonts w:ascii="Times New Roman" w:eastAsia="Times New Roman" w:hAnsi="Times New Roman" w:cs="Times New Roman"/>
          <w:kern w:val="0"/>
          <w:sz w:val="24"/>
          <w:szCs w:val="24"/>
          <w:lang w:eastAsia="en-IN"/>
          <w14:ligatures w14:val="none"/>
        </w:rPr>
        <w:t xml:space="preserve"> signed a 5-year framework agreement with </w:t>
      </w:r>
      <w:r w:rsidRPr="00764A3C">
        <w:rPr>
          <w:rFonts w:ascii="Times New Roman" w:eastAsia="Times New Roman" w:hAnsi="Times New Roman" w:cs="Times New Roman"/>
          <w:b/>
          <w:bCs/>
          <w:kern w:val="0"/>
          <w:sz w:val="24"/>
          <w:szCs w:val="24"/>
          <w:lang w:eastAsia="en-IN"/>
          <w14:ligatures w14:val="none"/>
        </w:rPr>
        <w:t>Shell UK</w:t>
      </w:r>
      <w:r w:rsidRPr="00764A3C">
        <w:rPr>
          <w:rFonts w:ascii="Times New Roman" w:eastAsia="Times New Roman" w:hAnsi="Times New Roman" w:cs="Times New Roman"/>
          <w:kern w:val="0"/>
          <w:sz w:val="24"/>
          <w:szCs w:val="24"/>
          <w:lang w:eastAsia="en-IN"/>
          <w14:ligatures w14:val="none"/>
        </w:rPr>
        <w:t xml:space="preserve"> in 2024, covering integrated well plugging, decommissioning engineering, and waste recycling across the North Sea.</w:t>
      </w:r>
    </w:p>
    <w:p w14:paraId="51E24FBC" w14:textId="77777777" w:rsidR="00764A3C" w:rsidRPr="00764A3C" w:rsidRDefault="00764A3C" w:rsidP="00764A3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Oceaneering International</w:t>
      </w:r>
      <w:r w:rsidRPr="00764A3C">
        <w:rPr>
          <w:rFonts w:ascii="Times New Roman" w:eastAsia="Times New Roman" w:hAnsi="Times New Roman" w:cs="Times New Roman"/>
          <w:kern w:val="0"/>
          <w:sz w:val="24"/>
          <w:szCs w:val="24"/>
          <w:lang w:eastAsia="en-IN"/>
          <w14:ligatures w14:val="none"/>
        </w:rPr>
        <w:t xml:space="preserve"> deployed its autonomous ROV fleet in the Gulf of Mexico in late 2023, capable of performing simultaneous inspection and cutting tasks, marking a step forward in subsea autonomy.</w:t>
      </w:r>
    </w:p>
    <w:p w14:paraId="7219C426" w14:textId="77777777" w:rsidR="00764A3C" w:rsidRPr="00764A3C" w:rsidRDefault="00764A3C" w:rsidP="00764A3C">
      <w:pPr>
        <w:spacing w:after="0"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pict w14:anchorId="6DAFB056">
          <v:rect id="_x0000_i1031" style="width:0;height:1.5pt" o:hralign="center" o:hrstd="t" o:hr="t" fillcolor="#a0a0a0" stroked="f"/>
        </w:pict>
      </w:r>
    </w:p>
    <w:p w14:paraId="6186D260" w14:textId="77777777" w:rsidR="00764A3C" w:rsidRPr="00764A3C" w:rsidRDefault="00764A3C" w:rsidP="00764A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4A3C">
        <w:rPr>
          <w:rFonts w:ascii="Times New Roman" w:eastAsia="Times New Roman" w:hAnsi="Times New Roman" w:cs="Times New Roman"/>
          <w:b/>
          <w:bCs/>
          <w:kern w:val="0"/>
          <w:sz w:val="27"/>
          <w:szCs w:val="27"/>
          <w:lang w:eastAsia="en-IN"/>
          <w14:ligatures w14:val="none"/>
        </w:rPr>
        <w:t>Opportunities</w:t>
      </w:r>
    </w:p>
    <w:p w14:paraId="0C418E5C" w14:textId="77777777" w:rsidR="00764A3C" w:rsidRPr="00764A3C" w:rsidRDefault="00764A3C" w:rsidP="00764A3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Energy Transition Alignment</w:t>
      </w:r>
      <w:r w:rsidRPr="00764A3C">
        <w:rPr>
          <w:rFonts w:ascii="Times New Roman" w:eastAsia="Times New Roman" w:hAnsi="Times New Roman" w:cs="Times New Roman"/>
          <w:kern w:val="0"/>
          <w:sz w:val="24"/>
          <w:szCs w:val="24"/>
          <w:lang w:eastAsia="en-IN"/>
          <w14:ligatures w14:val="none"/>
        </w:rPr>
        <w:t xml:space="preserve"> – Offshore decommissioning is emerging as a visible component of the global energy transition, where retired platforms can be repurposed as artificial reefs or foundations for offshore wind installations.</w:t>
      </w:r>
    </w:p>
    <w:p w14:paraId="49FF1EF6" w14:textId="77777777" w:rsidR="00764A3C" w:rsidRPr="00764A3C" w:rsidRDefault="00764A3C" w:rsidP="00764A3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lastRenderedPageBreak/>
        <w:t>Asia-Pacific Expansion</w:t>
      </w:r>
      <w:r w:rsidRPr="00764A3C">
        <w:rPr>
          <w:rFonts w:ascii="Times New Roman" w:eastAsia="Times New Roman" w:hAnsi="Times New Roman" w:cs="Times New Roman"/>
          <w:kern w:val="0"/>
          <w:sz w:val="24"/>
          <w:szCs w:val="24"/>
          <w:lang w:eastAsia="en-IN"/>
          <w14:ligatures w14:val="none"/>
        </w:rPr>
        <w:t xml:space="preserve"> – Governments in Malaysia, Indonesia, and Australia are mandating structured decommissioning programs, creating fresh demand for contractors and service providers with integrated capabilities.</w:t>
      </w:r>
    </w:p>
    <w:p w14:paraId="5B539E67" w14:textId="77777777" w:rsidR="00764A3C" w:rsidRPr="00764A3C" w:rsidRDefault="00764A3C" w:rsidP="00764A3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Technology Convergence</w:t>
      </w:r>
      <w:r w:rsidRPr="00764A3C">
        <w:rPr>
          <w:rFonts w:ascii="Times New Roman" w:eastAsia="Times New Roman" w:hAnsi="Times New Roman" w:cs="Times New Roman"/>
          <w:kern w:val="0"/>
          <w:sz w:val="24"/>
          <w:szCs w:val="24"/>
          <w:lang w:eastAsia="en-IN"/>
          <w14:ligatures w14:val="none"/>
        </w:rPr>
        <w:t xml:space="preserve"> – AI-driven inspection, digital twin </w:t>
      </w:r>
      <w:proofErr w:type="spellStart"/>
      <w:r w:rsidRPr="00764A3C">
        <w:rPr>
          <w:rFonts w:ascii="Times New Roman" w:eastAsia="Times New Roman" w:hAnsi="Times New Roman" w:cs="Times New Roman"/>
          <w:kern w:val="0"/>
          <w:sz w:val="24"/>
          <w:szCs w:val="24"/>
          <w:lang w:eastAsia="en-IN"/>
          <w14:ligatures w14:val="none"/>
        </w:rPr>
        <w:t>modeling</w:t>
      </w:r>
      <w:proofErr w:type="spellEnd"/>
      <w:r w:rsidRPr="00764A3C">
        <w:rPr>
          <w:rFonts w:ascii="Times New Roman" w:eastAsia="Times New Roman" w:hAnsi="Times New Roman" w:cs="Times New Roman"/>
          <w:kern w:val="0"/>
          <w:sz w:val="24"/>
          <w:szCs w:val="24"/>
          <w:lang w:eastAsia="en-IN"/>
          <w14:ligatures w14:val="none"/>
        </w:rPr>
        <w:t>, and robotic interventions are cutting project timelines and increasing transparency, helping operators manage costs while maintaining environmental compliance.</w:t>
      </w:r>
    </w:p>
    <w:p w14:paraId="31F0C9DC" w14:textId="77777777" w:rsidR="00764A3C" w:rsidRPr="00764A3C" w:rsidRDefault="00764A3C" w:rsidP="00764A3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Circular Decommissioning</w:t>
      </w:r>
      <w:r w:rsidRPr="00764A3C">
        <w:rPr>
          <w:rFonts w:ascii="Times New Roman" w:eastAsia="Times New Roman" w:hAnsi="Times New Roman" w:cs="Times New Roman"/>
          <w:kern w:val="0"/>
          <w:sz w:val="24"/>
          <w:szCs w:val="24"/>
          <w:lang w:eastAsia="en-IN"/>
          <w14:ligatures w14:val="none"/>
        </w:rPr>
        <w:t xml:space="preserve"> – Rising emphasis on material recovery and recycling is opening new revenue channels, particularly in Europe, where recovered steel and subsea materials are reintroduced into construction and energy sectors.</w:t>
      </w:r>
    </w:p>
    <w:p w14:paraId="7D7CBABC" w14:textId="77777777" w:rsidR="00764A3C" w:rsidRPr="00764A3C" w:rsidRDefault="00764A3C" w:rsidP="00764A3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Collaborative Contracting</w:t>
      </w:r>
      <w:r w:rsidRPr="00764A3C">
        <w:rPr>
          <w:rFonts w:ascii="Times New Roman" w:eastAsia="Times New Roman" w:hAnsi="Times New Roman" w:cs="Times New Roman"/>
          <w:kern w:val="0"/>
          <w:sz w:val="24"/>
          <w:szCs w:val="24"/>
          <w:lang w:eastAsia="en-IN"/>
          <w14:ligatures w14:val="none"/>
        </w:rPr>
        <w:t xml:space="preserve"> – The shift toward partnership-based frameworks (Decom Alliances) is allowing smaller firms to participate in larger projects while distributing risk and equipment costs.</w:t>
      </w:r>
    </w:p>
    <w:p w14:paraId="3514B8E1" w14:textId="77777777" w:rsidR="00764A3C" w:rsidRPr="00764A3C" w:rsidRDefault="00764A3C" w:rsidP="00764A3C">
      <w:pPr>
        <w:spacing w:after="0"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pict w14:anchorId="080CBC38">
          <v:rect id="_x0000_i1032" style="width:0;height:1.5pt" o:hralign="center" o:hrstd="t" o:hr="t" fillcolor="#a0a0a0" stroked="f"/>
        </w:pict>
      </w:r>
    </w:p>
    <w:p w14:paraId="77056FDE" w14:textId="77777777" w:rsidR="00764A3C" w:rsidRPr="00764A3C" w:rsidRDefault="00764A3C" w:rsidP="00764A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4A3C">
        <w:rPr>
          <w:rFonts w:ascii="Times New Roman" w:eastAsia="Times New Roman" w:hAnsi="Times New Roman" w:cs="Times New Roman"/>
          <w:b/>
          <w:bCs/>
          <w:kern w:val="0"/>
          <w:sz w:val="27"/>
          <w:szCs w:val="27"/>
          <w:lang w:eastAsia="en-IN"/>
          <w14:ligatures w14:val="none"/>
        </w:rPr>
        <w:t>Restraints</w:t>
      </w:r>
    </w:p>
    <w:p w14:paraId="26A19993" w14:textId="77777777" w:rsidR="00764A3C" w:rsidRPr="00764A3C" w:rsidRDefault="00764A3C" w:rsidP="00764A3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High Capital and Operational Costs</w:t>
      </w:r>
      <w:r w:rsidRPr="00764A3C">
        <w:rPr>
          <w:rFonts w:ascii="Times New Roman" w:eastAsia="Times New Roman" w:hAnsi="Times New Roman" w:cs="Times New Roman"/>
          <w:kern w:val="0"/>
          <w:sz w:val="24"/>
          <w:szCs w:val="24"/>
          <w:lang w:eastAsia="en-IN"/>
          <w14:ligatures w14:val="none"/>
        </w:rPr>
        <w:t xml:space="preserve"> – Offshore removals require heavy-lift vessels, specialized ROVs, and logistics coordination that can drive total project costs into hundreds of millions of dollars, limiting participation from smaller operators.</w:t>
      </w:r>
    </w:p>
    <w:p w14:paraId="208D750B" w14:textId="77777777" w:rsidR="00764A3C" w:rsidRPr="00764A3C" w:rsidRDefault="00764A3C" w:rsidP="00764A3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Regulatory Complexity and Delays</w:t>
      </w:r>
      <w:r w:rsidRPr="00764A3C">
        <w:rPr>
          <w:rFonts w:ascii="Times New Roman" w:eastAsia="Times New Roman" w:hAnsi="Times New Roman" w:cs="Times New Roman"/>
          <w:kern w:val="0"/>
          <w:sz w:val="24"/>
          <w:szCs w:val="24"/>
          <w:lang w:eastAsia="en-IN"/>
          <w14:ligatures w14:val="none"/>
        </w:rPr>
        <w:t xml:space="preserve"> – In regions like Asia-Pacific and Africa, inconsistent regulatory frameworks often slow project approvals, increasing idle asset liability.</w:t>
      </w:r>
    </w:p>
    <w:p w14:paraId="6DCFFC43" w14:textId="77777777" w:rsidR="00764A3C" w:rsidRPr="00764A3C" w:rsidRDefault="00764A3C" w:rsidP="00764A3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Workforce and Skills Gap</w:t>
      </w:r>
      <w:r w:rsidRPr="00764A3C">
        <w:rPr>
          <w:rFonts w:ascii="Times New Roman" w:eastAsia="Times New Roman" w:hAnsi="Times New Roman" w:cs="Times New Roman"/>
          <w:kern w:val="0"/>
          <w:sz w:val="24"/>
          <w:szCs w:val="24"/>
          <w:lang w:eastAsia="en-IN"/>
          <w14:ligatures w14:val="none"/>
        </w:rPr>
        <w:t xml:space="preserve"> – The shortage of trained subsea engineers and environmental specialists continues to delay execution timelines and inflate costs.</w:t>
      </w:r>
    </w:p>
    <w:p w14:paraId="5F0D8B4D" w14:textId="77777777" w:rsidR="00764A3C" w:rsidRPr="00764A3C" w:rsidRDefault="00764A3C" w:rsidP="00764A3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Market Volatility</w:t>
      </w:r>
      <w:r w:rsidRPr="00764A3C">
        <w:rPr>
          <w:rFonts w:ascii="Times New Roman" w:eastAsia="Times New Roman" w:hAnsi="Times New Roman" w:cs="Times New Roman"/>
          <w:kern w:val="0"/>
          <w:sz w:val="24"/>
          <w:szCs w:val="24"/>
          <w:lang w:eastAsia="en-IN"/>
          <w14:ligatures w14:val="none"/>
        </w:rPr>
        <w:t xml:space="preserve"> – High oil prices tend to push operators to defer decommissioning, creating irregular contract flow and underutilization of equipment.</w:t>
      </w:r>
    </w:p>
    <w:p w14:paraId="40331E56" w14:textId="77777777" w:rsidR="00764A3C" w:rsidRDefault="00764A3C">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3FBD6C3E" w14:textId="4E843005" w:rsidR="00764A3C" w:rsidRPr="00764A3C" w:rsidRDefault="00764A3C" w:rsidP="00764A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64A3C">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764A3C" w:rsidRPr="00764A3C" w14:paraId="0D179C99" w14:textId="77777777" w:rsidTr="00764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0EE5858" w14:textId="77777777" w:rsidR="00764A3C" w:rsidRPr="00764A3C" w:rsidRDefault="00764A3C" w:rsidP="00764A3C">
            <w:pPr>
              <w:jc w:val="center"/>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Report Attribute</w:t>
            </w:r>
          </w:p>
        </w:tc>
        <w:tc>
          <w:tcPr>
            <w:tcW w:w="5961" w:type="dxa"/>
            <w:hideMark/>
          </w:tcPr>
          <w:p w14:paraId="32C00F4C" w14:textId="77777777" w:rsidR="00764A3C" w:rsidRPr="00764A3C" w:rsidRDefault="00764A3C" w:rsidP="00764A3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Details</w:t>
            </w:r>
          </w:p>
        </w:tc>
      </w:tr>
      <w:tr w:rsidR="00764A3C" w:rsidRPr="00764A3C" w14:paraId="0247801E" w14:textId="77777777" w:rsidTr="00764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DDF3FB8" w14:textId="77777777" w:rsidR="00764A3C" w:rsidRPr="00764A3C" w:rsidRDefault="00764A3C" w:rsidP="00764A3C">
            <w:pPr>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Forecast Period</w:t>
            </w:r>
          </w:p>
        </w:tc>
        <w:tc>
          <w:tcPr>
            <w:tcW w:w="5961" w:type="dxa"/>
            <w:hideMark/>
          </w:tcPr>
          <w:p w14:paraId="589C6124" w14:textId="77777777" w:rsidR="00764A3C" w:rsidRPr="00764A3C" w:rsidRDefault="00764A3C" w:rsidP="00764A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2024 – 2030</w:t>
            </w:r>
          </w:p>
        </w:tc>
      </w:tr>
      <w:tr w:rsidR="00764A3C" w:rsidRPr="00764A3C" w14:paraId="19C4E18B" w14:textId="77777777" w:rsidTr="00764A3C">
        <w:tc>
          <w:tcPr>
            <w:cnfStyle w:val="001000000000" w:firstRow="0" w:lastRow="0" w:firstColumn="1" w:lastColumn="0" w:oddVBand="0" w:evenVBand="0" w:oddHBand="0" w:evenHBand="0" w:firstRowFirstColumn="0" w:firstRowLastColumn="0" w:lastRowFirstColumn="0" w:lastRowLastColumn="0"/>
            <w:tcW w:w="3055" w:type="dxa"/>
            <w:hideMark/>
          </w:tcPr>
          <w:p w14:paraId="0C0AB0CE" w14:textId="77777777" w:rsidR="00764A3C" w:rsidRPr="00764A3C" w:rsidRDefault="00764A3C" w:rsidP="00764A3C">
            <w:pPr>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112D8145" w14:textId="77777777" w:rsidR="00764A3C" w:rsidRPr="00764A3C" w:rsidRDefault="00764A3C" w:rsidP="00764A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USD 7.8 Billion</w:t>
            </w:r>
          </w:p>
        </w:tc>
      </w:tr>
      <w:tr w:rsidR="00764A3C" w:rsidRPr="00764A3C" w14:paraId="3D018C4E" w14:textId="77777777" w:rsidTr="00764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10D3F8A" w14:textId="77777777" w:rsidR="00764A3C" w:rsidRPr="00764A3C" w:rsidRDefault="00764A3C" w:rsidP="00764A3C">
            <w:pPr>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644B6F81" w14:textId="77777777" w:rsidR="00764A3C" w:rsidRPr="00764A3C" w:rsidRDefault="00764A3C" w:rsidP="00764A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USD 11.2 Billion</w:t>
            </w:r>
          </w:p>
        </w:tc>
      </w:tr>
      <w:tr w:rsidR="00764A3C" w:rsidRPr="00764A3C" w14:paraId="55B6EDD4" w14:textId="77777777" w:rsidTr="00764A3C">
        <w:tc>
          <w:tcPr>
            <w:cnfStyle w:val="001000000000" w:firstRow="0" w:lastRow="0" w:firstColumn="1" w:lastColumn="0" w:oddVBand="0" w:evenVBand="0" w:oddHBand="0" w:evenHBand="0" w:firstRowFirstColumn="0" w:firstRowLastColumn="0" w:lastRowFirstColumn="0" w:lastRowLastColumn="0"/>
            <w:tcW w:w="3055" w:type="dxa"/>
            <w:hideMark/>
          </w:tcPr>
          <w:p w14:paraId="7F7065CC" w14:textId="77777777" w:rsidR="00764A3C" w:rsidRPr="00764A3C" w:rsidRDefault="00764A3C" w:rsidP="00764A3C">
            <w:pPr>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15FE3EAB" w14:textId="77777777" w:rsidR="00764A3C" w:rsidRPr="00764A3C" w:rsidRDefault="00764A3C" w:rsidP="00764A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CAGR of 6.1% (2024 – 2030)</w:t>
            </w:r>
          </w:p>
        </w:tc>
      </w:tr>
      <w:tr w:rsidR="00764A3C" w:rsidRPr="00764A3C" w14:paraId="5C569A55" w14:textId="77777777" w:rsidTr="00764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5CEB155" w14:textId="77777777" w:rsidR="00764A3C" w:rsidRPr="00764A3C" w:rsidRDefault="00764A3C" w:rsidP="00764A3C">
            <w:pPr>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4576097B" w14:textId="77777777" w:rsidR="00764A3C" w:rsidRPr="00764A3C" w:rsidRDefault="00764A3C" w:rsidP="00764A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2024</w:t>
            </w:r>
          </w:p>
        </w:tc>
      </w:tr>
      <w:tr w:rsidR="00764A3C" w:rsidRPr="00764A3C" w14:paraId="63DA41E4" w14:textId="77777777" w:rsidTr="00764A3C">
        <w:tc>
          <w:tcPr>
            <w:cnfStyle w:val="001000000000" w:firstRow="0" w:lastRow="0" w:firstColumn="1" w:lastColumn="0" w:oddVBand="0" w:evenVBand="0" w:oddHBand="0" w:evenHBand="0" w:firstRowFirstColumn="0" w:firstRowLastColumn="0" w:lastRowFirstColumn="0" w:lastRowLastColumn="0"/>
            <w:tcW w:w="3055" w:type="dxa"/>
            <w:hideMark/>
          </w:tcPr>
          <w:p w14:paraId="016BA93E" w14:textId="77777777" w:rsidR="00764A3C" w:rsidRPr="00764A3C" w:rsidRDefault="00764A3C" w:rsidP="00764A3C">
            <w:pPr>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Historical Data</w:t>
            </w:r>
          </w:p>
        </w:tc>
        <w:tc>
          <w:tcPr>
            <w:tcW w:w="5961" w:type="dxa"/>
            <w:hideMark/>
          </w:tcPr>
          <w:p w14:paraId="1A485464" w14:textId="77777777" w:rsidR="00764A3C" w:rsidRPr="00764A3C" w:rsidRDefault="00764A3C" w:rsidP="00764A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2019 – 2023</w:t>
            </w:r>
          </w:p>
        </w:tc>
      </w:tr>
      <w:tr w:rsidR="00764A3C" w:rsidRPr="00764A3C" w14:paraId="27F52307" w14:textId="77777777" w:rsidTr="00764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71EAAB2" w14:textId="77777777" w:rsidR="00764A3C" w:rsidRPr="00764A3C" w:rsidRDefault="00764A3C" w:rsidP="00764A3C">
            <w:pPr>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Unit</w:t>
            </w:r>
          </w:p>
        </w:tc>
        <w:tc>
          <w:tcPr>
            <w:tcW w:w="5961" w:type="dxa"/>
            <w:hideMark/>
          </w:tcPr>
          <w:p w14:paraId="7E874F2B" w14:textId="77777777" w:rsidR="00764A3C" w:rsidRPr="00764A3C" w:rsidRDefault="00764A3C" w:rsidP="00764A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USD Million, CAGR (2024 – 2030)</w:t>
            </w:r>
          </w:p>
        </w:tc>
      </w:tr>
      <w:tr w:rsidR="00764A3C" w:rsidRPr="00764A3C" w14:paraId="7FC3B0BF" w14:textId="77777777" w:rsidTr="00764A3C">
        <w:tc>
          <w:tcPr>
            <w:cnfStyle w:val="001000000000" w:firstRow="0" w:lastRow="0" w:firstColumn="1" w:lastColumn="0" w:oddVBand="0" w:evenVBand="0" w:oddHBand="0" w:evenHBand="0" w:firstRowFirstColumn="0" w:firstRowLastColumn="0" w:lastRowFirstColumn="0" w:lastRowLastColumn="0"/>
            <w:tcW w:w="3055" w:type="dxa"/>
            <w:hideMark/>
          </w:tcPr>
          <w:p w14:paraId="024D8782" w14:textId="77777777" w:rsidR="00764A3C" w:rsidRPr="00764A3C" w:rsidRDefault="00764A3C" w:rsidP="00764A3C">
            <w:pPr>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Segmentation</w:t>
            </w:r>
          </w:p>
        </w:tc>
        <w:tc>
          <w:tcPr>
            <w:tcW w:w="5961" w:type="dxa"/>
            <w:hideMark/>
          </w:tcPr>
          <w:p w14:paraId="73543009" w14:textId="77777777" w:rsidR="00764A3C" w:rsidRPr="00764A3C" w:rsidRDefault="00764A3C" w:rsidP="00764A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By Service Type, By Structure Type, By Depth, By Region</w:t>
            </w:r>
          </w:p>
        </w:tc>
      </w:tr>
      <w:tr w:rsidR="00764A3C" w:rsidRPr="00764A3C" w14:paraId="03362C5C" w14:textId="77777777" w:rsidTr="00764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1607A50" w14:textId="77777777" w:rsidR="00764A3C" w:rsidRPr="00764A3C" w:rsidRDefault="00764A3C" w:rsidP="00764A3C">
            <w:pPr>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By Service Type</w:t>
            </w:r>
          </w:p>
        </w:tc>
        <w:tc>
          <w:tcPr>
            <w:tcW w:w="5961" w:type="dxa"/>
            <w:hideMark/>
          </w:tcPr>
          <w:p w14:paraId="3D410A55" w14:textId="77777777" w:rsidR="00764A3C" w:rsidRPr="00764A3C" w:rsidRDefault="00764A3C" w:rsidP="00764A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Well Plugging &amp; Abandonment, Platform Removal, Pipeline &amp; Subsea Infrastructure Removal, Waste Management, Site Clearance</w:t>
            </w:r>
          </w:p>
        </w:tc>
      </w:tr>
      <w:tr w:rsidR="00764A3C" w:rsidRPr="00764A3C" w14:paraId="02047CBF" w14:textId="77777777" w:rsidTr="00764A3C">
        <w:tc>
          <w:tcPr>
            <w:cnfStyle w:val="001000000000" w:firstRow="0" w:lastRow="0" w:firstColumn="1" w:lastColumn="0" w:oddVBand="0" w:evenVBand="0" w:oddHBand="0" w:evenHBand="0" w:firstRowFirstColumn="0" w:firstRowLastColumn="0" w:lastRowFirstColumn="0" w:lastRowLastColumn="0"/>
            <w:tcW w:w="3055" w:type="dxa"/>
            <w:hideMark/>
          </w:tcPr>
          <w:p w14:paraId="505071DB" w14:textId="77777777" w:rsidR="00764A3C" w:rsidRPr="00764A3C" w:rsidRDefault="00764A3C" w:rsidP="00764A3C">
            <w:pPr>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By Structure Type</w:t>
            </w:r>
          </w:p>
        </w:tc>
        <w:tc>
          <w:tcPr>
            <w:tcW w:w="5961" w:type="dxa"/>
            <w:hideMark/>
          </w:tcPr>
          <w:p w14:paraId="392CAD63" w14:textId="77777777" w:rsidR="00764A3C" w:rsidRPr="00764A3C" w:rsidRDefault="00764A3C" w:rsidP="00764A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Fixed Platforms, Floating Production Systems, Subsea Templates &amp; Manifolds</w:t>
            </w:r>
          </w:p>
        </w:tc>
      </w:tr>
      <w:tr w:rsidR="00764A3C" w:rsidRPr="00764A3C" w14:paraId="41F07DFA" w14:textId="77777777" w:rsidTr="00764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01324D55" w14:textId="77777777" w:rsidR="00764A3C" w:rsidRPr="00764A3C" w:rsidRDefault="00764A3C" w:rsidP="00764A3C">
            <w:pPr>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By Depth</w:t>
            </w:r>
          </w:p>
        </w:tc>
        <w:tc>
          <w:tcPr>
            <w:tcW w:w="5961" w:type="dxa"/>
            <w:hideMark/>
          </w:tcPr>
          <w:p w14:paraId="01CD743A" w14:textId="77777777" w:rsidR="00764A3C" w:rsidRPr="00764A3C" w:rsidRDefault="00764A3C" w:rsidP="00764A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Shallow Water, Deep Water</w:t>
            </w:r>
          </w:p>
        </w:tc>
      </w:tr>
      <w:tr w:rsidR="00764A3C" w:rsidRPr="00764A3C" w14:paraId="57D36D66" w14:textId="77777777" w:rsidTr="00764A3C">
        <w:tc>
          <w:tcPr>
            <w:cnfStyle w:val="001000000000" w:firstRow="0" w:lastRow="0" w:firstColumn="1" w:lastColumn="0" w:oddVBand="0" w:evenVBand="0" w:oddHBand="0" w:evenHBand="0" w:firstRowFirstColumn="0" w:firstRowLastColumn="0" w:lastRowFirstColumn="0" w:lastRowLastColumn="0"/>
            <w:tcW w:w="3055" w:type="dxa"/>
            <w:hideMark/>
          </w:tcPr>
          <w:p w14:paraId="421DAD48" w14:textId="77777777" w:rsidR="00764A3C" w:rsidRPr="00764A3C" w:rsidRDefault="00764A3C" w:rsidP="00764A3C">
            <w:pPr>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By Region</w:t>
            </w:r>
          </w:p>
        </w:tc>
        <w:tc>
          <w:tcPr>
            <w:tcW w:w="5961" w:type="dxa"/>
            <w:hideMark/>
          </w:tcPr>
          <w:p w14:paraId="078D6E77" w14:textId="77777777" w:rsidR="00764A3C" w:rsidRPr="00764A3C" w:rsidRDefault="00764A3C" w:rsidP="00764A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764A3C" w:rsidRPr="00764A3C" w14:paraId="399EBE4C" w14:textId="77777777" w:rsidTr="00764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518B54C" w14:textId="77777777" w:rsidR="00764A3C" w:rsidRPr="00764A3C" w:rsidRDefault="00764A3C" w:rsidP="00764A3C">
            <w:pPr>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Country Scope</w:t>
            </w:r>
          </w:p>
        </w:tc>
        <w:tc>
          <w:tcPr>
            <w:tcW w:w="5961" w:type="dxa"/>
            <w:hideMark/>
          </w:tcPr>
          <w:p w14:paraId="7FF01D3E" w14:textId="77777777" w:rsidR="00764A3C" w:rsidRPr="00764A3C" w:rsidRDefault="00764A3C" w:rsidP="00764A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U.S., UK, Norway, Netherlands, Malaysia, Australia, Brazil, Mexico, Nigeria, Saudi Arabia</w:t>
            </w:r>
          </w:p>
        </w:tc>
      </w:tr>
      <w:tr w:rsidR="00764A3C" w:rsidRPr="00764A3C" w14:paraId="05037E23" w14:textId="77777777" w:rsidTr="00764A3C">
        <w:tc>
          <w:tcPr>
            <w:cnfStyle w:val="001000000000" w:firstRow="0" w:lastRow="0" w:firstColumn="1" w:lastColumn="0" w:oddVBand="0" w:evenVBand="0" w:oddHBand="0" w:evenHBand="0" w:firstRowFirstColumn="0" w:firstRowLastColumn="0" w:lastRowFirstColumn="0" w:lastRowLastColumn="0"/>
            <w:tcW w:w="3055" w:type="dxa"/>
            <w:hideMark/>
          </w:tcPr>
          <w:p w14:paraId="19F73D4F" w14:textId="77777777" w:rsidR="00764A3C" w:rsidRPr="00764A3C" w:rsidRDefault="00764A3C" w:rsidP="00764A3C">
            <w:pPr>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Market Drivers</w:t>
            </w:r>
          </w:p>
        </w:tc>
        <w:tc>
          <w:tcPr>
            <w:tcW w:w="5961" w:type="dxa"/>
            <w:hideMark/>
          </w:tcPr>
          <w:p w14:paraId="3CF7AF0E" w14:textId="77777777" w:rsidR="00764A3C" w:rsidRPr="00764A3C" w:rsidRDefault="00764A3C" w:rsidP="00764A3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 Rising volume of aging offshore assets reaching end-of-life</w:t>
            </w:r>
            <w:r w:rsidRPr="00764A3C">
              <w:rPr>
                <w:rFonts w:ascii="Times New Roman" w:eastAsia="Times New Roman" w:hAnsi="Times New Roman" w:cs="Times New Roman"/>
                <w:kern w:val="0"/>
                <w:sz w:val="24"/>
                <w:szCs w:val="24"/>
                <w:lang w:eastAsia="en-IN"/>
                <w14:ligatures w14:val="none"/>
              </w:rPr>
              <w:br/>
              <w:t>- Stricter environmental and regulatory frameworks</w:t>
            </w:r>
            <w:r w:rsidRPr="00764A3C">
              <w:rPr>
                <w:rFonts w:ascii="Times New Roman" w:eastAsia="Times New Roman" w:hAnsi="Times New Roman" w:cs="Times New Roman"/>
                <w:kern w:val="0"/>
                <w:sz w:val="24"/>
                <w:szCs w:val="24"/>
                <w:lang w:eastAsia="en-IN"/>
                <w14:ligatures w14:val="none"/>
              </w:rPr>
              <w:br/>
              <w:t>- Growth in digital and robotic decommissioning solutions</w:t>
            </w:r>
            <w:r w:rsidRPr="00764A3C">
              <w:rPr>
                <w:rFonts w:ascii="Times New Roman" w:eastAsia="Times New Roman" w:hAnsi="Times New Roman" w:cs="Times New Roman"/>
                <w:kern w:val="0"/>
                <w:sz w:val="24"/>
                <w:szCs w:val="24"/>
                <w:lang w:eastAsia="en-IN"/>
                <w14:ligatures w14:val="none"/>
              </w:rPr>
              <w:br/>
              <w:t>- Increasing repurposing of platforms for renewable energy applications</w:t>
            </w:r>
          </w:p>
        </w:tc>
      </w:tr>
      <w:tr w:rsidR="00764A3C" w:rsidRPr="00764A3C" w14:paraId="57366C37" w14:textId="77777777" w:rsidTr="00764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720AB437" w14:textId="77777777" w:rsidR="00764A3C" w:rsidRPr="00764A3C" w:rsidRDefault="00764A3C" w:rsidP="00764A3C">
            <w:pPr>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1FB0A854" w14:textId="77777777" w:rsidR="00764A3C" w:rsidRPr="00764A3C" w:rsidRDefault="00764A3C" w:rsidP="00764A3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Available upon request</w:t>
            </w:r>
          </w:p>
        </w:tc>
      </w:tr>
    </w:tbl>
    <w:p w14:paraId="1A16FFFC" w14:textId="77777777" w:rsidR="00764A3C" w:rsidRPr="00764A3C" w:rsidRDefault="00764A3C" w:rsidP="00764A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64A3C">
        <w:rPr>
          <w:rFonts w:ascii="Times New Roman" w:eastAsia="Times New Roman" w:hAnsi="Times New Roman" w:cs="Times New Roman"/>
          <w:b/>
          <w:bCs/>
          <w:kern w:val="36"/>
          <w:sz w:val="48"/>
          <w:szCs w:val="48"/>
          <w:lang w:eastAsia="en-IN"/>
          <w14:ligatures w14:val="none"/>
        </w:rPr>
        <w:t>8. Report Summary, FAQs, and SEO Schema</w:t>
      </w:r>
    </w:p>
    <w:p w14:paraId="7F671E37" w14:textId="77777777" w:rsidR="00764A3C" w:rsidRPr="00764A3C" w:rsidRDefault="00764A3C" w:rsidP="00764A3C">
      <w:pPr>
        <w:spacing w:after="0"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pict w14:anchorId="2FA75095">
          <v:rect id="_x0000_i1036" style="width:0;height:1.5pt" o:hralign="center" o:hrstd="t" o:hr="t" fillcolor="#a0a0a0" stroked="f"/>
        </w:pict>
      </w:r>
    </w:p>
    <w:p w14:paraId="31FF229C" w14:textId="77777777" w:rsidR="00764A3C" w:rsidRPr="00764A3C" w:rsidRDefault="00764A3C" w:rsidP="00764A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64A3C">
        <w:rPr>
          <w:rFonts w:ascii="Times New Roman" w:eastAsia="Times New Roman" w:hAnsi="Times New Roman" w:cs="Times New Roman"/>
          <w:b/>
          <w:bCs/>
          <w:kern w:val="0"/>
          <w:sz w:val="36"/>
          <w:szCs w:val="36"/>
          <w:lang w:eastAsia="en-IN"/>
          <w14:ligatures w14:val="none"/>
        </w:rPr>
        <w:t>A.1. Report Title (Long-Form)</w:t>
      </w:r>
    </w:p>
    <w:p w14:paraId="23DF939D"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 xml:space="preserve">Offshore Decommissioning Market </w:t>
      </w:r>
      <w:proofErr w:type="gramStart"/>
      <w:r w:rsidRPr="00764A3C">
        <w:rPr>
          <w:rFonts w:ascii="Times New Roman" w:eastAsia="Times New Roman" w:hAnsi="Times New Roman" w:cs="Times New Roman"/>
          <w:kern w:val="0"/>
          <w:sz w:val="24"/>
          <w:szCs w:val="24"/>
          <w:lang w:eastAsia="en-IN"/>
          <w14:ligatures w14:val="none"/>
        </w:rPr>
        <w:t>By</w:t>
      </w:r>
      <w:proofErr w:type="gramEnd"/>
      <w:r w:rsidRPr="00764A3C">
        <w:rPr>
          <w:rFonts w:ascii="Times New Roman" w:eastAsia="Times New Roman" w:hAnsi="Times New Roman" w:cs="Times New Roman"/>
          <w:kern w:val="0"/>
          <w:sz w:val="24"/>
          <w:szCs w:val="24"/>
          <w:lang w:eastAsia="en-IN"/>
          <w14:ligatures w14:val="none"/>
        </w:rPr>
        <w:t xml:space="preserve"> Service Type (Well Plugging &amp; Abandonment, Platform Removal, Pipeline &amp; Subsea Infrastructure Removal, Waste Management, Site Clearance); By Structure Type (Fixed Platforms, Floating Production Systems, Subsea Templates &amp; Manifolds); By Depth (Shallow Water, Deep Water); By Geography, Segment Revenue Estimation, Forecast, 2024–2030</w:t>
      </w:r>
    </w:p>
    <w:p w14:paraId="532EB8D0" w14:textId="77777777" w:rsidR="00764A3C" w:rsidRPr="00764A3C" w:rsidRDefault="00764A3C" w:rsidP="00764A3C">
      <w:pPr>
        <w:spacing w:after="0"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pict w14:anchorId="40CB3FEB">
          <v:rect id="_x0000_i1037" style="width:0;height:1.5pt" o:hralign="center" o:hrstd="t" o:hr="t" fillcolor="#a0a0a0" stroked="f"/>
        </w:pict>
      </w:r>
    </w:p>
    <w:p w14:paraId="4274E80B" w14:textId="77777777" w:rsidR="00764A3C" w:rsidRPr="00764A3C" w:rsidRDefault="00764A3C" w:rsidP="00764A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64A3C">
        <w:rPr>
          <w:rFonts w:ascii="Times New Roman" w:eastAsia="Times New Roman" w:hAnsi="Times New Roman" w:cs="Times New Roman"/>
          <w:b/>
          <w:bCs/>
          <w:kern w:val="0"/>
          <w:sz w:val="36"/>
          <w:szCs w:val="36"/>
          <w:lang w:eastAsia="en-IN"/>
          <w14:ligatures w14:val="none"/>
        </w:rPr>
        <w:t>A.2. Lowercase Market Name</w:t>
      </w:r>
    </w:p>
    <w:p w14:paraId="19F6B7BA"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lastRenderedPageBreak/>
        <w:t>offshore decommissioning market</w:t>
      </w:r>
    </w:p>
    <w:p w14:paraId="28F32A39" w14:textId="77777777" w:rsidR="00764A3C" w:rsidRPr="00764A3C" w:rsidRDefault="00764A3C" w:rsidP="00764A3C">
      <w:pPr>
        <w:spacing w:after="0"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pict w14:anchorId="505FE167">
          <v:rect id="_x0000_i1038" style="width:0;height:1.5pt" o:hralign="center" o:hrstd="t" o:hr="t" fillcolor="#a0a0a0" stroked="f"/>
        </w:pict>
      </w:r>
    </w:p>
    <w:p w14:paraId="13A78368" w14:textId="77777777" w:rsidR="00764A3C" w:rsidRPr="00764A3C" w:rsidRDefault="00764A3C" w:rsidP="00764A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64A3C">
        <w:rPr>
          <w:rFonts w:ascii="Times New Roman" w:eastAsia="Times New Roman" w:hAnsi="Times New Roman" w:cs="Times New Roman"/>
          <w:b/>
          <w:bCs/>
          <w:kern w:val="0"/>
          <w:sz w:val="36"/>
          <w:szCs w:val="36"/>
          <w:lang w:eastAsia="en-IN"/>
          <w14:ligatures w14:val="none"/>
        </w:rPr>
        <w:t>A.3. SEO-Friendly Market Size Tagline</w:t>
      </w:r>
    </w:p>
    <w:p w14:paraId="1C68F730"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Offshore Decommissioning Market Size (USD 11.2 Billion) 2030</w:t>
      </w:r>
    </w:p>
    <w:p w14:paraId="01DFAE14" w14:textId="77777777" w:rsidR="00764A3C" w:rsidRPr="00764A3C" w:rsidRDefault="00764A3C" w:rsidP="00764A3C">
      <w:pPr>
        <w:spacing w:after="0"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pict w14:anchorId="09570DC1">
          <v:rect id="_x0000_i1039" style="width:0;height:1.5pt" o:hralign="center" o:hrstd="t" o:hr="t" fillcolor="#a0a0a0" stroked="f"/>
        </w:pict>
      </w:r>
    </w:p>
    <w:p w14:paraId="7D25ED3C" w14:textId="77777777" w:rsidR="00764A3C" w:rsidRPr="00764A3C" w:rsidRDefault="00764A3C" w:rsidP="00764A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64A3C">
        <w:rPr>
          <w:rFonts w:ascii="Times New Roman" w:eastAsia="Times New Roman" w:hAnsi="Times New Roman" w:cs="Times New Roman"/>
          <w:b/>
          <w:bCs/>
          <w:kern w:val="0"/>
          <w:sz w:val="36"/>
          <w:szCs w:val="36"/>
          <w:lang w:eastAsia="en-IN"/>
          <w14:ligatures w14:val="none"/>
        </w:rPr>
        <w:t xml:space="preserve">A.4. SEO-Friendly Market Size Tagline </w:t>
      </w:r>
      <w:proofErr w:type="spellStart"/>
      <w:r w:rsidRPr="00764A3C">
        <w:rPr>
          <w:rFonts w:ascii="Times New Roman" w:eastAsia="Times New Roman" w:hAnsi="Times New Roman" w:cs="Times New Roman"/>
          <w:b/>
          <w:bCs/>
          <w:kern w:val="0"/>
          <w:sz w:val="36"/>
          <w:szCs w:val="36"/>
          <w:lang w:eastAsia="en-IN"/>
          <w14:ligatures w14:val="none"/>
        </w:rPr>
        <w:t>BreadCrumb</w:t>
      </w:r>
      <w:proofErr w:type="spellEnd"/>
    </w:p>
    <w:p w14:paraId="330B0AF0"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Offshore Decommissioning Market Report 2030</w:t>
      </w:r>
    </w:p>
    <w:p w14:paraId="49AF7892" w14:textId="77777777" w:rsidR="00764A3C" w:rsidRPr="00764A3C" w:rsidRDefault="00764A3C" w:rsidP="00764A3C">
      <w:pPr>
        <w:spacing w:after="0"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pict w14:anchorId="6BB756B7">
          <v:rect id="_x0000_i1040" style="width:0;height:1.5pt" o:hralign="center" o:hrstd="t" o:hr="t" fillcolor="#a0a0a0" stroked="f"/>
        </w:pict>
      </w:r>
    </w:p>
    <w:p w14:paraId="6BB15BA4" w14:textId="77777777" w:rsidR="00764A3C" w:rsidRPr="00764A3C" w:rsidRDefault="00764A3C" w:rsidP="00764A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64A3C">
        <w:rPr>
          <w:rFonts w:ascii="Times New Roman" w:eastAsia="Times New Roman" w:hAnsi="Times New Roman" w:cs="Times New Roman"/>
          <w:b/>
          <w:bCs/>
          <w:kern w:val="0"/>
          <w:sz w:val="36"/>
          <w:szCs w:val="36"/>
          <w:lang w:eastAsia="en-IN"/>
          <w14:ligatures w14:val="none"/>
        </w:rPr>
        <w:t>B. Top 5 FAQs</w:t>
      </w:r>
    </w:p>
    <w:p w14:paraId="0E15A448"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Q1. How big is the offshore decommissioning market?</w:t>
      </w:r>
      <w:r w:rsidRPr="00764A3C">
        <w:rPr>
          <w:rFonts w:ascii="Times New Roman" w:eastAsia="Times New Roman" w:hAnsi="Times New Roman" w:cs="Times New Roman"/>
          <w:kern w:val="0"/>
          <w:sz w:val="24"/>
          <w:szCs w:val="24"/>
          <w:lang w:eastAsia="en-IN"/>
          <w14:ligatures w14:val="none"/>
        </w:rPr>
        <w:br/>
      </w:r>
      <w:r w:rsidRPr="00764A3C">
        <w:rPr>
          <w:rFonts w:ascii="Times New Roman" w:eastAsia="Times New Roman" w:hAnsi="Times New Roman" w:cs="Times New Roman"/>
          <w:b/>
          <w:bCs/>
          <w:kern w:val="0"/>
          <w:sz w:val="24"/>
          <w:szCs w:val="24"/>
          <w:lang w:eastAsia="en-IN"/>
          <w14:ligatures w14:val="none"/>
        </w:rPr>
        <w:t>A1.</w:t>
      </w:r>
      <w:r w:rsidRPr="00764A3C">
        <w:rPr>
          <w:rFonts w:ascii="Times New Roman" w:eastAsia="Times New Roman" w:hAnsi="Times New Roman" w:cs="Times New Roman"/>
          <w:kern w:val="0"/>
          <w:sz w:val="24"/>
          <w:szCs w:val="24"/>
          <w:lang w:eastAsia="en-IN"/>
          <w14:ligatures w14:val="none"/>
        </w:rPr>
        <w:t xml:space="preserve"> The global offshore decommissioning market is valued at USD 7.8 billion in 2024.</w:t>
      </w:r>
    </w:p>
    <w:p w14:paraId="6F4C21D0"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Q2. What is the CAGR for the offshore decommissioning market during the forecast period?</w:t>
      </w:r>
      <w:r w:rsidRPr="00764A3C">
        <w:rPr>
          <w:rFonts w:ascii="Times New Roman" w:eastAsia="Times New Roman" w:hAnsi="Times New Roman" w:cs="Times New Roman"/>
          <w:kern w:val="0"/>
          <w:sz w:val="24"/>
          <w:szCs w:val="24"/>
          <w:lang w:eastAsia="en-IN"/>
          <w14:ligatures w14:val="none"/>
        </w:rPr>
        <w:br/>
      </w:r>
      <w:r w:rsidRPr="00764A3C">
        <w:rPr>
          <w:rFonts w:ascii="Times New Roman" w:eastAsia="Times New Roman" w:hAnsi="Times New Roman" w:cs="Times New Roman"/>
          <w:b/>
          <w:bCs/>
          <w:kern w:val="0"/>
          <w:sz w:val="24"/>
          <w:szCs w:val="24"/>
          <w:lang w:eastAsia="en-IN"/>
          <w14:ligatures w14:val="none"/>
        </w:rPr>
        <w:t>A2.</w:t>
      </w:r>
      <w:r w:rsidRPr="00764A3C">
        <w:rPr>
          <w:rFonts w:ascii="Times New Roman" w:eastAsia="Times New Roman" w:hAnsi="Times New Roman" w:cs="Times New Roman"/>
          <w:kern w:val="0"/>
          <w:sz w:val="24"/>
          <w:szCs w:val="24"/>
          <w:lang w:eastAsia="en-IN"/>
          <w14:ligatures w14:val="none"/>
        </w:rPr>
        <w:t xml:space="preserve"> The market is projected to grow at a CAGR of 6.1% from 2024 to 2030.</w:t>
      </w:r>
    </w:p>
    <w:p w14:paraId="56BA2997"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Q3. Which region dominates the offshore decommissioning market?</w:t>
      </w:r>
      <w:r w:rsidRPr="00764A3C">
        <w:rPr>
          <w:rFonts w:ascii="Times New Roman" w:eastAsia="Times New Roman" w:hAnsi="Times New Roman" w:cs="Times New Roman"/>
          <w:kern w:val="0"/>
          <w:sz w:val="24"/>
          <w:szCs w:val="24"/>
          <w:lang w:eastAsia="en-IN"/>
          <w14:ligatures w14:val="none"/>
        </w:rPr>
        <w:br/>
      </w:r>
      <w:r w:rsidRPr="00764A3C">
        <w:rPr>
          <w:rFonts w:ascii="Times New Roman" w:eastAsia="Times New Roman" w:hAnsi="Times New Roman" w:cs="Times New Roman"/>
          <w:b/>
          <w:bCs/>
          <w:kern w:val="0"/>
          <w:sz w:val="24"/>
          <w:szCs w:val="24"/>
          <w:lang w:eastAsia="en-IN"/>
          <w14:ligatures w14:val="none"/>
        </w:rPr>
        <w:t>A3.</w:t>
      </w:r>
      <w:r w:rsidRPr="00764A3C">
        <w:rPr>
          <w:rFonts w:ascii="Times New Roman" w:eastAsia="Times New Roman" w:hAnsi="Times New Roman" w:cs="Times New Roman"/>
          <w:kern w:val="0"/>
          <w:sz w:val="24"/>
          <w:szCs w:val="24"/>
          <w:lang w:eastAsia="en-IN"/>
          <w14:ligatures w14:val="none"/>
        </w:rPr>
        <w:t xml:space="preserve"> Europe leads the global market, driven by mature North Sea assets and well-established regulatory frameworks supporting structured decommissioning programs.</w:t>
      </w:r>
    </w:p>
    <w:p w14:paraId="3EDA579A"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Q4. Who are the major players in the offshore decommissioning market?</w:t>
      </w:r>
      <w:r w:rsidRPr="00764A3C">
        <w:rPr>
          <w:rFonts w:ascii="Times New Roman" w:eastAsia="Times New Roman" w:hAnsi="Times New Roman" w:cs="Times New Roman"/>
          <w:kern w:val="0"/>
          <w:sz w:val="24"/>
          <w:szCs w:val="24"/>
          <w:lang w:eastAsia="en-IN"/>
          <w14:ligatures w14:val="none"/>
        </w:rPr>
        <w:br/>
      </w:r>
      <w:r w:rsidRPr="00764A3C">
        <w:rPr>
          <w:rFonts w:ascii="Times New Roman" w:eastAsia="Times New Roman" w:hAnsi="Times New Roman" w:cs="Times New Roman"/>
          <w:b/>
          <w:bCs/>
          <w:kern w:val="0"/>
          <w:sz w:val="24"/>
          <w:szCs w:val="24"/>
          <w:lang w:eastAsia="en-IN"/>
          <w14:ligatures w14:val="none"/>
        </w:rPr>
        <w:t>A4.</w:t>
      </w:r>
      <w:r w:rsidRPr="00764A3C">
        <w:rPr>
          <w:rFonts w:ascii="Times New Roman" w:eastAsia="Times New Roman" w:hAnsi="Times New Roman" w:cs="Times New Roman"/>
          <w:kern w:val="0"/>
          <w:sz w:val="24"/>
          <w:szCs w:val="24"/>
          <w:lang w:eastAsia="en-IN"/>
          <w14:ligatures w14:val="none"/>
        </w:rPr>
        <w:t xml:space="preserve"> Leading companies include TechnipFMC, Subsea 7, </w:t>
      </w:r>
      <w:proofErr w:type="spellStart"/>
      <w:r w:rsidRPr="00764A3C">
        <w:rPr>
          <w:rFonts w:ascii="Times New Roman" w:eastAsia="Times New Roman" w:hAnsi="Times New Roman" w:cs="Times New Roman"/>
          <w:kern w:val="0"/>
          <w:sz w:val="24"/>
          <w:szCs w:val="24"/>
          <w:lang w:eastAsia="en-IN"/>
          <w14:ligatures w14:val="none"/>
        </w:rPr>
        <w:t>Allseas</w:t>
      </w:r>
      <w:proofErr w:type="spellEnd"/>
      <w:r w:rsidRPr="00764A3C">
        <w:rPr>
          <w:rFonts w:ascii="Times New Roman" w:eastAsia="Times New Roman" w:hAnsi="Times New Roman" w:cs="Times New Roman"/>
          <w:kern w:val="0"/>
          <w:sz w:val="24"/>
          <w:szCs w:val="24"/>
          <w:lang w:eastAsia="en-IN"/>
          <w14:ligatures w14:val="none"/>
        </w:rPr>
        <w:t>, Saipem, Petrofac, Oceaneering International, and Aker Solutions.</w:t>
      </w:r>
    </w:p>
    <w:p w14:paraId="595F8F4D" w14:textId="77777777" w:rsidR="00764A3C" w:rsidRPr="00764A3C" w:rsidRDefault="00764A3C" w:rsidP="00764A3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Q5. What factors are driving growth in the offshore decommissioning market?</w:t>
      </w:r>
      <w:r w:rsidRPr="00764A3C">
        <w:rPr>
          <w:rFonts w:ascii="Times New Roman" w:eastAsia="Times New Roman" w:hAnsi="Times New Roman" w:cs="Times New Roman"/>
          <w:kern w:val="0"/>
          <w:sz w:val="24"/>
          <w:szCs w:val="24"/>
          <w:lang w:eastAsia="en-IN"/>
          <w14:ligatures w14:val="none"/>
        </w:rPr>
        <w:br/>
      </w:r>
      <w:r w:rsidRPr="00764A3C">
        <w:rPr>
          <w:rFonts w:ascii="Times New Roman" w:eastAsia="Times New Roman" w:hAnsi="Times New Roman" w:cs="Times New Roman"/>
          <w:b/>
          <w:bCs/>
          <w:kern w:val="0"/>
          <w:sz w:val="24"/>
          <w:szCs w:val="24"/>
          <w:lang w:eastAsia="en-IN"/>
          <w14:ligatures w14:val="none"/>
        </w:rPr>
        <w:t>A5.</w:t>
      </w:r>
      <w:r w:rsidRPr="00764A3C">
        <w:rPr>
          <w:rFonts w:ascii="Times New Roman" w:eastAsia="Times New Roman" w:hAnsi="Times New Roman" w:cs="Times New Roman"/>
          <w:kern w:val="0"/>
          <w:sz w:val="24"/>
          <w:szCs w:val="24"/>
          <w:lang w:eastAsia="en-IN"/>
          <w14:ligatures w14:val="none"/>
        </w:rPr>
        <w:t xml:space="preserve"> Growth is driven by increasing numbers of aging offshore platforms, strict environmental policies, adoption of robotics and AI technologies, and the push for sustainable asset repurposing in the energy transition.</w:t>
      </w:r>
    </w:p>
    <w:p w14:paraId="42096D71" w14:textId="77777777" w:rsidR="00764A3C" w:rsidRPr="00764A3C" w:rsidRDefault="00764A3C" w:rsidP="00764A3C">
      <w:pPr>
        <w:spacing w:after="0"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pict w14:anchorId="73868DC2">
          <v:rect id="_x0000_i1041" style="width:0;height:1.5pt" o:hralign="center" o:hrstd="t" o:hr="t" fillcolor="#a0a0a0" stroked="f"/>
        </w:pict>
      </w:r>
    </w:p>
    <w:p w14:paraId="7EB8542D" w14:textId="77777777" w:rsidR="00764A3C" w:rsidRPr="00764A3C" w:rsidRDefault="00764A3C" w:rsidP="00764A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64A3C">
        <w:rPr>
          <w:rFonts w:ascii="Times New Roman" w:eastAsia="Times New Roman" w:hAnsi="Times New Roman" w:cs="Times New Roman"/>
          <w:b/>
          <w:bCs/>
          <w:kern w:val="0"/>
          <w:sz w:val="36"/>
          <w:szCs w:val="36"/>
          <w:lang w:eastAsia="en-IN"/>
          <w14:ligatures w14:val="none"/>
        </w:rPr>
        <w:t>C. JSON-LD SEO Schema</w:t>
      </w:r>
    </w:p>
    <w:p w14:paraId="0082312C" w14:textId="77777777" w:rsidR="00764A3C" w:rsidRPr="00764A3C" w:rsidRDefault="00764A3C" w:rsidP="00764A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4A3C">
        <w:rPr>
          <w:rFonts w:ascii="Times New Roman" w:eastAsia="Times New Roman" w:hAnsi="Times New Roman" w:cs="Times New Roman"/>
          <w:b/>
          <w:bCs/>
          <w:kern w:val="0"/>
          <w:sz w:val="27"/>
          <w:szCs w:val="27"/>
          <w:lang w:eastAsia="en-IN"/>
          <w14:ligatures w14:val="none"/>
        </w:rPr>
        <w:t>1. Breadcrumb Schema</w:t>
      </w:r>
    </w:p>
    <w:p w14:paraId="1DA50AFA"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w:t>
      </w:r>
    </w:p>
    <w:p w14:paraId="5FA2CFD1"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"@context": "https://schema.org",</w:t>
      </w:r>
    </w:p>
    <w:p w14:paraId="040B76B5"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"@type": "</w:t>
      </w:r>
      <w:proofErr w:type="spellStart"/>
      <w:r w:rsidRPr="00764A3C">
        <w:rPr>
          <w:rFonts w:ascii="Courier New" w:eastAsia="Times New Roman" w:hAnsi="Courier New" w:cs="Courier New"/>
          <w:kern w:val="0"/>
          <w:sz w:val="20"/>
          <w:szCs w:val="20"/>
          <w:lang w:eastAsia="en-IN"/>
          <w14:ligatures w14:val="none"/>
        </w:rPr>
        <w:t>BreadcrumbList</w:t>
      </w:r>
      <w:proofErr w:type="spellEnd"/>
      <w:r w:rsidRPr="00764A3C">
        <w:rPr>
          <w:rFonts w:ascii="Courier New" w:eastAsia="Times New Roman" w:hAnsi="Courier New" w:cs="Courier New"/>
          <w:kern w:val="0"/>
          <w:sz w:val="20"/>
          <w:szCs w:val="20"/>
          <w:lang w:eastAsia="en-IN"/>
          <w14:ligatures w14:val="none"/>
        </w:rPr>
        <w:t>",</w:t>
      </w:r>
    </w:p>
    <w:p w14:paraId="46D5BD98"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roofErr w:type="spellStart"/>
      <w:r w:rsidRPr="00764A3C">
        <w:rPr>
          <w:rFonts w:ascii="Courier New" w:eastAsia="Times New Roman" w:hAnsi="Courier New" w:cs="Courier New"/>
          <w:kern w:val="0"/>
          <w:sz w:val="20"/>
          <w:szCs w:val="20"/>
          <w:lang w:eastAsia="en-IN"/>
          <w14:ligatures w14:val="none"/>
        </w:rPr>
        <w:t>itemListElement</w:t>
      </w:r>
      <w:proofErr w:type="spellEnd"/>
      <w:r w:rsidRPr="00764A3C">
        <w:rPr>
          <w:rFonts w:ascii="Courier New" w:eastAsia="Times New Roman" w:hAnsi="Courier New" w:cs="Courier New"/>
          <w:kern w:val="0"/>
          <w:sz w:val="20"/>
          <w:szCs w:val="20"/>
          <w:lang w:eastAsia="en-IN"/>
          <w14:ligatures w14:val="none"/>
        </w:rPr>
        <w:t>": [</w:t>
      </w:r>
    </w:p>
    <w:p w14:paraId="10D740C5"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
    <w:p w14:paraId="2CDC8329"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lastRenderedPageBreak/>
        <w:t xml:space="preserve">      "@type": "</w:t>
      </w:r>
      <w:proofErr w:type="spellStart"/>
      <w:r w:rsidRPr="00764A3C">
        <w:rPr>
          <w:rFonts w:ascii="Courier New" w:eastAsia="Times New Roman" w:hAnsi="Courier New" w:cs="Courier New"/>
          <w:kern w:val="0"/>
          <w:sz w:val="20"/>
          <w:szCs w:val="20"/>
          <w:lang w:eastAsia="en-IN"/>
          <w14:ligatures w14:val="none"/>
        </w:rPr>
        <w:t>ListItem</w:t>
      </w:r>
      <w:proofErr w:type="spellEnd"/>
      <w:r w:rsidRPr="00764A3C">
        <w:rPr>
          <w:rFonts w:ascii="Courier New" w:eastAsia="Times New Roman" w:hAnsi="Courier New" w:cs="Courier New"/>
          <w:kern w:val="0"/>
          <w:sz w:val="20"/>
          <w:szCs w:val="20"/>
          <w:lang w:eastAsia="en-IN"/>
          <w14:ligatures w14:val="none"/>
        </w:rPr>
        <w:t>",</w:t>
      </w:r>
    </w:p>
    <w:p w14:paraId="22A07B36"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"position": 1,</w:t>
      </w:r>
    </w:p>
    <w:p w14:paraId="01A38CC1"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"name": "Home",</w:t>
      </w:r>
    </w:p>
    <w:p w14:paraId="7A5B7C2F"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"item": "https://www.strategicmarketresearch.com/"</w:t>
      </w:r>
    </w:p>
    <w:p w14:paraId="22B8207F"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
    <w:p w14:paraId="0CC36C1A"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
    <w:p w14:paraId="4016CB41"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"@type": "</w:t>
      </w:r>
      <w:proofErr w:type="spellStart"/>
      <w:r w:rsidRPr="00764A3C">
        <w:rPr>
          <w:rFonts w:ascii="Courier New" w:eastAsia="Times New Roman" w:hAnsi="Courier New" w:cs="Courier New"/>
          <w:kern w:val="0"/>
          <w:sz w:val="20"/>
          <w:szCs w:val="20"/>
          <w:lang w:eastAsia="en-IN"/>
          <w14:ligatures w14:val="none"/>
        </w:rPr>
        <w:t>ListItem</w:t>
      </w:r>
      <w:proofErr w:type="spellEnd"/>
      <w:r w:rsidRPr="00764A3C">
        <w:rPr>
          <w:rFonts w:ascii="Courier New" w:eastAsia="Times New Roman" w:hAnsi="Courier New" w:cs="Courier New"/>
          <w:kern w:val="0"/>
          <w:sz w:val="20"/>
          <w:szCs w:val="20"/>
          <w:lang w:eastAsia="en-IN"/>
          <w14:ligatures w14:val="none"/>
        </w:rPr>
        <w:t>",</w:t>
      </w:r>
    </w:p>
    <w:p w14:paraId="45806417"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"position": 2,</w:t>
      </w:r>
    </w:p>
    <w:p w14:paraId="698C9A46" w14:textId="59C7628C"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"name": "Oil </w:t>
      </w:r>
      <w:proofErr w:type="gramStart"/>
      <w:r>
        <w:rPr>
          <w:rFonts w:ascii="Courier New" w:eastAsia="Times New Roman" w:hAnsi="Courier New" w:cs="Courier New"/>
          <w:kern w:val="0"/>
          <w:sz w:val="20"/>
          <w:szCs w:val="20"/>
          <w:lang w:eastAsia="en-IN"/>
          <w14:ligatures w14:val="none"/>
        </w:rPr>
        <w:t>A</w:t>
      </w:r>
      <w:r w:rsidRPr="00764A3C">
        <w:rPr>
          <w:rFonts w:ascii="Courier New" w:eastAsia="Times New Roman" w:hAnsi="Courier New" w:cs="Courier New"/>
          <w:kern w:val="0"/>
          <w:sz w:val="20"/>
          <w:szCs w:val="20"/>
          <w:lang w:eastAsia="en-IN"/>
          <w14:ligatures w14:val="none"/>
        </w:rPr>
        <w:t>nd</w:t>
      </w:r>
      <w:proofErr w:type="gramEnd"/>
      <w:r w:rsidRPr="00764A3C">
        <w:rPr>
          <w:rFonts w:ascii="Courier New" w:eastAsia="Times New Roman" w:hAnsi="Courier New" w:cs="Courier New"/>
          <w:kern w:val="0"/>
          <w:sz w:val="20"/>
          <w:szCs w:val="20"/>
          <w:lang w:eastAsia="en-IN"/>
          <w14:ligatures w14:val="none"/>
        </w:rPr>
        <w:t xml:space="preserve"> Gas",</w:t>
      </w:r>
    </w:p>
    <w:p w14:paraId="52075A0D" w14:textId="511C876D"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"item": "https://www.strategicmarketresearch.com/report/oil-and-gas"</w:t>
      </w:r>
    </w:p>
    <w:p w14:paraId="7F1690C4"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
    <w:p w14:paraId="1FBCAC8F"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
    <w:p w14:paraId="2434BF72"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"@type": "</w:t>
      </w:r>
      <w:proofErr w:type="spellStart"/>
      <w:r w:rsidRPr="00764A3C">
        <w:rPr>
          <w:rFonts w:ascii="Courier New" w:eastAsia="Times New Roman" w:hAnsi="Courier New" w:cs="Courier New"/>
          <w:kern w:val="0"/>
          <w:sz w:val="20"/>
          <w:szCs w:val="20"/>
          <w:lang w:eastAsia="en-IN"/>
          <w14:ligatures w14:val="none"/>
        </w:rPr>
        <w:t>ListItem</w:t>
      </w:r>
      <w:proofErr w:type="spellEnd"/>
      <w:r w:rsidRPr="00764A3C">
        <w:rPr>
          <w:rFonts w:ascii="Courier New" w:eastAsia="Times New Roman" w:hAnsi="Courier New" w:cs="Courier New"/>
          <w:kern w:val="0"/>
          <w:sz w:val="20"/>
          <w:szCs w:val="20"/>
          <w:lang w:eastAsia="en-IN"/>
          <w14:ligatures w14:val="none"/>
        </w:rPr>
        <w:t>",</w:t>
      </w:r>
    </w:p>
    <w:p w14:paraId="16A1358F"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"position": 3,</w:t>
      </w:r>
    </w:p>
    <w:p w14:paraId="41906AD1"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"name": "Offshore Decommissioning Market Report 2030",</w:t>
      </w:r>
    </w:p>
    <w:p w14:paraId="5C5EB2C9"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"item": "https://www.strategicmarketresearch.com/market-report/offshore-decommissioning-market"</w:t>
      </w:r>
    </w:p>
    <w:p w14:paraId="37FDA136"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
    <w:p w14:paraId="181E6671"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
    <w:p w14:paraId="614CBE03"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w:t>
      </w:r>
    </w:p>
    <w:p w14:paraId="5822656F" w14:textId="77777777" w:rsidR="00764A3C" w:rsidRPr="00764A3C" w:rsidRDefault="00764A3C" w:rsidP="00764A3C">
      <w:pPr>
        <w:spacing w:after="0"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pict w14:anchorId="0BF93F3F">
          <v:rect id="_x0000_i1042" style="width:0;height:1.5pt" o:hralign="center" o:hrstd="t" o:hr="t" fillcolor="#a0a0a0" stroked="f"/>
        </w:pict>
      </w:r>
    </w:p>
    <w:p w14:paraId="3A9A4631" w14:textId="77777777" w:rsidR="00764A3C" w:rsidRPr="00764A3C" w:rsidRDefault="00764A3C" w:rsidP="00764A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4A3C">
        <w:rPr>
          <w:rFonts w:ascii="Times New Roman" w:eastAsia="Times New Roman" w:hAnsi="Times New Roman" w:cs="Times New Roman"/>
          <w:b/>
          <w:bCs/>
          <w:kern w:val="0"/>
          <w:sz w:val="27"/>
          <w:szCs w:val="27"/>
          <w:lang w:eastAsia="en-IN"/>
          <w14:ligatures w14:val="none"/>
        </w:rPr>
        <w:t>2. FAQ Schema</w:t>
      </w:r>
    </w:p>
    <w:p w14:paraId="4B838ABC"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w:t>
      </w:r>
    </w:p>
    <w:p w14:paraId="106E2C56"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"@context": "https://schema.org",</w:t>
      </w:r>
    </w:p>
    <w:p w14:paraId="6DA79124"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"@type": "</w:t>
      </w:r>
      <w:proofErr w:type="spellStart"/>
      <w:r w:rsidRPr="00764A3C">
        <w:rPr>
          <w:rFonts w:ascii="Courier New" w:eastAsia="Times New Roman" w:hAnsi="Courier New" w:cs="Courier New"/>
          <w:kern w:val="0"/>
          <w:sz w:val="20"/>
          <w:szCs w:val="20"/>
          <w:lang w:eastAsia="en-IN"/>
          <w14:ligatures w14:val="none"/>
        </w:rPr>
        <w:t>FAQPage</w:t>
      </w:r>
      <w:proofErr w:type="spellEnd"/>
      <w:r w:rsidRPr="00764A3C">
        <w:rPr>
          <w:rFonts w:ascii="Courier New" w:eastAsia="Times New Roman" w:hAnsi="Courier New" w:cs="Courier New"/>
          <w:kern w:val="0"/>
          <w:sz w:val="20"/>
          <w:szCs w:val="20"/>
          <w:lang w:eastAsia="en-IN"/>
          <w14:ligatures w14:val="none"/>
        </w:rPr>
        <w:t>",</w:t>
      </w:r>
    </w:p>
    <w:p w14:paraId="5078113B"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roofErr w:type="spellStart"/>
      <w:r w:rsidRPr="00764A3C">
        <w:rPr>
          <w:rFonts w:ascii="Courier New" w:eastAsia="Times New Roman" w:hAnsi="Courier New" w:cs="Courier New"/>
          <w:kern w:val="0"/>
          <w:sz w:val="20"/>
          <w:szCs w:val="20"/>
          <w:lang w:eastAsia="en-IN"/>
          <w14:ligatures w14:val="none"/>
        </w:rPr>
        <w:t>mainEntity</w:t>
      </w:r>
      <w:proofErr w:type="spellEnd"/>
      <w:r w:rsidRPr="00764A3C">
        <w:rPr>
          <w:rFonts w:ascii="Courier New" w:eastAsia="Times New Roman" w:hAnsi="Courier New" w:cs="Courier New"/>
          <w:kern w:val="0"/>
          <w:sz w:val="20"/>
          <w:szCs w:val="20"/>
          <w:lang w:eastAsia="en-IN"/>
          <w14:ligatures w14:val="none"/>
        </w:rPr>
        <w:t>": [</w:t>
      </w:r>
    </w:p>
    <w:p w14:paraId="2939E7B7"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
    <w:p w14:paraId="2D7B24CF"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"@type": "Question",</w:t>
      </w:r>
    </w:p>
    <w:p w14:paraId="683FDE0E"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"name": "How big is the offshore decommissioning market?",</w:t>
      </w:r>
    </w:p>
    <w:p w14:paraId="7536BC83"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roofErr w:type="spellStart"/>
      <w:r w:rsidRPr="00764A3C">
        <w:rPr>
          <w:rFonts w:ascii="Courier New" w:eastAsia="Times New Roman" w:hAnsi="Courier New" w:cs="Courier New"/>
          <w:kern w:val="0"/>
          <w:sz w:val="20"/>
          <w:szCs w:val="20"/>
          <w:lang w:eastAsia="en-IN"/>
          <w14:ligatures w14:val="none"/>
        </w:rPr>
        <w:t>acceptedAnswer</w:t>
      </w:r>
      <w:proofErr w:type="spellEnd"/>
      <w:r w:rsidRPr="00764A3C">
        <w:rPr>
          <w:rFonts w:ascii="Courier New" w:eastAsia="Times New Roman" w:hAnsi="Courier New" w:cs="Courier New"/>
          <w:kern w:val="0"/>
          <w:sz w:val="20"/>
          <w:szCs w:val="20"/>
          <w:lang w:eastAsia="en-IN"/>
          <w14:ligatures w14:val="none"/>
        </w:rPr>
        <w:t>": {</w:t>
      </w:r>
    </w:p>
    <w:p w14:paraId="4FEAF057"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"@type": "Answer",</w:t>
      </w:r>
    </w:p>
    <w:p w14:paraId="0313121A"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"text": "The global offshore decommissioning market is valued at USD 7.8 billion in 2024."</w:t>
      </w:r>
    </w:p>
    <w:p w14:paraId="0DAA106B"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
    <w:p w14:paraId="5044895A"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
    <w:p w14:paraId="7056202D"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
    <w:p w14:paraId="331D606D"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"@type": "Question",</w:t>
      </w:r>
    </w:p>
    <w:p w14:paraId="0908F5AA"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"name": "What is the CAGR for the offshore decommissioning market during the forecast period?",</w:t>
      </w:r>
    </w:p>
    <w:p w14:paraId="37C539D9"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roofErr w:type="spellStart"/>
      <w:r w:rsidRPr="00764A3C">
        <w:rPr>
          <w:rFonts w:ascii="Courier New" w:eastAsia="Times New Roman" w:hAnsi="Courier New" w:cs="Courier New"/>
          <w:kern w:val="0"/>
          <w:sz w:val="20"/>
          <w:szCs w:val="20"/>
          <w:lang w:eastAsia="en-IN"/>
          <w14:ligatures w14:val="none"/>
        </w:rPr>
        <w:t>acceptedAnswer</w:t>
      </w:r>
      <w:proofErr w:type="spellEnd"/>
      <w:r w:rsidRPr="00764A3C">
        <w:rPr>
          <w:rFonts w:ascii="Courier New" w:eastAsia="Times New Roman" w:hAnsi="Courier New" w:cs="Courier New"/>
          <w:kern w:val="0"/>
          <w:sz w:val="20"/>
          <w:szCs w:val="20"/>
          <w:lang w:eastAsia="en-IN"/>
          <w14:ligatures w14:val="none"/>
        </w:rPr>
        <w:t>": {</w:t>
      </w:r>
    </w:p>
    <w:p w14:paraId="2449116D"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"@type": "Answer",</w:t>
      </w:r>
    </w:p>
    <w:p w14:paraId="222E430A"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"text": "The market is projected to grow at a CAGR of 6.1% from 2024 to 2030."</w:t>
      </w:r>
    </w:p>
    <w:p w14:paraId="63CE9233"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
    <w:p w14:paraId="06CB97E1"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
    <w:p w14:paraId="4B8E550D"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
    <w:p w14:paraId="2E61A40C"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"@type": "Question",</w:t>
      </w:r>
    </w:p>
    <w:p w14:paraId="72DF2F68"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"name": "Which region dominates the offshore decommissioning market?",</w:t>
      </w:r>
    </w:p>
    <w:p w14:paraId="772A9AD2"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roofErr w:type="spellStart"/>
      <w:r w:rsidRPr="00764A3C">
        <w:rPr>
          <w:rFonts w:ascii="Courier New" w:eastAsia="Times New Roman" w:hAnsi="Courier New" w:cs="Courier New"/>
          <w:kern w:val="0"/>
          <w:sz w:val="20"/>
          <w:szCs w:val="20"/>
          <w:lang w:eastAsia="en-IN"/>
          <w14:ligatures w14:val="none"/>
        </w:rPr>
        <w:t>acceptedAnswer</w:t>
      </w:r>
      <w:proofErr w:type="spellEnd"/>
      <w:r w:rsidRPr="00764A3C">
        <w:rPr>
          <w:rFonts w:ascii="Courier New" w:eastAsia="Times New Roman" w:hAnsi="Courier New" w:cs="Courier New"/>
          <w:kern w:val="0"/>
          <w:sz w:val="20"/>
          <w:szCs w:val="20"/>
          <w:lang w:eastAsia="en-IN"/>
          <w14:ligatures w14:val="none"/>
        </w:rPr>
        <w:t>": {</w:t>
      </w:r>
    </w:p>
    <w:p w14:paraId="388255D0"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"@type": "Answer",</w:t>
      </w:r>
    </w:p>
    <w:p w14:paraId="7B22D936"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"text": "Europe leads the global market, driven by mature North Sea assets and well-established regulatory frameworks supporting structured decommissioning programs."</w:t>
      </w:r>
    </w:p>
    <w:p w14:paraId="02F3E5DB"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
    <w:p w14:paraId="61C5B223"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
    <w:p w14:paraId="784FCFAA"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
    <w:p w14:paraId="28DEB3A1"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"@type": "Question",</w:t>
      </w:r>
    </w:p>
    <w:p w14:paraId="029DFF88"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lastRenderedPageBreak/>
        <w:t xml:space="preserve">      "name": "Who are the major players in the offshore decommissioning market?",</w:t>
      </w:r>
    </w:p>
    <w:p w14:paraId="0260C84C"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roofErr w:type="spellStart"/>
      <w:r w:rsidRPr="00764A3C">
        <w:rPr>
          <w:rFonts w:ascii="Courier New" w:eastAsia="Times New Roman" w:hAnsi="Courier New" w:cs="Courier New"/>
          <w:kern w:val="0"/>
          <w:sz w:val="20"/>
          <w:szCs w:val="20"/>
          <w:lang w:eastAsia="en-IN"/>
          <w14:ligatures w14:val="none"/>
        </w:rPr>
        <w:t>acceptedAnswer</w:t>
      </w:r>
      <w:proofErr w:type="spellEnd"/>
      <w:r w:rsidRPr="00764A3C">
        <w:rPr>
          <w:rFonts w:ascii="Courier New" w:eastAsia="Times New Roman" w:hAnsi="Courier New" w:cs="Courier New"/>
          <w:kern w:val="0"/>
          <w:sz w:val="20"/>
          <w:szCs w:val="20"/>
          <w:lang w:eastAsia="en-IN"/>
          <w14:ligatures w14:val="none"/>
        </w:rPr>
        <w:t>": {</w:t>
      </w:r>
    </w:p>
    <w:p w14:paraId="55F0AE74"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"@type": "Answer",</w:t>
      </w:r>
    </w:p>
    <w:p w14:paraId="0D617460"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"text": "Leading companies include TechnipFMC, Subsea 7, </w:t>
      </w:r>
      <w:proofErr w:type="spellStart"/>
      <w:r w:rsidRPr="00764A3C">
        <w:rPr>
          <w:rFonts w:ascii="Courier New" w:eastAsia="Times New Roman" w:hAnsi="Courier New" w:cs="Courier New"/>
          <w:kern w:val="0"/>
          <w:sz w:val="20"/>
          <w:szCs w:val="20"/>
          <w:lang w:eastAsia="en-IN"/>
          <w14:ligatures w14:val="none"/>
        </w:rPr>
        <w:t>Allseas</w:t>
      </w:r>
      <w:proofErr w:type="spellEnd"/>
      <w:r w:rsidRPr="00764A3C">
        <w:rPr>
          <w:rFonts w:ascii="Courier New" w:eastAsia="Times New Roman" w:hAnsi="Courier New" w:cs="Courier New"/>
          <w:kern w:val="0"/>
          <w:sz w:val="20"/>
          <w:szCs w:val="20"/>
          <w:lang w:eastAsia="en-IN"/>
          <w14:ligatures w14:val="none"/>
        </w:rPr>
        <w:t>, Saipem, Petrofac, Oceaneering International, and Aker Solutions."</w:t>
      </w:r>
    </w:p>
    <w:p w14:paraId="6EBA49B5"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
    <w:p w14:paraId="7BAAA5DA"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
    <w:p w14:paraId="5CA99B33"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
    <w:p w14:paraId="71B3C8DE"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"@type": "Question",</w:t>
      </w:r>
    </w:p>
    <w:p w14:paraId="192DE895"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"name": "What factors are driving growth in the offshore decommissioning market?",</w:t>
      </w:r>
    </w:p>
    <w:p w14:paraId="11406064"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roofErr w:type="spellStart"/>
      <w:r w:rsidRPr="00764A3C">
        <w:rPr>
          <w:rFonts w:ascii="Courier New" w:eastAsia="Times New Roman" w:hAnsi="Courier New" w:cs="Courier New"/>
          <w:kern w:val="0"/>
          <w:sz w:val="20"/>
          <w:szCs w:val="20"/>
          <w:lang w:eastAsia="en-IN"/>
          <w14:ligatures w14:val="none"/>
        </w:rPr>
        <w:t>acceptedAnswer</w:t>
      </w:r>
      <w:proofErr w:type="spellEnd"/>
      <w:r w:rsidRPr="00764A3C">
        <w:rPr>
          <w:rFonts w:ascii="Courier New" w:eastAsia="Times New Roman" w:hAnsi="Courier New" w:cs="Courier New"/>
          <w:kern w:val="0"/>
          <w:sz w:val="20"/>
          <w:szCs w:val="20"/>
          <w:lang w:eastAsia="en-IN"/>
          <w14:ligatures w14:val="none"/>
        </w:rPr>
        <w:t>": {</w:t>
      </w:r>
    </w:p>
    <w:p w14:paraId="6DBEA202"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"@type": "Answer",</w:t>
      </w:r>
    </w:p>
    <w:p w14:paraId="455A2415"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"text": "Growth is driven by increasing numbers of aging offshore platforms, strict environmental policies, adoption of robotics and AI technologies, and the push for sustainable asset repurposing in the energy transition."</w:t>
      </w:r>
    </w:p>
    <w:p w14:paraId="2E270F20"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
    <w:p w14:paraId="2B7BFBC5"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
    <w:p w14:paraId="4E76706F"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 xml:space="preserve">  ]</w:t>
      </w:r>
    </w:p>
    <w:p w14:paraId="30C4312F" w14:textId="77777777" w:rsidR="00764A3C" w:rsidRPr="00764A3C" w:rsidRDefault="00764A3C" w:rsidP="00764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64A3C">
        <w:rPr>
          <w:rFonts w:ascii="Courier New" w:eastAsia="Times New Roman" w:hAnsi="Courier New" w:cs="Courier New"/>
          <w:kern w:val="0"/>
          <w:sz w:val="20"/>
          <w:szCs w:val="20"/>
          <w:lang w:eastAsia="en-IN"/>
          <w14:ligatures w14:val="none"/>
        </w:rPr>
        <w:t>}</w:t>
      </w:r>
    </w:p>
    <w:p w14:paraId="000DFD3E" w14:textId="77777777" w:rsidR="00764A3C" w:rsidRDefault="00764A3C">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731DC2B1" w14:textId="0C3FA0F1" w:rsidR="00764A3C" w:rsidRPr="00764A3C" w:rsidRDefault="00764A3C" w:rsidP="00764A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64A3C">
        <w:rPr>
          <w:rFonts w:ascii="Times New Roman" w:eastAsia="Times New Roman" w:hAnsi="Times New Roman" w:cs="Times New Roman"/>
          <w:b/>
          <w:bCs/>
          <w:kern w:val="36"/>
          <w:sz w:val="48"/>
          <w:szCs w:val="48"/>
          <w:lang w:eastAsia="en-IN"/>
          <w14:ligatures w14:val="none"/>
        </w:rPr>
        <w:lastRenderedPageBreak/>
        <w:t>9. Table of Contents</w:t>
      </w:r>
    </w:p>
    <w:p w14:paraId="57C304B3" w14:textId="77777777" w:rsidR="00764A3C" w:rsidRPr="00764A3C" w:rsidRDefault="00764A3C" w:rsidP="00764A3C">
      <w:pPr>
        <w:spacing w:after="0"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pict w14:anchorId="249CA483">
          <v:rect id="_x0000_i1044" style="width:0;height:1.5pt" o:hralign="center" o:hrstd="t" o:hr="t" fillcolor="#a0a0a0" stroked="f"/>
        </w:pict>
      </w:r>
    </w:p>
    <w:p w14:paraId="6F981F5D" w14:textId="77777777" w:rsidR="00764A3C" w:rsidRPr="00764A3C" w:rsidRDefault="00764A3C" w:rsidP="00764A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64A3C">
        <w:rPr>
          <w:rFonts w:ascii="Times New Roman" w:eastAsia="Times New Roman" w:hAnsi="Times New Roman" w:cs="Times New Roman"/>
          <w:b/>
          <w:bCs/>
          <w:kern w:val="0"/>
          <w:sz w:val="36"/>
          <w:szCs w:val="36"/>
          <w:lang w:eastAsia="en-IN"/>
          <w14:ligatures w14:val="none"/>
        </w:rPr>
        <w:t>Title: Table of Contents for Offshore Decommissioning Market Report (2024–2030)</w:t>
      </w:r>
    </w:p>
    <w:p w14:paraId="39F838E8" w14:textId="77777777" w:rsidR="00764A3C" w:rsidRPr="00764A3C" w:rsidRDefault="00764A3C" w:rsidP="00764A3C">
      <w:pPr>
        <w:spacing w:after="0"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pict w14:anchorId="28600E3B">
          <v:rect id="_x0000_i1045" style="width:0;height:1.5pt" o:hralign="center" o:hrstd="t" o:hr="t" fillcolor="#a0a0a0" stroked="f"/>
        </w:pict>
      </w:r>
    </w:p>
    <w:p w14:paraId="02ABFB85" w14:textId="77777777" w:rsidR="00764A3C" w:rsidRPr="00764A3C" w:rsidRDefault="00764A3C" w:rsidP="00764A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4A3C">
        <w:rPr>
          <w:rFonts w:ascii="Times New Roman" w:eastAsia="Times New Roman" w:hAnsi="Times New Roman" w:cs="Times New Roman"/>
          <w:b/>
          <w:bCs/>
          <w:kern w:val="0"/>
          <w:sz w:val="27"/>
          <w:szCs w:val="27"/>
          <w:lang w:eastAsia="en-IN"/>
          <w14:ligatures w14:val="none"/>
        </w:rPr>
        <w:t>Executive Summary</w:t>
      </w:r>
    </w:p>
    <w:p w14:paraId="1ADCCBA0" w14:textId="77777777" w:rsidR="00764A3C" w:rsidRPr="00764A3C" w:rsidRDefault="00764A3C" w:rsidP="00764A3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Market Overview</w:t>
      </w:r>
    </w:p>
    <w:p w14:paraId="237C7659" w14:textId="77777777" w:rsidR="00764A3C" w:rsidRPr="00764A3C" w:rsidRDefault="00764A3C" w:rsidP="00764A3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Market Attractiveness by Service Type, Structure Type, Depth, and Region</w:t>
      </w:r>
    </w:p>
    <w:p w14:paraId="78D4E7CE" w14:textId="77777777" w:rsidR="00764A3C" w:rsidRPr="00764A3C" w:rsidRDefault="00764A3C" w:rsidP="00764A3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Strategic Insights from Key Executives (CXO Perspective)</w:t>
      </w:r>
    </w:p>
    <w:p w14:paraId="1ACDC1E0" w14:textId="77777777" w:rsidR="00764A3C" w:rsidRPr="00764A3C" w:rsidRDefault="00764A3C" w:rsidP="00764A3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Historical Market Size and Future Projections (2019–2030)</w:t>
      </w:r>
    </w:p>
    <w:p w14:paraId="6293618D" w14:textId="77777777" w:rsidR="00764A3C" w:rsidRPr="00764A3C" w:rsidRDefault="00764A3C" w:rsidP="00764A3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Summary of Market Segmentation by Service Type, Structure Type, Depth, and Region</w:t>
      </w:r>
    </w:p>
    <w:p w14:paraId="4B123A62" w14:textId="77777777" w:rsidR="00764A3C" w:rsidRPr="00764A3C" w:rsidRDefault="00764A3C" w:rsidP="00764A3C">
      <w:pPr>
        <w:spacing w:after="0"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pict w14:anchorId="080EC2B5">
          <v:rect id="_x0000_i1046" style="width:0;height:1.5pt" o:hralign="center" o:hrstd="t" o:hr="t" fillcolor="#a0a0a0" stroked="f"/>
        </w:pict>
      </w:r>
    </w:p>
    <w:p w14:paraId="1556AB7A" w14:textId="77777777" w:rsidR="00764A3C" w:rsidRPr="00764A3C" w:rsidRDefault="00764A3C" w:rsidP="00764A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4A3C">
        <w:rPr>
          <w:rFonts w:ascii="Times New Roman" w:eastAsia="Times New Roman" w:hAnsi="Times New Roman" w:cs="Times New Roman"/>
          <w:b/>
          <w:bCs/>
          <w:kern w:val="0"/>
          <w:sz w:val="27"/>
          <w:szCs w:val="27"/>
          <w:lang w:eastAsia="en-IN"/>
          <w14:ligatures w14:val="none"/>
        </w:rPr>
        <w:t>Market Share Analysis</w:t>
      </w:r>
    </w:p>
    <w:p w14:paraId="38FD340C" w14:textId="77777777" w:rsidR="00764A3C" w:rsidRPr="00764A3C" w:rsidRDefault="00764A3C" w:rsidP="00764A3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Leading Players by Revenue and Market Share</w:t>
      </w:r>
    </w:p>
    <w:p w14:paraId="64C28A32" w14:textId="77777777" w:rsidR="00764A3C" w:rsidRPr="00764A3C" w:rsidRDefault="00764A3C" w:rsidP="00764A3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Market Share Analysis by Service Type, Structure Type, and Depth</w:t>
      </w:r>
    </w:p>
    <w:p w14:paraId="163C9834" w14:textId="77777777" w:rsidR="00764A3C" w:rsidRPr="00764A3C" w:rsidRDefault="00764A3C" w:rsidP="00764A3C">
      <w:pPr>
        <w:spacing w:after="0"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pict w14:anchorId="395041FE">
          <v:rect id="_x0000_i1047" style="width:0;height:1.5pt" o:hralign="center" o:hrstd="t" o:hr="t" fillcolor="#a0a0a0" stroked="f"/>
        </w:pict>
      </w:r>
    </w:p>
    <w:p w14:paraId="2DA7B5EB" w14:textId="77777777" w:rsidR="00764A3C" w:rsidRPr="00764A3C" w:rsidRDefault="00764A3C" w:rsidP="00764A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4A3C">
        <w:rPr>
          <w:rFonts w:ascii="Times New Roman" w:eastAsia="Times New Roman" w:hAnsi="Times New Roman" w:cs="Times New Roman"/>
          <w:b/>
          <w:bCs/>
          <w:kern w:val="0"/>
          <w:sz w:val="27"/>
          <w:szCs w:val="27"/>
          <w:lang w:eastAsia="en-IN"/>
          <w14:ligatures w14:val="none"/>
        </w:rPr>
        <w:t>Investment Opportunities in the Offshore Decommissioning Market</w:t>
      </w:r>
    </w:p>
    <w:p w14:paraId="15FAC699" w14:textId="77777777" w:rsidR="00764A3C" w:rsidRPr="00764A3C" w:rsidRDefault="00764A3C" w:rsidP="00764A3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Key Developments and Technological Innovations</w:t>
      </w:r>
    </w:p>
    <w:p w14:paraId="50A1A755" w14:textId="77777777" w:rsidR="00764A3C" w:rsidRPr="00764A3C" w:rsidRDefault="00764A3C" w:rsidP="00764A3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Mergers, Acquisitions, and Strategic Partnerships</w:t>
      </w:r>
    </w:p>
    <w:p w14:paraId="649D5A38" w14:textId="77777777" w:rsidR="00764A3C" w:rsidRPr="00764A3C" w:rsidRDefault="00764A3C" w:rsidP="00764A3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High-Growth Segments for Investment</w:t>
      </w:r>
    </w:p>
    <w:p w14:paraId="039AF73B" w14:textId="77777777" w:rsidR="00764A3C" w:rsidRPr="00764A3C" w:rsidRDefault="00764A3C" w:rsidP="00764A3C">
      <w:pPr>
        <w:spacing w:after="0"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pict w14:anchorId="57007581">
          <v:rect id="_x0000_i1048" style="width:0;height:1.5pt" o:hralign="center" o:hrstd="t" o:hr="t" fillcolor="#a0a0a0" stroked="f"/>
        </w:pict>
      </w:r>
    </w:p>
    <w:p w14:paraId="6B0B4096" w14:textId="77777777" w:rsidR="00764A3C" w:rsidRPr="00764A3C" w:rsidRDefault="00764A3C" w:rsidP="00764A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4A3C">
        <w:rPr>
          <w:rFonts w:ascii="Times New Roman" w:eastAsia="Times New Roman" w:hAnsi="Times New Roman" w:cs="Times New Roman"/>
          <w:b/>
          <w:bCs/>
          <w:kern w:val="0"/>
          <w:sz w:val="27"/>
          <w:szCs w:val="27"/>
          <w:lang w:eastAsia="en-IN"/>
          <w14:ligatures w14:val="none"/>
        </w:rPr>
        <w:t>Market Introduction</w:t>
      </w:r>
    </w:p>
    <w:p w14:paraId="29B9B680" w14:textId="77777777" w:rsidR="00764A3C" w:rsidRPr="00764A3C" w:rsidRDefault="00764A3C" w:rsidP="00764A3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Definition and Scope of the Study</w:t>
      </w:r>
    </w:p>
    <w:p w14:paraId="549B17A7" w14:textId="77777777" w:rsidR="00764A3C" w:rsidRPr="00764A3C" w:rsidRDefault="00764A3C" w:rsidP="00764A3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Market Structure and Key Findings</w:t>
      </w:r>
    </w:p>
    <w:p w14:paraId="5CE742A0" w14:textId="77777777" w:rsidR="00764A3C" w:rsidRPr="00764A3C" w:rsidRDefault="00764A3C" w:rsidP="00764A3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Overview of Top Investment Pockets</w:t>
      </w:r>
    </w:p>
    <w:p w14:paraId="2EF3CF9D" w14:textId="77777777" w:rsidR="00764A3C" w:rsidRPr="00764A3C" w:rsidRDefault="00764A3C" w:rsidP="00764A3C">
      <w:pPr>
        <w:spacing w:after="0"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pict w14:anchorId="47A8B399">
          <v:rect id="_x0000_i1049" style="width:0;height:1.5pt" o:hralign="center" o:hrstd="t" o:hr="t" fillcolor="#a0a0a0" stroked="f"/>
        </w:pict>
      </w:r>
    </w:p>
    <w:p w14:paraId="5A708B8E" w14:textId="77777777" w:rsidR="00764A3C" w:rsidRPr="00764A3C" w:rsidRDefault="00764A3C" w:rsidP="00764A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4A3C">
        <w:rPr>
          <w:rFonts w:ascii="Times New Roman" w:eastAsia="Times New Roman" w:hAnsi="Times New Roman" w:cs="Times New Roman"/>
          <w:b/>
          <w:bCs/>
          <w:kern w:val="0"/>
          <w:sz w:val="27"/>
          <w:szCs w:val="27"/>
          <w:lang w:eastAsia="en-IN"/>
          <w14:ligatures w14:val="none"/>
        </w:rPr>
        <w:t>Research Methodology</w:t>
      </w:r>
    </w:p>
    <w:p w14:paraId="2AA6B867" w14:textId="77777777" w:rsidR="00764A3C" w:rsidRPr="00764A3C" w:rsidRDefault="00764A3C" w:rsidP="00764A3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Research Process Overview</w:t>
      </w:r>
    </w:p>
    <w:p w14:paraId="58FD1DE2" w14:textId="77777777" w:rsidR="00764A3C" w:rsidRPr="00764A3C" w:rsidRDefault="00764A3C" w:rsidP="00764A3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Primary and Secondary Research Approaches</w:t>
      </w:r>
    </w:p>
    <w:p w14:paraId="01705879" w14:textId="77777777" w:rsidR="00764A3C" w:rsidRPr="00764A3C" w:rsidRDefault="00764A3C" w:rsidP="00764A3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lastRenderedPageBreak/>
        <w:t>Market Size Estimation and Forecasting Techniques</w:t>
      </w:r>
    </w:p>
    <w:p w14:paraId="4DFEC69D" w14:textId="77777777" w:rsidR="00764A3C" w:rsidRPr="00764A3C" w:rsidRDefault="00764A3C" w:rsidP="00764A3C">
      <w:pPr>
        <w:spacing w:after="0"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pict w14:anchorId="2DFED757">
          <v:rect id="_x0000_i1050" style="width:0;height:1.5pt" o:hralign="center" o:hrstd="t" o:hr="t" fillcolor="#a0a0a0" stroked="f"/>
        </w:pict>
      </w:r>
    </w:p>
    <w:p w14:paraId="421658C4" w14:textId="77777777" w:rsidR="00764A3C" w:rsidRPr="00764A3C" w:rsidRDefault="00764A3C" w:rsidP="00764A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4A3C">
        <w:rPr>
          <w:rFonts w:ascii="Times New Roman" w:eastAsia="Times New Roman" w:hAnsi="Times New Roman" w:cs="Times New Roman"/>
          <w:b/>
          <w:bCs/>
          <w:kern w:val="0"/>
          <w:sz w:val="27"/>
          <w:szCs w:val="27"/>
          <w:lang w:eastAsia="en-IN"/>
          <w14:ligatures w14:val="none"/>
        </w:rPr>
        <w:t>Market Dynamics</w:t>
      </w:r>
    </w:p>
    <w:p w14:paraId="6E583370" w14:textId="77777777" w:rsidR="00764A3C" w:rsidRPr="00764A3C" w:rsidRDefault="00764A3C" w:rsidP="00764A3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Key Market Drivers</w:t>
      </w:r>
    </w:p>
    <w:p w14:paraId="48BA4088" w14:textId="77777777" w:rsidR="00764A3C" w:rsidRPr="00764A3C" w:rsidRDefault="00764A3C" w:rsidP="00764A3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Challenges and Restraints Impacting Growth</w:t>
      </w:r>
    </w:p>
    <w:p w14:paraId="2C4A6A2A" w14:textId="77777777" w:rsidR="00764A3C" w:rsidRPr="00764A3C" w:rsidRDefault="00764A3C" w:rsidP="00764A3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Emerging Opportunities for Stakeholders</w:t>
      </w:r>
    </w:p>
    <w:p w14:paraId="3DD78F0C" w14:textId="77777777" w:rsidR="00764A3C" w:rsidRPr="00764A3C" w:rsidRDefault="00764A3C" w:rsidP="00764A3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Impact of Regulatory and Environmental Factors</w:t>
      </w:r>
    </w:p>
    <w:p w14:paraId="11978545" w14:textId="77777777" w:rsidR="00764A3C" w:rsidRPr="00764A3C" w:rsidRDefault="00764A3C" w:rsidP="00764A3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Offshore Energy Transition and Decommissioning Synergies</w:t>
      </w:r>
    </w:p>
    <w:p w14:paraId="7CE06D99" w14:textId="77777777" w:rsidR="00764A3C" w:rsidRPr="00764A3C" w:rsidRDefault="00764A3C" w:rsidP="00764A3C">
      <w:pPr>
        <w:spacing w:after="0"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pict w14:anchorId="2497E785">
          <v:rect id="_x0000_i1051" style="width:0;height:1.5pt" o:hralign="center" o:hrstd="t" o:hr="t" fillcolor="#a0a0a0" stroked="f"/>
        </w:pict>
      </w:r>
    </w:p>
    <w:p w14:paraId="48D97600" w14:textId="77777777" w:rsidR="00764A3C" w:rsidRPr="00764A3C" w:rsidRDefault="00764A3C" w:rsidP="00764A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4A3C">
        <w:rPr>
          <w:rFonts w:ascii="Times New Roman" w:eastAsia="Times New Roman" w:hAnsi="Times New Roman" w:cs="Times New Roman"/>
          <w:b/>
          <w:bCs/>
          <w:kern w:val="0"/>
          <w:sz w:val="27"/>
          <w:szCs w:val="27"/>
          <w:lang w:eastAsia="en-IN"/>
          <w14:ligatures w14:val="none"/>
        </w:rPr>
        <w:t>Global Offshore Decommissioning Market Analysis</w:t>
      </w:r>
    </w:p>
    <w:p w14:paraId="5990BBBC" w14:textId="77777777" w:rsidR="00764A3C" w:rsidRPr="00764A3C" w:rsidRDefault="00764A3C" w:rsidP="00764A3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Historical Market Size and Volume (2019–2023)</w:t>
      </w:r>
    </w:p>
    <w:p w14:paraId="207EFE0E" w14:textId="77777777" w:rsidR="00764A3C" w:rsidRPr="00764A3C" w:rsidRDefault="00764A3C" w:rsidP="00764A3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Market Size and Volume Forecasts (2024–2030)</w:t>
      </w:r>
    </w:p>
    <w:p w14:paraId="42E521FF" w14:textId="77777777" w:rsidR="00764A3C" w:rsidRPr="00764A3C" w:rsidRDefault="00764A3C" w:rsidP="00764A3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Market Analysis by Service Type:</w:t>
      </w:r>
    </w:p>
    <w:p w14:paraId="6B561557" w14:textId="77777777" w:rsidR="00764A3C" w:rsidRPr="00764A3C" w:rsidRDefault="00764A3C" w:rsidP="00764A3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Well Plugging &amp; Abandonment</w:t>
      </w:r>
    </w:p>
    <w:p w14:paraId="607DA569" w14:textId="77777777" w:rsidR="00764A3C" w:rsidRPr="00764A3C" w:rsidRDefault="00764A3C" w:rsidP="00764A3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Platform Removal</w:t>
      </w:r>
    </w:p>
    <w:p w14:paraId="4F3FA242" w14:textId="77777777" w:rsidR="00764A3C" w:rsidRPr="00764A3C" w:rsidRDefault="00764A3C" w:rsidP="00764A3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Pipeline &amp; Subsea Infrastructure Removal</w:t>
      </w:r>
    </w:p>
    <w:p w14:paraId="57409425" w14:textId="77777777" w:rsidR="00764A3C" w:rsidRPr="00764A3C" w:rsidRDefault="00764A3C" w:rsidP="00764A3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Waste Management</w:t>
      </w:r>
    </w:p>
    <w:p w14:paraId="638024EF" w14:textId="77777777" w:rsidR="00764A3C" w:rsidRPr="00764A3C" w:rsidRDefault="00764A3C" w:rsidP="00764A3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Site Clearance</w:t>
      </w:r>
    </w:p>
    <w:p w14:paraId="4615C854" w14:textId="77777777" w:rsidR="00764A3C" w:rsidRPr="00764A3C" w:rsidRDefault="00764A3C" w:rsidP="00764A3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Market Analysis by Structure Type:</w:t>
      </w:r>
    </w:p>
    <w:p w14:paraId="4CB320BF" w14:textId="77777777" w:rsidR="00764A3C" w:rsidRPr="00764A3C" w:rsidRDefault="00764A3C" w:rsidP="00764A3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Fixed Platforms</w:t>
      </w:r>
    </w:p>
    <w:p w14:paraId="0EFC1E40" w14:textId="77777777" w:rsidR="00764A3C" w:rsidRPr="00764A3C" w:rsidRDefault="00764A3C" w:rsidP="00764A3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Floating Production Systems</w:t>
      </w:r>
    </w:p>
    <w:p w14:paraId="79212F13" w14:textId="77777777" w:rsidR="00764A3C" w:rsidRPr="00764A3C" w:rsidRDefault="00764A3C" w:rsidP="00764A3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Subsea Templates &amp; Manifolds</w:t>
      </w:r>
    </w:p>
    <w:p w14:paraId="0917E417" w14:textId="77777777" w:rsidR="00764A3C" w:rsidRPr="00764A3C" w:rsidRDefault="00764A3C" w:rsidP="00764A3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Market Analysis by Depth:</w:t>
      </w:r>
    </w:p>
    <w:p w14:paraId="74960751" w14:textId="77777777" w:rsidR="00764A3C" w:rsidRPr="00764A3C" w:rsidRDefault="00764A3C" w:rsidP="00764A3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Shallow Water</w:t>
      </w:r>
    </w:p>
    <w:p w14:paraId="3AA39AC6" w14:textId="77777777" w:rsidR="00764A3C" w:rsidRPr="00764A3C" w:rsidRDefault="00764A3C" w:rsidP="00764A3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Deep Water</w:t>
      </w:r>
    </w:p>
    <w:p w14:paraId="31756A95" w14:textId="77777777" w:rsidR="00764A3C" w:rsidRPr="00764A3C" w:rsidRDefault="00764A3C" w:rsidP="00764A3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Market Analysis by Region:</w:t>
      </w:r>
    </w:p>
    <w:p w14:paraId="0086A901" w14:textId="77777777" w:rsidR="00764A3C" w:rsidRPr="00764A3C" w:rsidRDefault="00764A3C" w:rsidP="00764A3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North America</w:t>
      </w:r>
    </w:p>
    <w:p w14:paraId="490E3ACB" w14:textId="77777777" w:rsidR="00764A3C" w:rsidRPr="00764A3C" w:rsidRDefault="00764A3C" w:rsidP="00764A3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Europe</w:t>
      </w:r>
    </w:p>
    <w:p w14:paraId="41F256C3" w14:textId="77777777" w:rsidR="00764A3C" w:rsidRPr="00764A3C" w:rsidRDefault="00764A3C" w:rsidP="00764A3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Asia-Pacific</w:t>
      </w:r>
    </w:p>
    <w:p w14:paraId="08F7540E" w14:textId="77777777" w:rsidR="00764A3C" w:rsidRPr="00764A3C" w:rsidRDefault="00764A3C" w:rsidP="00764A3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Latin America</w:t>
      </w:r>
    </w:p>
    <w:p w14:paraId="13604F11" w14:textId="77777777" w:rsidR="00764A3C" w:rsidRPr="00764A3C" w:rsidRDefault="00764A3C" w:rsidP="00764A3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Middle East &amp; Africa</w:t>
      </w:r>
    </w:p>
    <w:p w14:paraId="70C5F891" w14:textId="77777777" w:rsidR="00764A3C" w:rsidRPr="00764A3C" w:rsidRDefault="00764A3C" w:rsidP="00764A3C">
      <w:pPr>
        <w:spacing w:after="0"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pict w14:anchorId="729994A8">
          <v:rect id="_x0000_i1052" style="width:0;height:1.5pt" o:hralign="center" o:hrstd="t" o:hr="t" fillcolor="#a0a0a0" stroked="f"/>
        </w:pict>
      </w:r>
    </w:p>
    <w:p w14:paraId="75DDD81F" w14:textId="77777777" w:rsidR="00764A3C" w:rsidRPr="00764A3C" w:rsidRDefault="00764A3C" w:rsidP="00764A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4A3C">
        <w:rPr>
          <w:rFonts w:ascii="Times New Roman" w:eastAsia="Times New Roman" w:hAnsi="Times New Roman" w:cs="Times New Roman"/>
          <w:b/>
          <w:bCs/>
          <w:kern w:val="0"/>
          <w:sz w:val="27"/>
          <w:szCs w:val="27"/>
          <w:lang w:eastAsia="en-IN"/>
          <w14:ligatures w14:val="none"/>
        </w:rPr>
        <w:t>Regional Market Analysis</w:t>
      </w:r>
    </w:p>
    <w:p w14:paraId="5AB90A6E" w14:textId="77777777" w:rsidR="00764A3C" w:rsidRPr="00764A3C" w:rsidRDefault="00764A3C" w:rsidP="00764A3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lastRenderedPageBreak/>
        <w:t>North America Offshore Decommissioning Market</w:t>
      </w:r>
    </w:p>
    <w:p w14:paraId="07D210D4" w14:textId="77777777" w:rsidR="00764A3C" w:rsidRPr="00764A3C" w:rsidRDefault="00764A3C" w:rsidP="00764A3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Historical Market Size and Volume (2019–2023)</w:t>
      </w:r>
    </w:p>
    <w:p w14:paraId="20DC59F4" w14:textId="77777777" w:rsidR="00764A3C" w:rsidRPr="00764A3C" w:rsidRDefault="00764A3C" w:rsidP="00764A3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Market Size and Volume Forecasts (2024–2030)</w:t>
      </w:r>
    </w:p>
    <w:p w14:paraId="40739D50" w14:textId="77777777" w:rsidR="00764A3C" w:rsidRPr="00764A3C" w:rsidRDefault="00764A3C" w:rsidP="00764A3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Market Analysis by Service Type, Structure Type, and Depth</w:t>
      </w:r>
    </w:p>
    <w:p w14:paraId="2E66DE54" w14:textId="77777777" w:rsidR="00764A3C" w:rsidRPr="00764A3C" w:rsidRDefault="00764A3C" w:rsidP="00764A3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Country-Level Breakdown: United States, Canada, Mexico</w:t>
      </w:r>
    </w:p>
    <w:p w14:paraId="3B6C154E" w14:textId="77777777" w:rsidR="00764A3C" w:rsidRPr="00764A3C" w:rsidRDefault="00764A3C" w:rsidP="00764A3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Europe Offshore Decommissioning Market</w:t>
      </w:r>
    </w:p>
    <w:p w14:paraId="3C7A348B" w14:textId="77777777" w:rsidR="00764A3C" w:rsidRPr="00764A3C" w:rsidRDefault="00764A3C" w:rsidP="00764A3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Historical Market Size and Volume (2019–2023)</w:t>
      </w:r>
    </w:p>
    <w:p w14:paraId="373E7EDB" w14:textId="77777777" w:rsidR="00764A3C" w:rsidRPr="00764A3C" w:rsidRDefault="00764A3C" w:rsidP="00764A3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Market Size and Volume Forecasts (2024–2030)</w:t>
      </w:r>
    </w:p>
    <w:p w14:paraId="73956089" w14:textId="77777777" w:rsidR="00764A3C" w:rsidRPr="00764A3C" w:rsidRDefault="00764A3C" w:rsidP="00764A3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Market Analysis by Service Type, Structure Type, and Depth</w:t>
      </w:r>
    </w:p>
    <w:p w14:paraId="44A564D3" w14:textId="77777777" w:rsidR="00764A3C" w:rsidRPr="00764A3C" w:rsidRDefault="00764A3C" w:rsidP="00764A3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Country-Level Breakdown: UK, Norway, Netherlands, Denmark, Rest of Europe</w:t>
      </w:r>
    </w:p>
    <w:p w14:paraId="1819D2A3" w14:textId="77777777" w:rsidR="00764A3C" w:rsidRPr="00764A3C" w:rsidRDefault="00764A3C" w:rsidP="00764A3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Asia-Pacific Offshore Decommissioning Market</w:t>
      </w:r>
    </w:p>
    <w:p w14:paraId="31B284D7" w14:textId="77777777" w:rsidR="00764A3C" w:rsidRPr="00764A3C" w:rsidRDefault="00764A3C" w:rsidP="00764A3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Historical Market Size and Volume (2019–2023)</w:t>
      </w:r>
    </w:p>
    <w:p w14:paraId="289F0CD7" w14:textId="77777777" w:rsidR="00764A3C" w:rsidRPr="00764A3C" w:rsidRDefault="00764A3C" w:rsidP="00764A3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Market Size and Volume Forecasts (2024–2030)</w:t>
      </w:r>
    </w:p>
    <w:p w14:paraId="78BC5AAF" w14:textId="77777777" w:rsidR="00764A3C" w:rsidRPr="00764A3C" w:rsidRDefault="00764A3C" w:rsidP="00764A3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Market Analysis by Service Type, Structure Type, and Depth</w:t>
      </w:r>
    </w:p>
    <w:p w14:paraId="6CEFEFD2" w14:textId="77777777" w:rsidR="00764A3C" w:rsidRPr="00764A3C" w:rsidRDefault="00764A3C" w:rsidP="00764A3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Country-Level Breakdown: Malaysia, Indonesia, Thailand, Australia, Rest of Asia-Pacific</w:t>
      </w:r>
    </w:p>
    <w:p w14:paraId="4BD03C0E" w14:textId="77777777" w:rsidR="00764A3C" w:rsidRPr="00764A3C" w:rsidRDefault="00764A3C" w:rsidP="00764A3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Latin America Offshore Decommissioning Market</w:t>
      </w:r>
    </w:p>
    <w:p w14:paraId="0E9CCD2A" w14:textId="77777777" w:rsidR="00764A3C" w:rsidRPr="00764A3C" w:rsidRDefault="00764A3C" w:rsidP="00764A3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Historical Market Size and Volume (2019–2023)</w:t>
      </w:r>
    </w:p>
    <w:p w14:paraId="30778333" w14:textId="77777777" w:rsidR="00764A3C" w:rsidRPr="00764A3C" w:rsidRDefault="00764A3C" w:rsidP="00764A3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Market Size and Volume Forecasts (2024–2030)</w:t>
      </w:r>
    </w:p>
    <w:p w14:paraId="73F1052E" w14:textId="77777777" w:rsidR="00764A3C" w:rsidRPr="00764A3C" w:rsidRDefault="00764A3C" w:rsidP="00764A3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Market Analysis by Service Type, Structure Type, and Depth</w:t>
      </w:r>
    </w:p>
    <w:p w14:paraId="0060A4C2" w14:textId="77777777" w:rsidR="00764A3C" w:rsidRPr="00764A3C" w:rsidRDefault="00764A3C" w:rsidP="00764A3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Country-Level Breakdown: Brazil, Mexico, Argentina, Rest of Latin America</w:t>
      </w:r>
    </w:p>
    <w:p w14:paraId="169D6173" w14:textId="77777777" w:rsidR="00764A3C" w:rsidRPr="00764A3C" w:rsidRDefault="00764A3C" w:rsidP="00764A3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764A3C">
        <w:rPr>
          <w:rFonts w:ascii="Times New Roman" w:eastAsia="Times New Roman" w:hAnsi="Times New Roman" w:cs="Times New Roman"/>
          <w:b/>
          <w:bCs/>
          <w:kern w:val="0"/>
          <w:sz w:val="24"/>
          <w:szCs w:val="24"/>
          <w:lang w:eastAsia="en-IN"/>
          <w14:ligatures w14:val="none"/>
        </w:rPr>
        <w:t>Middle East &amp; Africa Offshore Decommissioning Market</w:t>
      </w:r>
    </w:p>
    <w:p w14:paraId="2EB02A62" w14:textId="77777777" w:rsidR="00764A3C" w:rsidRPr="00764A3C" w:rsidRDefault="00764A3C" w:rsidP="00764A3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Historical Market Size and Volume (2019–2023)</w:t>
      </w:r>
    </w:p>
    <w:p w14:paraId="3756BCE3" w14:textId="77777777" w:rsidR="00764A3C" w:rsidRPr="00764A3C" w:rsidRDefault="00764A3C" w:rsidP="00764A3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Market Size and Volume Forecasts (2024–2030)</w:t>
      </w:r>
    </w:p>
    <w:p w14:paraId="159920DE" w14:textId="77777777" w:rsidR="00764A3C" w:rsidRPr="00764A3C" w:rsidRDefault="00764A3C" w:rsidP="00764A3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Market Analysis by Service Type, Structure Type, and Depth</w:t>
      </w:r>
    </w:p>
    <w:p w14:paraId="2E8E944E" w14:textId="77777777" w:rsidR="00764A3C" w:rsidRPr="00764A3C" w:rsidRDefault="00764A3C" w:rsidP="00764A3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Country-Level Breakdown: Saudi Arabia, UAE, Nigeria, Angola, Rest of Middle East &amp; Africa</w:t>
      </w:r>
    </w:p>
    <w:p w14:paraId="2EDC3BE5" w14:textId="77777777" w:rsidR="00764A3C" w:rsidRPr="00764A3C" w:rsidRDefault="00764A3C" w:rsidP="00764A3C">
      <w:pPr>
        <w:spacing w:after="0"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pict w14:anchorId="08E8EBD8">
          <v:rect id="_x0000_i1053" style="width:0;height:1.5pt" o:hralign="center" o:hrstd="t" o:hr="t" fillcolor="#a0a0a0" stroked="f"/>
        </w:pict>
      </w:r>
    </w:p>
    <w:p w14:paraId="51F28593" w14:textId="77777777" w:rsidR="00764A3C" w:rsidRPr="00764A3C" w:rsidRDefault="00764A3C" w:rsidP="00764A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4A3C">
        <w:rPr>
          <w:rFonts w:ascii="Times New Roman" w:eastAsia="Times New Roman" w:hAnsi="Times New Roman" w:cs="Times New Roman"/>
          <w:b/>
          <w:bCs/>
          <w:kern w:val="0"/>
          <w:sz w:val="27"/>
          <w:szCs w:val="27"/>
          <w:lang w:eastAsia="en-IN"/>
          <w14:ligatures w14:val="none"/>
        </w:rPr>
        <w:t>Key Players and Competitive Analysis</w:t>
      </w:r>
    </w:p>
    <w:p w14:paraId="5FFB39E2" w14:textId="77777777" w:rsidR="00764A3C" w:rsidRPr="00764A3C" w:rsidRDefault="00764A3C" w:rsidP="00764A3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TechnipFMC – Integrated Subsea and Decommissioning Leader</w:t>
      </w:r>
    </w:p>
    <w:p w14:paraId="43E87901" w14:textId="77777777" w:rsidR="00764A3C" w:rsidRPr="00764A3C" w:rsidRDefault="00764A3C" w:rsidP="00764A3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Subsea 7 – Deepwater and Robotic Intervention Specialist</w:t>
      </w:r>
    </w:p>
    <w:p w14:paraId="4876F667" w14:textId="77777777" w:rsidR="00764A3C" w:rsidRPr="00764A3C" w:rsidRDefault="00764A3C" w:rsidP="00764A3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64A3C">
        <w:rPr>
          <w:rFonts w:ascii="Times New Roman" w:eastAsia="Times New Roman" w:hAnsi="Times New Roman" w:cs="Times New Roman"/>
          <w:kern w:val="0"/>
          <w:sz w:val="24"/>
          <w:szCs w:val="24"/>
          <w:lang w:eastAsia="en-IN"/>
          <w14:ligatures w14:val="none"/>
        </w:rPr>
        <w:t>Allseas</w:t>
      </w:r>
      <w:proofErr w:type="spellEnd"/>
      <w:r w:rsidRPr="00764A3C">
        <w:rPr>
          <w:rFonts w:ascii="Times New Roman" w:eastAsia="Times New Roman" w:hAnsi="Times New Roman" w:cs="Times New Roman"/>
          <w:kern w:val="0"/>
          <w:sz w:val="24"/>
          <w:szCs w:val="24"/>
          <w:lang w:eastAsia="en-IN"/>
          <w14:ligatures w14:val="none"/>
        </w:rPr>
        <w:t xml:space="preserve"> – Global Heavy-Lift and Topsides Removal Expert</w:t>
      </w:r>
    </w:p>
    <w:p w14:paraId="16D79B7F" w14:textId="77777777" w:rsidR="00764A3C" w:rsidRPr="00764A3C" w:rsidRDefault="00764A3C" w:rsidP="00764A3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Saipem – Sustainable Decommissioning and Circular Solutions Provider</w:t>
      </w:r>
    </w:p>
    <w:p w14:paraId="687514F3" w14:textId="77777777" w:rsidR="00764A3C" w:rsidRPr="00764A3C" w:rsidRDefault="00764A3C" w:rsidP="00764A3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Petrofac – Turnkey Well Abandonment and Lifecycle Management Specialist</w:t>
      </w:r>
    </w:p>
    <w:p w14:paraId="6EB1A8DC" w14:textId="77777777" w:rsidR="00764A3C" w:rsidRPr="00764A3C" w:rsidRDefault="00764A3C" w:rsidP="00764A3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Oceaneering International – Subsea Robotics and Autonomous Systems Provider</w:t>
      </w:r>
    </w:p>
    <w:p w14:paraId="30A7E00E" w14:textId="77777777" w:rsidR="00764A3C" w:rsidRPr="00764A3C" w:rsidRDefault="00764A3C" w:rsidP="00764A3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Aker Solutions – Environmental Compliance and Digital Decommissioning Expert</w:t>
      </w:r>
    </w:p>
    <w:p w14:paraId="334B54B9" w14:textId="77777777" w:rsidR="00764A3C" w:rsidRPr="00764A3C" w:rsidRDefault="00764A3C" w:rsidP="00764A3C">
      <w:pPr>
        <w:spacing w:after="0"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pict w14:anchorId="6AAC65DA">
          <v:rect id="_x0000_i1054" style="width:0;height:1.5pt" o:hralign="center" o:hrstd="t" o:hr="t" fillcolor="#a0a0a0" stroked="f"/>
        </w:pict>
      </w:r>
    </w:p>
    <w:p w14:paraId="6BFE1CAA" w14:textId="77777777" w:rsidR="00764A3C" w:rsidRPr="00764A3C" w:rsidRDefault="00764A3C" w:rsidP="00764A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4A3C">
        <w:rPr>
          <w:rFonts w:ascii="Times New Roman" w:eastAsia="Times New Roman" w:hAnsi="Times New Roman" w:cs="Times New Roman"/>
          <w:b/>
          <w:bCs/>
          <w:kern w:val="0"/>
          <w:sz w:val="27"/>
          <w:szCs w:val="27"/>
          <w:lang w:eastAsia="en-IN"/>
          <w14:ligatures w14:val="none"/>
        </w:rPr>
        <w:lastRenderedPageBreak/>
        <w:t>Appendix</w:t>
      </w:r>
    </w:p>
    <w:p w14:paraId="0E9E8F56" w14:textId="77777777" w:rsidR="00764A3C" w:rsidRPr="00764A3C" w:rsidRDefault="00764A3C" w:rsidP="00764A3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Abbreviations and Terminologies Used in the Report</w:t>
      </w:r>
    </w:p>
    <w:p w14:paraId="73ED872B" w14:textId="77777777" w:rsidR="00764A3C" w:rsidRPr="00764A3C" w:rsidRDefault="00764A3C" w:rsidP="00764A3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References and Data Sources</w:t>
      </w:r>
    </w:p>
    <w:p w14:paraId="7A676DE9" w14:textId="77777777" w:rsidR="00764A3C" w:rsidRPr="00764A3C" w:rsidRDefault="00764A3C" w:rsidP="00764A3C">
      <w:pPr>
        <w:spacing w:after="0"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pict w14:anchorId="72CC58B9">
          <v:rect id="_x0000_i1055" style="width:0;height:1.5pt" o:hralign="center" o:hrstd="t" o:hr="t" fillcolor="#a0a0a0" stroked="f"/>
        </w:pict>
      </w:r>
    </w:p>
    <w:p w14:paraId="6CF0760F" w14:textId="77777777" w:rsidR="00764A3C" w:rsidRPr="00764A3C" w:rsidRDefault="00764A3C" w:rsidP="00764A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4A3C">
        <w:rPr>
          <w:rFonts w:ascii="Times New Roman" w:eastAsia="Times New Roman" w:hAnsi="Times New Roman" w:cs="Times New Roman"/>
          <w:b/>
          <w:bCs/>
          <w:kern w:val="0"/>
          <w:sz w:val="27"/>
          <w:szCs w:val="27"/>
          <w:lang w:eastAsia="en-IN"/>
          <w14:ligatures w14:val="none"/>
        </w:rPr>
        <w:t>List of Tables</w:t>
      </w:r>
    </w:p>
    <w:p w14:paraId="5FEE0560" w14:textId="77777777" w:rsidR="00764A3C" w:rsidRPr="00764A3C" w:rsidRDefault="00764A3C" w:rsidP="00764A3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Market Size by Service Type, Structure Type, Depth, and Region (2024–2030)</w:t>
      </w:r>
    </w:p>
    <w:p w14:paraId="49510B51" w14:textId="77777777" w:rsidR="00764A3C" w:rsidRPr="00764A3C" w:rsidRDefault="00764A3C" w:rsidP="00764A3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Regional Market Breakdown by Service Type and Structure Type (2024–2030)</w:t>
      </w:r>
    </w:p>
    <w:p w14:paraId="452BFB4A" w14:textId="77777777" w:rsidR="00764A3C" w:rsidRPr="00764A3C" w:rsidRDefault="00764A3C" w:rsidP="00764A3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Market Share Analysis by Leading Companies (2024 vs. 2030)</w:t>
      </w:r>
    </w:p>
    <w:p w14:paraId="4354300E" w14:textId="77777777" w:rsidR="00764A3C" w:rsidRPr="00764A3C" w:rsidRDefault="00764A3C" w:rsidP="00764A3C">
      <w:pPr>
        <w:spacing w:after="0"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pict w14:anchorId="2474AD11">
          <v:rect id="_x0000_i1056" style="width:0;height:1.5pt" o:hralign="center" o:hrstd="t" o:hr="t" fillcolor="#a0a0a0" stroked="f"/>
        </w:pict>
      </w:r>
    </w:p>
    <w:p w14:paraId="0FC471B0" w14:textId="77777777" w:rsidR="00764A3C" w:rsidRPr="00764A3C" w:rsidRDefault="00764A3C" w:rsidP="00764A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4A3C">
        <w:rPr>
          <w:rFonts w:ascii="Times New Roman" w:eastAsia="Times New Roman" w:hAnsi="Times New Roman" w:cs="Times New Roman"/>
          <w:b/>
          <w:bCs/>
          <w:kern w:val="0"/>
          <w:sz w:val="27"/>
          <w:szCs w:val="27"/>
          <w:lang w:eastAsia="en-IN"/>
          <w14:ligatures w14:val="none"/>
        </w:rPr>
        <w:t>List of Figures</w:t>
      </w:r>
    </w:p>
    <w:p w14:paraId="7E4A364A" w14:textId="77777777" w:rsidR="00764A3C" w:rsidRPr="00764A3C" w:rsidRDefault="00764A3C" w:rsidP="00764A3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Market Dynamics: Drivers, Restraints, Opportunities, and Challenges</w:t>
      </w:r>
    </w:p>
    <w:p w14:paraId="0011AE6C" w14:textId="77777777" w:rsidR="00764A3C" w:rsidRPr="00764A3C" w:rsidRDefault="00764A3C" w:rsidP="00764A3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Regional Market Snapshot (2024–2030)</w:t>
      </w:r>
    </w:p>
    <w:p w14:paraId="415D0A53" w14:textId="77777777" w:rsidR="00764A3C" w:rsidRPr="00764A3C" w:rsidRDefault="00764A3C" w:rsidP="00764A3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Competitive Landscape and Market Share Distribution</w:t>
      </w:r>
    </w:p>
    <w:p w14:paraId="2961E89F" w14:textId="77777777" w:rsidR="00764A3C" w:rsidRPr="00764A3C" w:rsidRDefault="00764A3C" w:rsidP="00764A3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Technological Innovation and Sustainability Integration</w:t>
      </w:r>
    </w:p>
    <w:p w14:paraId="029A1668" w14:textId="20021DD8" w:rsidR="00FC77B6" w:rsidRPr="00764A3C" w:rsidRDefault="00764A3C" w:rsidP="00764A3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64A3C">
        <w:rPr>
          <w:rFonts w:ascii="Times New Roman" w:eastAsia="Times New Roman" w:hAnsi="Times New Roman" w:cs="Times New Roman"/>
          <w:kern w:val="0"/>
          <w:sz w:val="24"/>
          <w:szCs w:val="24"/>
          <w:lang w:eastAsia="en-IN"/>
          <w14:ligatures w14:val="none"/>
        </w:rPr>
        <w:t>Market Share by Service Type, Structure Type, and Depth (2024 vs. 2030)</w:t>
      </w:r>
    </w:p>
    <w:sectPr w:rsidR="00FC77B6" w:rsidRPr="00764A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A038B"/>
    <w:multiLevelType w:val="multilevel"/>
    <w:tmpl w:val="51B0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53917"/>
    <w:multiLevelType w:val="multilevel"/>
    <w:tmpl w:val="D33C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26D8E"/>
    <w:multiLevelType w:val="multilevel"/>
    <w:tmpl w:val="814E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21FA6"/>
    <w:multiLevelType w:val="multilevel"/>
    <w:tmpl w:val="9356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8046D"/>
    <w:multiLevelType w:val="multilevel"/>
    <w:tmpl w:val="E99C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F6591"/>
    <w:multiLevelType w:val="multilevel"/>
    <w:tmpl w:val="8578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97E53"/>
    <w:multiLevelType w:val="multilevel"/>
    <w:tmpl w:val="05F6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C7C51"/>
    <w:multiLevelType w:val="multilevel"/>
    <w:tmpl w:val="17E4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847ED9"/>
    <w:multiLevelType w:val="multilevel"/>
    <w:tmpl w:val="2496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AD2C19"/>
    <w:multiLevelType w:val="multilevel"/>
    <w:tmpl w:val="E85A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B461F"/>
    <w:multiLevelType w:val="multilevel"/>
    <w:tmpl w:val="BE5E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D4657"/>
    <w:multiLevelType w:val="multilevel"/>
    <w:tmpl w:val="5F7E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31DB9"/>
    <w:multiLevelType w:val="multilevel"/>
    <w:tmpl w:val="170A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04778"/>
    <w:multiLevelType w:val="multilevel"/>
    <w:tmpl w:val="1C08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345A90"/>
    <w:multiLevelType w:val="multilevel"/>
    <w:tmpl w:val="1FCC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5835E2"/>
    <w:multiLevelType w:val="multilevel"/>
    <w:tmpl w:val="D0FA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621C26"/>
    <w:multiLevelType w:val="multilevel"/>
    <w:tmpl w:val="34E6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855899"/>
    <w:multiLevelType w:val="multilevel"/>
    <w:tmpl w:val="747C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0A6855"/>
    <w:multiLevelType w:val="multilevel"/>
    <w:tmpl w:val="B546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69690B"/>
    <w:multiLevelType w:val="multilevel"/>
    <w:tmpl w:val="436C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183C06"/>
    <w:multiLevelType w:val="multilevel"/>
    <w:tmpl w:val="C7C4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6C133F"/>
    <w:multiLevelType w:val="multilevel"/>
    <w:tmpl w:val="1D4A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46763E"/>
    <w:multiLevelType w:val="multilevel"/>
    <w:tmpl w:val="D2E6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8B4224"/>
    <w:multiLevelType w:val="multilevel"/>
    <w:tmpl w:val="5378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799926">
    <w:abstractNumId w:val="0"/>
  </w:num>
  <w:num w:numId="2" w16cid:durableId="801265592">
    <w:abstractNumId w:val="7"/>
  </w:num>
  <w:num w:numId="3" w16cid:durableId="1407023727">
    <w:abstractNumId w:val="19"/>
  </w:num>
  <w:num w:numId="4" w16cid:durableId="505091987">
    <w:abstractNumId w:val="6"/>
  </w:num>
  <w:num w:numId="5" w16cid:durableId="1825463029">
    <w:abstractNumId w:val="11"/>
  </w:num>
  <w:num w:numId="6" w16cid:durableId="1949309578">
    <w:abstractNumId w:val="9"/>
  </w:num>
  <w:num w:numId="7" w16cid:durableId="980496896">
    <w:abstractNumId w:val="15"/>
  </w:num>
  <w:num w:numId="8" w16cid:durableId="1007563615">
    <w:abstractNumId w:val="20"/>
  </w:num>
  <w:num w:numId="9" w16cid:durableId="505704622">
    <w:abstractNumId w:val="4"/>
  </w:num>
  <w:num w:numId="10" w16cid:durableId="1451633696">
    <w:abstractNumId w:val="2"/>
  </w:num>
  <w:num w:numId="11" w16cid:durableId="703604433">
    <w:abstractNumId w:val="23"/>
  </w:num>
  <w:num w:numId="12" w16cid:durableId="627855037">
    <w:abstractNumId w:val="12"/>
  </w:num>
  <w:num w:numId="13" w16cid:durableId="288362064">
    <w:abstractNumId w:val="17"/>
  </w:num>
  <w:num w:numId="14" w16cid:durableId="431704484">
    <w:abstractNumId w:val="14"/>
  </w:num>
  <w:num w:numId="15" w16cid:durableId="1950314299">
    <w:abstractNumId w:val="16"/>
  </w:num>
  <w:num w:numId="16" w16cid:durableId="404106577">
    <w:abstractNumId w:val="21"/>
  </w:num>
  <w:num w:numId="17" w16cid:durableId="1335764409">
    <w:abstractNumId w:val="8"/>
  </w:num>
  <w:num w:numId="18" w16cid:durableId="1543207518">
    <w:abstractNumId w:val="18"/>
  </w:num>
  <w:num w:numId="19" w16cid:durableId="1775247338">
    <w:abstractNumId w:val="10"/>
  </w:num>
  <w:num w:numId="20" w16cid:durableId="1634096921">
    <w:abstractNumId w:val="22"/>
  </w:num>
  <w:num w:numId="21" w16cid:durableId="914826595">
    <w:abstractNumId w:val="5"/>
  </w:num>
  <w:num w:numId="22" w16cid:durableId="1436051144">
    <w:abstractNumId w:val="1"/>
  </w:num>
  <w:num w:numId="23" w16cid:durableId="923224315">
    <w:abstractNumId w:val="13"/>
  </w:num>
  <w:num w:numId="24" w16cid:durableId="10999127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3C"/>
    <w:rsid w:val="0013754B"/>
    <w:rsid w:val="00344AB7"/>
    <w:rsid w:val="00764A3C"/>
    <w:rsid w:val="00852AD8"/>
    <w:rsid w:val="0095754B"/>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B784F"/>
  <w15:chartTrackingRefBased/>
  <w15:docId w15:val="{72E692E3-A2BC-4975-9E1E-7E4B2366E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A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4A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4A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4A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4A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4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764A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4A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4A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4A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4A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4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A3C"/>
    <w:rPr>
      <w:rFonts w:eastAsiaTheme="majorEastAsia" w:cstheme="majorBidi"/>
      <w:color w:val="272727" w:themeColor="text1" w:themeTint="D8"/>
    </w:rPr>
  </w:style>
  <w:style w:type="paragraph" w:styleId="Title">
    <w:name w:val="Title"/>
    <w:basedOn w:val="Normal"/>
    <w:next w:val="Normal"/>
    <w:link w:val="TitleChar"/>
    <w:uiPriority w:val="10"/>
    <w:qFormat/>
    <w:rsid w:val="00764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A3C"/>
    <w:pPr>
      <w:spacing w:before="160"/>
      <w:jc w:val="center"/>
    </w:pPr>
    <w:rPr>
      <w:i/>
      <w:iCs/>
      <w:color w:val="404040" w:themeColor="text1" w:themeTint="BF"/>
    </w:rPr>
  </w:style>
  <w:style w:type="character" w:customStyle="1" w:styleId="QuoteChar">
    <w:name w:val="Quote Char"/>
    <w:basedOn w:val="DefaultParagraphFont"/>
    <w:link w:val="Quote"/>
    <w:uiPriority w:val="29"/>
    <w:rsid w:val="00764A3C"/>
    <w:rPr>
      <w:i/>
      <w:iCs/>
      <w:color w:val="404040" w:themeColor="text1" w:themeTint="BF"/>
    </w:rPr>
  </w:style>
  <w:style w:type="paragraph" w:styleId="ListParagraph">
    <w:name w:val="List Paragraph"/>
    <w:basedOn w:val="Normal"/>
    <w:uiPriority w:val="34"/>
    <w:qFormat/>
    <w:rsid w:val="00764A3C"/>
    <w:pPr>
      <w:ind w:left="720"/>
      <w:contextualSpacing/>
    </w:pPr>
  </w:style>
  <w:style w:type="character" w:styleId="IntenseEmphasis">
    <w:name w:val="Intense Emphasis"/>
    <w:basedOn w:val="DefaultParagraphFont"/>
    <w:uiPriority w:val="21"/>
    <w:qFormat/>
    <w:rsid w:val="00764A3C"/>
    <w:rPr>
      <w:i/>
      <w:iCs/>
      <w:color w:val="2F5496" w:themeColor="accent1" w:themeShade="BF"/>
    </w:rPr>
  </w:style>
  <w:style w:type="paragraph" w:styleId="IntenseQuote">
    <w:name w:val="Intense Quote"/>
    <w:basedOn w:val="Normal"/>
    <w:next w:val="Normal"/>
    <w:link w:val="IntenseQuoteChar"/>
    <w:uiPriority w:val="30"/>
    <w:qFormat/>
    <w:rsid w:val="00764A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4A3C"/>
    <w:rPr>
      <w:i/>
      <w:iCs/>
      <w:color w:val="2F5496" w:themeColor="accent1" w:themeShade="BF"/>
    </w:rPr>
  </w:style>
  <w:style w:type="character" w:styleId="IntenseReference">
    <w:name w:val="Intense Reference"/>
    <w:basedOn w:val="DefaultParagraphFont"/>
    <w:uiPriority w:val="32"/>
    <w:qFormat/>
    <w:rsid w:val="00764A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1104638">
      <w:bodyDiv w:val="1"/>
      <w:marLeft w:val="0"/>
      <w:marRight w:val="0"/>
      <w:marTop w:val="0"/>
      <w:marBottom w:val="0"/>
      <w:divBdr>
        <w:top w:val="none" w:sz="0" w:space="0" w:color="auto"/>
        <w:left w:val="none" w:sz="0" w:space="0" w:color="auto"/>
        <w:bottom w:val="none" w:sz="0" w:space="0" w:color="auto"/>
        <w:right w:val="none" w:sz="0" w:space="0" w:color="auto"/>
      </w:divBdr>
      <w:divsChild>
        <w:div w:id="585381073">
          <w:marLeft w:val="0"/>
          <w:marRight w:val="0"/>
          <w:marTop w:val="0"/>
          <w:marBottom w:val="0"/>
          <w:divBdr>
            <w:top w:val="none" w:sz="0" w:space="0" w:color="auto"/>
            <w:left w:val="none" w:sz="0" w:space="0" w:color="auto"/>
            <w:bottom w:val="none" w:sz="0" w:space="0" w:color="auto"/>
            <w:right w:val="none" w:sz="0" w:space="0" w:color="auto"/>
          </w:divBdr>
          <w:divsChild>
            <w:div w:id="92215128">
              <w:marLeft w:val="0"/>
              <w:marRight w:val="0"/>
              <w:marTop w:val="0"/>
              <w:marBottom w:val="0"/>
              <w:divBdr>
                <w:top w:val="none" w:sz="0" w:space="0" w:color="auto"/>
                <w:left w:val="none" w:sz="0" w:space="0" w:color="auto"/>
                <w:bottom w:val="none" w:sz="0" w:space="0" w:color="auto"/>
                <w:right w:val="none" w:sz="0" w:space="0" w:color="auto"/>
              </w:divBdr>
              <w:divsChild>
                <w:div w:id="1628470147">
                  <w:marLeft w:val="0"/>
                  <w:marRight w:val="0"/>
                  <w:marTop w:val="0"/>
                  <w:marBottom w:val="0"/>
                  <w:divBdr>
                    <w:top w:val="none" w:sz="0" w:space="0" w:color="auto"/>
                    <w:left w:val="none" w:sz="0" w:space="0" w:color="auto"/>
                    <w:bottom w:val="none" w:sz="0" w:space="0" w:color="auto"/>
                    <w:right w:val="none" w:sz="0" w:space="0" w:color="auto"/>
                  </w:divBdr>
                  <w:divsChild>
                    <w:div w:id="1987321720">
                      <w:marLeft w:val="0"/>
                      <w:marRight w:val="0"/>
                      <w:marTop w:val="0"/>
                      <w:marBottom w:val="0"/>
                      <w:divBdr>
                        <w:top w:val="none" w:sz="0" w:space="0" w:color="auto"/>
                        <w:left w:val="none" w:sz="0" w:space="0" w:color="auto"/>
                        <w:bottom w:val="none" w:sz="0" w:space="0" w:color="auto"/>
                        <w:right w:val="none" w:sz="0" w:space="0" w:color="auto"/>
                      </w:divBdr>
                      <w:divsChild>
                        <w:div w:id="714425048">
                          <w:marLeft w:val="0"/>
                          <w:marRight w:val="0"/>
                          <w:marTop w:val="0"/>
                          <w:marBottom w:val="0"/>
                          <w:divBdr>
                            <w:top w:val="none" w:sz="0" w:space="0" w:color="auto"/>
                            <w:left w:val="none" w:sz="0" w:space="0" w:color="auto"/>
                            <w:bottom w:val="none" w:sz="0" w:space="0" w:color="auto"/>
                            <w:right w:val="none" w:sz="0" w:space="0" w:color="auto"/>
                          </w:divBdr>
                          <w:divsChild>
                            <w:div w:id="141508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039201">
          <w:marLeft w:val="0"/>
          <w:marRight w:val="0"/>
          <w:marTop w:val="0"/>
          <w:marBottom w:val="0"/>
          <w:divBdr>
            <w:top w:val="none" w:sz="0" w:space="0" w:color="auto"/>
            <w:left w:val="none" w:sz="0" w:space="0" w:color="auto"/>
            <w:bottom w:val="none" w:sz="0" w:space="0" w:color="auto"/>
            <w:right w:val="none" w:sz="0" w:space="0" w:color="auto"/>
          </w:divBdr>
          <w:divsChild>
            <w:div w:id="1841846649">
              <w:marLeft w:val="0"/>
              <w:marRight w:val="0"/>
              <w:marTop w:val="0"/>
              <w:marBottom w:val="0"/>
              <w:divBdr>
                <w:top w:val="none" w:sz="0" w:space="0" w:color="auto"/>
                <w:left w:val="none" w:sz="0" w:space="0" w:color="auto"/>
                <w:bottom w:val="none" w:sz="0" w:space="0" w:color="auto"/>
                <w:right w:val="none" w:sz="0" w:space="0" w:color="auto"/>
              </w:divBdr>
              <w:divsChild>
                <w:div w:id="957874549">
                  <w:marLeft w:val="0"/>
                  <w:marRight w:val="0"/>
                  <w:marTop w:val="0"/>
                  <w:marBottom w:val="0"/>
                  <w:divBdr>
                    <w:top w:val="none" w:sz="0" w:space="0" w:color="auto"/>
                    <w:left w:val="none" w:sz="0" w:space="0" w:color="auto"/>
                    <w:bottom w:val="none" w:sz="0" w:space="0" w:color="auto"/>
                    <w:right w:val="none" w:sz="0" w:space="0" w:color="auto"/>
                  </w:divBdr>
                  <w:divsChild>
                    <w:div w:id="9795640">
                      <w:marLeft w:val="0"/>
                      <w:marRight w:val="0"/>
                      <w:marTop w:val="0"/>
                      <w:marBottom w:val="0"/>
                      <w:divBdr>
                        <w:top w:val="none" w:sz="0" w:space="0" w:color="auto"/>
                        <w:left w:val="none" w:sz="0" w:space="0" w:color="auto"/>
                        <w:bottom w:val="none" w:sz="0" w:space="0" w:color="auto"/>
                        <w:right w:val="none" w:sz="0" w:space="0" w:color="auto"/>
                      </w:divBdr>
                      <w:divsChild>
                        <w:div w:id="1322851340">
                          <w:marLeft w:val="0"/>
                          <w:marRight w:val="0"/>
                          <w:marTop w:val="0"/>
                          <w:marBottom w:val="0"/>
                          <w:divBdr>
                            <w:top w:val="none" w:sz="0" w:space="0" w:color="auto"/>
                            <w:left w:val="none" w:sz="0" w:space="0" w:color="auto"/>
                            <w:bottom w:val="none" w:sz="0" w:space="0" w:color="auto"/>
                            <w:right w:val="none" w:sz="0" w:space="0" w:color="auto"/>
                          </w:divBdr>
                          <w:divsChild>
                            <w:div w:id="146167459">
                              <w:marLeft w:val="0"/>
                              <w:marRight w:val="0"/>
                              <w:marTop w:val="0"/>
                              <w:marBottom w:val="0"/>
                              <w:divBdr>
                                <w:top w:val="none" w:sz="0" w:space="0" w:color="auto"/>
                                <w:left w:val="none" w:sz="0" w:space="0" w:color="auto"/>
                                <w:bottom w:val="none" w:sz="0" w:space="0" w:color="auto"/>
                                <w:right w:val="none" w:sz="0" w:space="0" w:color="auto"/>
                              </w:divBdr>
                              <w:divsChild>
                                <w:div w:id="108063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619803">
          <w:marLeft w:val="0"/>
          <w:marRight w:val="0"/>
          <w:marTop w:val="0"/>
          <w:marBottom w:val="0"/>
          <w:divBdr>
            <w:top w:val="none" w:sz="0" w:space="0" w:color="auto"/>
            <w:left w:val="none" w:sz="0" w:space="0" w:color="auto"/>
            <w:bottom w:val="none" w:sz="0" w:space="0" w:color="auto"/>
            <w:right w:val="none" w:sz="0" w:space="0" w:color="auto"/>
          </w:divBdr>
          <w:divsChild>
            <w:div w:id="1886789646">
              <w:marLeft w:val="0"/>
              <w:marRight w:val="0"/>
              <w:marTop w:val="0"/>
              <w:marBottom w:val="0"/>
              <w:divBdr>
                <w:top w:val="none" w:sz="0" w:space="0" w:color="auto"/>
                <w:left w:val="none" w:sz="0" w:space="0" w:color="auto"/>
                <w:bottom w:val="none" w:sz="0" w:space="0" w:color="auto"/>
                <w:right w:val="none" w:sz="0" w:space="0" w:color="auto"/>
              </w:divBdr>
              <w:divsChild>
                <w:div w:id="755135222">
                  <w:marLeft w:val="0"/>
                  <w:marRight w:val="0"/>
                  <w:marTop w:val="0"/>
                  <w:marBottom w:val="0"/>
                  <w:divBdr>
                    <w:top w:val="none" w:sz="0" w:space="0" w:color="auto"/>
                    <w:left w:val="none" w:sz="0" w:space="0" w:color="auto"/>
                    <w:bottom w:val="none" w:sz="0" w:space="0" w:color="auto"/>
                    <w:right w:val="none" w:sz="0" w:space="0" w:color="auto"/>
                  </w:divBdr>
                  <w:divsChild>
                    <w:div w:id="1284842987">
                      <w:marLeft w:val="0"/>
                      <w:marRight w:val="0"/>
                      <w:marTop w:val="0"/>
                      <w:marBottom w:val="0"/>
                      <w:divBdr>
                        <w:top w:val="none" w:sz="0" w:space="0" w:color="auto"/>
                        <w:left w:val="none" w:sz="0" w:space="0" w:color="auto"/>
                        <w:bottom w:val="none" w:sz="0" w:space="0" w:color="auto"/>
                        <w:right w:val="none" w:sz="0" w:space="0" w:color="auto"/>
                      </w:divBdr>
                      <w:divsChild>
                        <w:div w:id="1200821248">
                          <w:marLeft w:val="0"/>
                          <w:marRight w:val="0"/>
                          <w:marTop w:val="0"/>
                          <w:marBottom w:val="0"/>
                          <w:divBdr>
                            <w:top w:val="none" w:sz="0" w:space="0" w:color="auto"/>
                            <w:left w:val="none" w:sz="0" w:space="0" w:color="auto"/>
                            <w:bottom w:val="none" w:sz="0" w:space="0" w:color="auto"/>
                            <w:right w:val="none" w:sz="0" w:space="0" w:color="auto"/>
                          </w:divBdr>
                          <w:divsChild>
                            <w:div w:id="113555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633823">
          <w:marLeft w:val="0"/>
          <w:marRight w:val="0"/>
          <w:marTop w:val="0"/>
          <w:marBottom w:val="0"/>
          <w:divBdr>
            <w:top w:val="none" w:sz="0" w:space="0" w:color="auto"/>
            <w:left w:val="none" w:sz="0" w:space="0" w:color="auto"/>
            <w:bottom w:val="none" w:sz="0" w:space="0" w:color="auto"/>
            <w:right w:val="none" w:sz="0" w:space="0" w:color="auto"/>
          </w:divBdr>
          <w:divsChild>
            <w:div w:id="1082752867">
              <w:marLeft w:val="0"/>
              <w:marRight w:val="0"/>
              <w:marTop w:val="0"/>
              <w:marBottom w:val="0"/>
              <w:divBdr>
                <w:top w:val="none" w:sz="0" w:space="0" w:color="auto"/>
                <w:left w:val="none" w:sz="0" w:space="0" w:color="auto"/>
                <w:bottom w:val="none" w:sz="0" w:space="0" w:color="auto"/>
                <w:right w:val="none" w:sz="0" w:space="0" w:color="auto"/>
              </w:divBdr>
              <w:divsChild>
                <w:div w:id="1001547128">
                  <w:marLeft w:val="0"/>
                  <w:marRight w:val="0"/>
                  <w:marTop w:val="0"/>
                  <w:marBottom w:val="0"/>
                  <w:divBdr>
                    <w:top w:val="none" w:sz="0" w:space="0" w:color="auto"/>
                    <w:left w:val="none" w:sz="0" w:space="0" w:color="auto"/>
                    <w:bottom w:val="none" w:sz="0" w:space="0" w:color="auto"/>
                    <w:right w:val="none" w:sz="0" w:space="0" w:color="auto"/>
                  </w:divBdr>
                  <w:divsChild>
                    <w:div w:id="1220745663">
                      <w:marLeft w:val="0"/>
                      <w:marRight w:val="0"/>
                      <w:marTop w:val="0"/>
                      <w:marBottom w:val="0"/>
                      <w:divBdr>
                        <w:top w:val="none" w:sz="0" w:space="0" w:color="auto"/>
                        <w:left w:val="none" w:sz="0" w:space="0" w:color="auto"/>
                        <w:bottom w:val="none" w:sz="0" w:space="0" w:color="auto"/>
                        <w:right w:val="none" w:sz="0" w:space="0" w:color="auto"/>
                      </w:divBdr>
                      <w:divsChild>
                        <w:div w:id="321853677">
                          <w:marLeft w:val="0"/>
                          <w:marRight w:val="0"/>
                          <w:marTop w:val="0"/>
                          <w:marBottom w:val="0"/>
                          <w:divBdr>
                            <w:top w:val="none" w:sz="0" w:space="0" w:color="auto"/>
                            <w:left w:val="none" w:sz="0" w:space="0" w:color="auto"/>
                            <w:bottom w:val="none" w:sz="0" w:space="0" w:color="auto"/>
                            <w:right w:val="none" w:sz="0" w:space="0" w:color="auto"/>
                          </w:divBdr>
                          <w:divsChild>
                            <w:div w:id="1529445448">
                              <w:marLeft w:val="0"/>
                              <w:marRight w:val="0"/>
                              <w:marTop w:val="0"/>
                              <w:marBottom w:val="0"/>
                              <w:divBdr>
                                <w:top w:val="none" w:sz="0" w:space="0" w:color="auto"/>
                                <w:left w:val="none" w:sz="0" w:space="0" w:color="auto"/>
                                <w:bottom w:val="none" w:sz="0" w:space="0" w:color="auto"/>
                                <w:right w:val="none" w:sz="0" w:space="0" w:color="auto"/>
                              </w:divBdr>
                              <w:divsChild>
                                <w:div w:id="126144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570786">
          <w:marLeft w:val="0"/>
          <w:marRight w:val="0"/>
          <w:marTop w:val="0"/>
          <w:marBottom w:val="0"/>
          <w:divBdr>
            <w:top w:val="none" w:sz="0" w:space="0" w:color="auto"/>
            <w:left w:val="none" w:sz="0" w:space="0" w:color="auto"/>
            <w:bottom w:val="none" w:sz="0" w:space="0" w:color="auto"/>
            <w:right w:val="none" w:sz="0" w:space="0" w:color="auto"/>
          </w:divBdr>
          <w:divsChild>
            <w:div w:id="324629510">
              <w:marLeft w:val="0"/>
              <w:marRight w:val="0"/>
              <w:marTop w:val="0"/>
              <w:marBottom w:val="0"/>
              <w:divBdr>
                <w:top w:val="none" w:sz="0" w:space="0" w:color="auto"/>
                <w:left w:val="none" w:sz="0" w:space="0" w:color="auto"/>
                <w:bottom w:val="none" w:sz="0" w:space="0" w:color="auto"/>
                <w:right w:val="none" w:sz="0" w:space="0" w:color="auto"/>
              </w:divBdr>
              <w:divsChild>
                <w:div w:id="625087480">
                  <w:marLeft w:val="0"/>
                  <w:marRight w:val="0"/>
                  <w:marTop w:val="0"/>
                  <w:marBottom w:val="0"/>
                  <w:divBdr>
                    <w:top w:val="none" w:sz="0" w:space="0" w:color="auto"/>
                    <w:left w:val="none" w:sz="0" w:space="0" w:color="auto"/>
                    <w:bottom w:val="none" w:sz="0" w:space="0" w:color="auto"/>
                    <w:right w:val="none" w:sz="0" w:space="0" w:color="auto"/>
                  </w:divBdr>
                  <w:divsChild>
                    <w:div w:id="713232900">
                      <w:marLeft w:val="0"/>
                      <w:marRight w:val="0"/>
                      <w:marTop w:val="0"/>
                      <w:marBottom w:val="0"/>
                      <w:divBdr>
                        <w:top w:val="none" w:sz="0" w:space="0" w:color="auto"/>
                        <w:left w:val="none" w:sz="0" w:space="0" w:color="auto"/>
                        <w:bottom w:val="none" w:sz="0" w:space="0" w:color="auto"/>
                        <w:right w:val="none" w:sz="0" w:space="0" w:color="auto"/>
                      </w:divBdr>
                      <w:divsChild>
                        <w:div w:id="264965038">
                          <w:marLeft w:val="0"/>
                          <w:marRight w:val="0"/>
                          <w:marTop w:val="0"/>
                          <w:marBottom w:val="0"/>
                          <w:divBdr>
                            <w:top w:val="none" w:sz="0" w:space="0" w:color="auto"/>
                            <w:left w:val="none" w:sz="0" w:space="0" w:color="auto"/>
                            <w:bottom w:val="none" w:sz="0" w:space="0" w:color="auto"/>
                            <w:right w:val="none" w:sz="0" w:space="0" w:color="auto"/>
                          </w:divBdr>
                          <w:divsChild>
                            <w:div w:id="192749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206850">
          <w:marLeft w:val="0"/>
          <w:marRight w:val="0"/>
          <w:marTop w:val="0"/>
          <w:marBottom w:val="0"/>
          <w:divBdr>
            <w:top w:val="none" w:sz="0" w:space="0" w:color="auto"/>
            <w:left w:val="none" w:sz="0" w:space="0" w:color="auto"/>
            <w:bottom w:val="none" w:sz="0" w:space="0" w:color="auto"/>
            <w:right w:val="none" w:sz="0" w:space="0" w:color="auto"/>
          </w:divBdr>
          <w:divsChild>
            <w:div w:id="1597207019">
              <w:marLeft w:val="0"/>
              <w:marRight w:val="0"/>
              <w:marTop w:val="0"/>
              <w:marBottom w:val="0"/>
              <w:divBdr>
                <w:top w:val="none" w:sz="0" w:space="0" w:color="auto"/>
                <w:left w:val="none" w:sz="0" w:space="0" w:color="auto"/>
                <w:bottom w:val="none" w:sz="0" w:space="0" w:color="auto"/>
                <w:right w:val="none" w:sz="0" w:space="0" w:color="auto"/>
              </w:divBdr>
              <w:divsChild>
                <w:div w:id="1234044500">
                  <w:marLeft w:val="0"/>
                  <w:marRight w:val="0"/>
                  <w:marTop w:val="0"/>
                  <w:marBottom w:val="0"/>
                  <w:divBdr>
                    <w:top w:val="none" w:sz="0" w:space="0" w:color="auto"/>
                    <w:left w:val="none" w:sz="0" w:space="0" w:color="auto"/>
                    <w:bottom w:val="none" w:sz="0" w:space="0" w:color="auto"/>
                    <w:right w:val="none" w:sz="0" w:space="0" w:color="auto"/>
                  </w:divBdr>
                  <w:divsChild>
                    <w:div w:id="784157059">
                      <w:marLeft w:val="0"/>
                      <w:marRight w:val="0"/>
                      <w:marTop w:val="0"/>
                      <w:marBottom w:val="0"/>
                      <w:divBdr>
                        <w:top w:val="none" w:sz="0" w:space="0" w:color="auto"/>
                        <w:left w:val="none" w:sz="0" w:space="0" w:color="auto"/>
                        <w:bottom w:val="none" w:sz="0" w:space="0" w:color="auto"/>
                        <w:right w:val="none" w:sz="0" w:space="0" w:color="auto"/>
                      </w:divBdr>
                      <w:divsChild>
                        <w:div w:id="496267503">
                          <w:marLeft w:val="0"/>
                          <w:marRight w:val="0"/>
                          <w:marTop w:val="0"/>
                          <w:marBottom w:val="0"/>
                          <w:divBdr>
                            <w:top w:val="none" w:sz="0" w:space="0" w:color="auto"/>
                            <w:left w:val="none" w:sz="0" w:space="0" w:color="auto"/>
                            <w:bottom w:val="none" w:sz="0" w:space="0" w:color="auto"/>
                            <w:right w:val="none" w:sz="0" w:space="0" w:color="auto"/>
                          </w:divBdr>
                          <w:divsChild>
                            <w:div w:id="757025955">
                              <w:marLeft w:val="0"/>
                              <w:marRight w:val="0"/>
                              <w:marTop w:val="0"/>
                              <w:marBottom w:val="0"/>
                              <w:divBdr>
                                <w:top w:val="none" w:sz="0" w:space="0" w:color="auto"/>
                                <w:left w:val="none" w:sz="0" w:space="0" w:color="auto"/>
                                <w:bottom w:val="none" w:sz="0" w:space="0" w:color="auto"/>
                                <w:right w:val="none" w:sz="0" w:space="0" w:color="auto"/>
                              </w:divBdr>
                              <w:divsChild>
                                <w:div w:id="44762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576438">
          <w:marLeft w:val="0"/>
          <w:marRight w:val="0"/>
          <w:marTop w:val="0"/>
          <w:marBottom w:val="0"/>
          <w:divBdr>
            <w:top w:val="none" w:sz="0" w:space="0" w:color="auto"/>
            <w:left w:val="none" w:sz="0" w:space="0" w:color="auto"/>
            <w:bottom w:val="none" w:sz="0" w:space="0" w:color="auto"/>
            <w:right w:val="none" w:sz="0" w:space="0" w:color="auto"/>
          </w:divBdr>
          <w:divsChild>
            <w:div w:id="1572694339">
              <w:marLeft w:val="0"/>
              <w:marRight w:val="0"/>
              <w:marTop w:val="0"/>
              <w:marBottom w:val="0"/>
              <w:divBdr>
                <w:top w:val="none" w:sz="0" w:space="0" w:color="auto"/>
                <w:left w:val="none" w:sz="0" w:space="0" w:color="auto"/>
                <w:bottom w:val="none" w:sz="0" w:space="0" w:color="auto"/>
                <w:right w:val="none" w:sz="0" w:space="0" w:color="auto"/>
              </w:divBdr>
              <w:divsChild>
                <w:div w:id="1510944290">
                  <w:marLeft w:val="0"/>
                  <w:marRight w:val="0"/>
                  <w:marTop w:val="0"/>
                  <w:marBottom w:val="0"/>
                  <w:divBdr>
                    <w:top w:val="none" w:sz="0" w:space="0" w:color="auto"/>
                    <w:left w:val="none" w:sz="0" w:space="0" w:color="auto"/>
                    <w:bottom w:val="none" w:sz="0" w:space="0" w:color="auto"/>
                    <w:right w:val="none" w:sz="0" w:space="0" w:color="auto"/>
                  </w:divBdr>
                  <w:divsChild>
                    <w:div w:id="1092160331">
                      <w:marLeft w:val="0"/>
                      <w:marRight w:val="0"/>
                      <w:marTop w:val="0"/>
                      <w:marBottom w:val="0"/>
                      <w:divBdr>
                        <w:top w:val="none" w:sz="0" w:space="0" w:color="auto"/>
                        <w:left w:val="none" w:sz="0" w:space="0" w:color="auto"/>
                        <w:bottom w:val="none" w:sz="0" w:space="0" w:color="auto"/>
                        <w:right w:val="none" w:sz="0" w:space="0" w:color="auto"/>
                      </w:divBdr>
                      <w:divsChild>
                        <w:div w:id="1727531711">
                          <w:marLeft w:val="0"/>
                          <w:marRight w:val="0"/>
                          <w:marTop w:val="0"/>
                          <w:marBottom w:val="0"/>
                          <w:divBdr>
                            <w:top w:val="none" w:sz="0" w:space="0" w:color="auto"/>
                            <w:left w:val="none" w:sz="0" w:space="0" w:color="auto"/>
                            <w:bottom w:val="none" w:sz="0" w:space="0" w:color="auto"/>
                            <w:right w:val="none" w:sz="0" w:space="0" w:color="auto"/>
                          </w:divBdr>
                          <w:divsChild>
                            <w:div w:id="76940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663139">
          <w:marLeft w:val="0"/>
          <w:marRight w:val="0"/>
          <w:marTop w:val="0"/>
          <w:marBottom w:val="0"/>
          <w:divBdr>
            <w:top w:val="none" w:sz="0" w:space="0" w:color="auto"/>
            <w:left w:val="none" w:sz="0" w:space="0" w:color="auto"/>
            <w:bottom w:val="none" w:sz="0" w:space="0" w:color="auto"/>
            <w:right w:val="none" w:sz="0" w:space="0" w:color="auto"/>
          </w:divBdr>
          <w:divsChild>
            <w:div w:id="768811848">
              <w:marLeft w:val="0"/>
              <w:marRight w:val="0"/>
              <w:marTop w:val="0"/>
              <w:marBottom w:val="0"/>
              <w:divBdr>
                <w:top w:val="none" w:sz="0" w:space="0" w:color="auto"/>
                <w:left w:val="none" w:sz="0" w:space="0" w:color="auto"/>
                <w:bottom w:val="none" w:sz="0" w:space="0" w:color="auto"/>
                <w:right w:val="none" w:sz="0" w:space="0" w:color="auto"/>
              </w:divBdr>
              <w:divsChild>
                <w:div w:id="2063752126">
                  <w:marLeft w:val="0"/>
                  <w:marRight w:val="0"/>
                  <w:marTop w:val="0"/>
                  <w:marBottom w:val="0"/>
                  <w:divBdr>
                    <w:top w:val="none" w:sz="0" w:space="0" w:color="auto"/>
                    <w:left w:val="none" w:sz="0" w:space="0" w:color="auto"/>
                    <w:bottom w:val="none" w:sz="0" w:space="0" w:color="auto"/>
                    <w:right w:val="none" w:sz="0" w:space="0" w:color="auto"/>
                  </w:divBdr>
                  <w:divsChild>
                    <w:div w:id="1296445283">
                      <w:marLeft w:val="0"/>
                      <w:marRight w:val="0"/>
                      <w:marTop w:val="0"/>
                      <w:marBottom w:val="0"/>
                      <w:divBdr>
                        <w:top w:val="none" w:sz="0" w:space="0" w:color="auto"/>
                        <w:left w:val="none" w:sz="0" w:space="0" w:color="auto"/>
                        <w:bottom w:val="none" w:sz="0" w:space="0" w:color="auto"/>
                        <w:right w:val="none" w:sz="0" w:space="0" w:color="auto"/>
                      </w:divBdr>
                      <w:divsChild>
                        <w:div w:id="1417050209">
                          <w:marLeft w:val="0"/>
                          <w:marRight w:val="0"/>
                          <w:marTop w:val="0"/>
                          <w:marBottom w:val="0"/>
                          <w:divBdr>
                            <w:top w:val="none" w:sz="0" w:space="0" w:color="auto"/>
                            <w:left w:val="none" w:sz="0" w:space="0" w:color="auto"/>
                            <w:bottom w:val="none" w:sz="0" w:space="0" w:color="auto"/>
                            <w:right w:val="none" w:sz="0" w:space="0" w:color="auto"/>
                          </w:divBdr>
                          <w:divsChild>
                            <w:div w:id="845362442">
                              <w:marLeft w:val="0"/>
                              <w:marRight w:val="0"/>
                              <w:marTop w:val="0"/>
                              <w:marBottom w:val="0"/>
                              <w:divBdr>
                                <w:top w:val="none" w:sz="0" w:space="0" w:color="auto"/>
                                <w:left w:val="none" w:sz="0" w:space="0" w:color="auto"/>
                                <w:bottom w:val="none" w:sz="0" w:space="0" w:color="auto"/>
                                <w:right w:val="none" w:sz="0" w:space="0" w:color="auto"/>
                              </w:divBdr>
                              <w:divsChild>
                                <w:div w:id="159778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49196">
          <w:marLeft w:val="0"/>
          <w:marRight w:val="0"/>
          <w:marTop w:val="0"/>
          <w:marBottom w:val="0"/>
          <w:divBdr>
            <w:top w:val="none" w:sz="0" w:space="0" w:color="auto"/>
            <w:left w:val="none" w:sz="0" w:space="0" w:color="auto"/>
            <w:bottom w:val="none" w:sz="0" w:space="0" w:color="auto"/>
            <w:right w:val="none" w:sz="0" w:space="0" w:color="auto"/>
          </w:divBdr>
          <w:divsChild>
            <w:div w:id="1647663260">
              <w:marLeft w:val="0"/>
              <w:marRight w:val="0"/>
              <w:marTop w:val="0"/>
              <w:marBottom w:val="0"/>
              <w:divBdr>
                <w:top w:val="none" w:sz="0" w:space="0" w:color="auto"/>
                <w:left w:val="none" w:sz="0" w:space="0" w:color="auto"/>
                <w:bottom w:val="none" w:sz="0" w:space="0" w:color="auto"/>
                <w:right w:val="none" w:sz="0" w:space="0" w:color="auto"/>
              </w:divBdr>
              <w:divsChild>
                <w:div w:id="1443067651">
                  <w:marLeft w:val="0"/>
                  <w:marRight w:val="0"/>
                  <w:marTop w:val="0"/>
                  <w:marBottom w:val="0"/>
                  <w:divBdr>
                    <w:top w:val="none" w:sz="0" w:space="0" w:color="auto"/>
                    <w:left w:val="none" w:sz="0" w:space="0" w:color="auto"/>
                    <w:bottom w:val="none" w:sz="0" w:space="0" w:color="auto"/>
                    <w:right w:val="none" w:sz="0" w:space="0" w:color="auto"/>
                  </w:divBdr>
                  <w:divsChild>
                    <w:div w:id="487017149">
                      <w:marLeft w:val="0"/>
                      <w:marRight w:val="0"/>
                      <w:marTop w:val="0"/>
                      <w:marBottom w:val="0"/>
                      <w:divBdr>
                        <w:top w:val="none" w:sz="0" w:space="0" w:color="auto"/>
                        <w:left w:val="none" w:sz="0" w:space="0" w:color="auto"/>
                        <w:bottom w:val="none" w:sz="0" w:space="0" w:color="auto"/>
                        <w:right w:val="none" w:sz="0" w:space="0" w:color="auto"/>
                      </w:divBdr>
                      <w:divsChild>
                        <w:div w:id="384182779">
                          <w:marLeft w:val="0"/>
                          <w:marRight w:val="0"/>
                          <w:marTop w:val="0"/>
                          <w:marBottom w:val="0"/>
                          <w:divBdr>
                            <w:top w:val="none" w:sz="0" w:space="0" w:color="auto"/>
                            <w:left w:val="none" w:sz="0" w:space="0" w:color="auto"/>
                            <w:bottom w:val="none" w:sz="0" w:space="0" w:color="auto"/>
                            <w:right w:val="none" w:sz="0" w:space="0" w:color="auto"/>
                          </w:divBdr>
                          <w:divsChild>
                            <w:div w:id="11763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3994243">
          <w:marLeft w:val="0"/>
          <w:marRight w:val="0"/>
          <w:marTop w:val="0"/>
          <w:marBottom w:val="0"/>
          <w:divBdr>
            <w:top w:val="none" w:sz="0" w:space="0" w:color="auto"/>
            <w:left w:val="none" w:sz="0" w:space="0" w:color="auto"/>
            <w:bottom w:val="none" w:sz="0" w:space="0" w:color="auto"/>
            <w:right w:val="none" w:sz="0" w:space="0" w:color="auto"/>
          </w:divBdr>
          <w:divsChild>
            <w:div w:id="534121816">
              <w:marLeft w:val="0"/>
              <w:marRight w:val="0"/>
              <w:marTop w:val="0"/>
              <w:marBottom w:val="0"/>
              <w:divBdr>
                <w:top w:val="none" w:sz="0" w:space="0" w:color="auto"/>
                <w:left w:val="none" w:sz="0" w:space="0" w:color="auto"/>
                <w:bottom w:val="none" w:sz="0" w:space="0" w:color="auto"/>
                <w:right w:val="none" w:sz="0" w:space="0" w:color="auto"/>
              </w:divBdr>
              <w:divsChild>
                <w:div w:id="195168327">
                  <w:marLeft w:val="0"/>
                  <w:marRight w:val="0"/>
                  <w:marTop w:val="0"/>
                  <w:marBottom w:val="0"/>
                  <w:divBdr>
                    <w:top w:val="none" w:sz="0" w:space="0" w:color="auto"/>
                    <w:left w:val="none" w:sz="0" w:space="0" w:color="auto"/>
                    <w:bottom w:val="none" w:sz="0" w:space="0" w:color="auto"/>
                    <w:right w:val="none" w:sz="0" w:space="0" w:color="auto"/>
                  </w:divBdr>
                  <w:divsChild>
                    <w:div w:id="923147306">
                      <w:marLeft w:val="0"/>
                      <w:marRight w:val="0"/>
                      <w:marTop w:val="0"/>
                      <w:marBottom w:val="0"/>
                      <w:divBdr>
                        <w:top w:val="none" w:sz="0" w:space="0" w:color="auto"/>
                        <w:left w:val="none" w:sz="0" w:space="0" w:color="auto"/>
                        <w:bottom w:val="none" w:sz="0" w:space="0" w:color="auto"/>
                        <w:right w:val="none" w:sz="0" w:space="0" w:color="auto"/>
                      </w:divBdr>
                      <w:divsChild>
                        <w:div w:id="1424642295">
                          <w:marLeft w:val="0"/>
                          <w:marRight w:val="0"/>
                          <w:marTop w:val="0"/>
                          <w:marBottom w:val="0"/>
                          <w:divBdr>
                            <w:top w:val="none" w:sz="0" w:space="0" w:color="auto"/>
                            <w:left w:val="none" w:sz="0" w:space="0" w:color="auto"/>
                            <w:bottom w:val="none" w:sz="0" w:space="0" w:color="auto"/>
                            <w:right w:val="none" w:sz="0" w:space="0" w:color="auto"/>
                          </w:divBdr>
                          <w:divsChild>
                            <w:div w:id="1228760500">
                              <w:marLeft w:val="0"/>
                              <w:marRight w:val="0"/>
                              <w:marTop w:val="0"/>
                              <w:marBottom w:val="0"/>
                              <w:divBdr>
                                <w:top w:val="none" w:sz="0" w:space="0" w:color="auto"/>
                                <w:left w:val="none" w:sz="0" w:space="0" w:color="auto"/>
                                <w:bottom w:val="none" w:sz="0" w:space="0" w:color="auto"/>
                                <w:right w:val="none" w:sz="0" w:space="0" w:color="auto"/>
                              </w:divBdr>
                              <w:divsChild>
                                <w:div w:id="107061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049761">
          <w:marLeft w:val="0"/>
          <w:marRight w:val="0"/>
          <w:marTop w:val="0"/>
          <w:marBottom w:val="0"/>
          <w:divBdr>
            <w:top w:val="none" w:sz="0" w:space="0" w:color="auto"/>
            <w:left w:val="none" w:sz="0" w:space="0" w:color="auto"/>
            <w:bottom w:val="none" w:sz="0" w:space="0" w:color="auto"/>
            <w:right w:val="none" w:sz="0" w:space="0" w:color="auto"/>
          </w:divBdr>
          <w:divsChild>
            <w:div w:id="1922639835">
              <w:marLeft w:val="0"/>
              <w:marRight w:val="0"/>
              <w:marTop w:val="0"/>
              <w:marBottom w:val="0"/>
              <w:divBdr>
                <w:top w:val="none" w:sz="0" w:space="0" w:color="auto"/>
                <w:left w:val="none" w:sz="0" w:space="0" w:color="auto"/>
                <w:bottom w:val="none" w:sz="0" w:space="0" w:color="auto"/>
                <w:right w:val="none" w:sz="0" w:space="0" w:color="auto"/>
              </w:divBdr>
              <w:divsChild>
                <w:div w:id="1992714824">
                  <w:marLeft w:val="0"/>
                  <w:marRight w:val="0"/>
                  <w:marTop w:val="0"/>
                  <w:marBottom w:val="0"/>
                  <w:divBdr>
                    <w:top w:val="none" w:sz="0" w:space="0" w:color="auto"/>
                    <w:left w:val="none" w:sz="0" w:space="0" w:color="auto"/>
                    <w:bottom w:val="none" w:sz="0" w:space="0" w:color="auto"/>
                    <w:right w:val="none" w:sz="0" w:space="0" w:color="auto"/>
                  </w:divBdr>
                  <w:divsChild>
                    <w:div w:id="572391657">
                      <w:marLeft w:val="0"/>
                      <w:marRight w:val="0"/>
                      <w:marTop w:val="0"/>
                      <w:marBottom w:val="0"/>
                      <w:divBdr>
                        <w:top w:val="none" w:sz="0" w:space="0" w:color="auto"/>
                        <w:left w:val="none" w:sz="0" w:space="0" w:color="auto"/>
                        <w:bottom w:val="none" w:sz="0" w:space="0" w:color="auto"/>
                        <w:right w:val="none" w:sz="0" w:space="0" w:color="auto"/>
                      </w:divBdr>
                      <w:divsChild>
                        <w:div w:id="967855190">
                          <w:marLeft w:val="0"/>
                          <w:marRight w:val="0"/>
                          <w:marTop w:val="0"/>
                          <w:marBottom w:val="0"/>
                          <w:divBdr>
                            <w:top w:val="none" w:sz="0" w:space="0" w:color="auto"/>
                            <w:left w:val="none" w:sz="0" w:space="0" w:color="auto"/>
                            <w:bottom w:val="none" w:sz="0" w:space="0" w:color="auto"/>
                            <w:right w:val="none" w:sz="0" w:space="0" w:color="auto"/>
                          </w:divBdr>
                          <w:divsChild>
                            <w:div w:id="196445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084271">
          <w:marLeft w:val="0"/>
          <w:marRight w:val="0"/>
          <w:marTop w:val="0"/>
          <w:marBottom w:val="0"/>
          <w:divBdr>
            <w:top w:val="none" w:sz="0" w:space="0" w:color="auto"/>
            <w:left w:val="none" w:sz="0" w:space="0" w:color="auto"/>
            <w:bottom w:val="none" w:sz="0" w:space="0" w:color="auto"/>
            <w:right w:val="none" w:sz="0" w:space="0" w:color="auto"/>
          </w:divBdr>
          <w:divsChild>
            <w:div w:id="1066147985">
              <w:marLeft w:val="0"/>
              <w:marRight w:val="0"/>
              <w:marTop w:val="0"/>
              <w:marBottom w:val="0"/>
              <w:divBdr>
                <w:top w:val="none" w:sz="0" w:space="0" w:color="auto"/>
                <w:left w:val="none" w:sz="0" w:space="0" w:color="auto"/>
                <w:bottom w:val="none" w:sz="0" w:space="0" w:color="auto"/>
                <w:right w:val="none" w:sz="0" w:space="0" w:color="auto"/>
              </w:divBdr>
              <w:divsChild>
                <w:div w:id="1332679696">
                  <w:marLeft w:val="0"/>
                  <w:marRight w:val="0"/>
                  <w:marTop w:val="0"/>
                  <w:marBottom w:val="0"/>
                  <w:divBdr>
                    <w:top w:val="none" w:sz="0" w:space="0" w:color="auto"/>
                    <w:left w:val="none" w:sz="0" w:space="0" w:color="auto"/>
                    <w:bottom w:val="none" w:sz="0" w:space="0" w:color="auto"/>
                    <w:right w:val="none" w:sz="0" w:space="0" w:color="auto"/>
                  </w:divBdr>
                  <w:divsChild>
                    <w:div w:id="520166541">
                      <w:marLeft w:val="0"/>
                      <w:marRight w:val="0"/>
                      <w:marTop w:val="0"/>
                      <w:marBottom w:val="0"/>
                      <w:divBdr>
                        <w:top w:val="none" w:sz="0" w:space="0" w:color="auto"/>
                        <w:left w:val="none" w:sz="0" w:space="0" w:color="auto"/>
                        <w:bottom w:val="none" w:sz="0" w:space="0" w:color="auto"/>
                        <w:right w:val="none" w:sz="0" w:space="0" w:color="auto"/>
                      </w:divBdr>
                      <w:divsChild>
                        <w:div w:id="796412951">
                          <w:marLeft w:val="0"/>
                          <w:marRight w:val="0"/>
                          <w:marTop w:val="0"/>
                          <w:marBottom w:val="0"/>
                          <w:divBdr>
                            <w:top w:val="none" w:sz="0" w:space="0" w:color="auto"/>
                            <w:left w:val="none" w:sz="0" w:space="0" w:color="auto"/>
                            <w:bottom w:val="none" w:sz="0" w:space="0" w:color="auto"/>
                            <w:right w:val="none" w:sz="0" w:space="0" w:color="auto"/>
                          </w:divBdr>
                          <w:divsChild>
                            <w:div w:id="1410806595">
                              <w:marLeft w:val="0"/>
                              <w:marRight w:val="0"/>
                              <w:marTop w:val="0"/>
                              <w:marBottom w:val="0"/>
                              <w:divBdr>
                                <w:top w:val="none" w:sz="0" w:space="0" w:color="auto"/>
                                <w:left w:val="none" w:sz="0" w:space="0" w:color="auto"/>
                                <w:bottom w:val="none" w:sz="0" w:space="0" w:color="auto"/>
                                <w:right w:val="none" w:sz="0" w:space="0" w:color="auto"/>
                              </w:divBdr>
                              <w:divsChild>
                                <w:div w:id="70078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265476">
          <w:marLeft w:val="0"/>
          <w:marRight w:val="0"/>
          <w:marTop w:val="0"/>
          <w:marBottom w:val="0"/>
          <w:divBdr>
            <w:top w:val="none" w:sz="0" w:space="0" w:color="auto"/>
            <w:left w:val="none" w:sz="0" w:space="0" w:color="auto"/>
            <w:bottom w:val="none" w:sz="0" w:space="0" w:color="auto"/>
            <w:right w:val="none" w:sz="0" w:space="0" w:color="auto"/>
          </w:divBdr>
          <w:divsChild>
            <w:div w:id="1373962475">
              <w:marLeft w:val="0"/>
              <w:marRight w:val="0"/>
              <w:marTop w:val="0"/>
              <w:marBottom w:val="0"/>
              <w:divBdr>
                <w:top w:val="none" w:sz="0" w:space="0" w:color="auto"/>
                <w:left w:val="none" w:sz="0" w:space="0" w:color="auto"/>
                <w:bottom w:val="none" w:sz="0" w:space="0" w:color="auto"/>
                <w:right w:val="none" w:sz="0" w:space="0" w:color="auto"/>
              </w:divBdr>
              <w:divsChild>
                <w:div w:id="287899917">
                  <w:marLeft w:val="0"/>
                  <w:marRight w:val="0"/>
                  <w:marTop w:val="0"/>
                  <w:marBottom w:val="0"/>
                  <w:divBdr>
                    <w:top w:val="none" w:sz="0" w:space="0" w:color="auto"/>
                    <w:left w:val="none" w:sz="0" w:space="0" w:color="auto"/>
                    <w:bottom w:val="none" w:sz="0" w:space="0" w:color="auto"/>
                    <w:right w:val="none" w:sz="0" w:space="0" w:color="auto"/>
                  </w:divBdr>
                  <w:divsChild>
                    <w:div w:id="139929666">
                      <w:marLeft w:val="0"/>
                      <w:marRight w:val="0"/>
                      <w:marTop w:val="0"/>
                      <w:marBottom w:val="0"/>
                      <w:divBdr>
                        <w:top w:val="none" w:sz="0" w:space="0" w:color="auto"/>
                        <w:left w:val="none" w:sz="0" w:space="0" w:color="auto"/>
                        <w:bottom w:val="none" w:sz="0" w:space="0" w:color="auto"/>
                        <w:right w:val="none" w:sz="0" w:space="0" w:color="auto"/>
                      </w:divBdr>
                      <w:divsChild>
                        <w:div w:id="302545972">
                          <w:marLeft w:val="0"/>
                          <w:marRight w:val="0"/>
                          <w:marTop w:val="0"/>
                          <w:marBottom w:val="0"/>
                          <w:divBdr>
                            <w:top w:val="none" w:sz="0" w:space="0" w:color="auto"/>
                            <w:left w:val="none" w:sz="0" w:space="0" w:color="auto"/>
                            <w:bottom w:val="none" w:sz="0" w:space="0" w:color="auto"/>
                            <w:right w:val="none" w:sz="0" w:space="0" w:color="auto"/>
                          </w:divBdr>
                          <w:divsChild>
                            <w:div w:id="21131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753381">
          <w:marLeft w:val="0"/>
          <w:marRight w:val="0"/>
          <w:marTop w:val="0"/>
          <w:marBottom w:val="0"/>
          <w:divBdr>
            <w:top w:val="none" w:sz="0" w:space="0" w:color="auto"/>
            <w:left w:val="none" w:sz="0" w:space="0" w:color="auto"/>
            <w:bottom w:val="none" w:sz="0" w:space="0" w:color="auto"/>
            <w:right w:val="none" w:sz="0" w:space="0" w:color="auto"/>
          </w:divBdr>
          <w:divsChild>
            <w:div w:id="246113893">
              <w:marLeft w:val="0"/>
              <w:marRight w:val="0"/>
              <w:marTop w:val="0"/>
              <w:marBottom w:val="0"/>
              <w:divBdr>
                <w:top w:val="none" w:sz="0" w:space="0" w:color="auto"/>
                <w:left w:val="none" w:sz="0" w:space="0" w:color="auto"/>
                <w:bottom w:val="none" w:sz="0" w:space="0" w:color="auto"/>
                <w:right w:val="none" w:sz="0" w:space="0" w:color="auto"/>
              </w:divBdr>
              <w:divsChild>
                <w:div w:id="2066097185">
                  <w:marLeft w:val="0"/>
                  <w:marRight w:val="0"/>
                  <w:marTop w:val="0"/>
                  <w:marBottom w:val="0"/>
                  <w:divBdr>
                    <w:top w:val="none" w:sz="0" w:space="0" w:color="auto"/>
                    <w:left w:val="none" w:sz="0" w:space="0" w:color="auto"/>
                    <w:bottom w:val="none" w:sz="0" w:space="0" w:color="auto"/>
                    <w:right w:val="none" w:sz="0" w:space="0" w:color="auto"/>
                  </w:divBdr>
                  <w:divsChild>
                    <w:div w:id="1436826701">
                      <w:marLeft w:val="0"/>
                      <w:marRight w:val="0"/>
                      <w:marTop w:val="0"/>
                      <w:marBottom w:val="0"/>
                      <w:divBdr>
                        <w:top w:val="none" w:sz="0" w:space="0" w:color="auto"/>
                        <w:left w:val="none" w:sz="0" w:space="0" w:color="auto"/>
                        <w:bottom w:val="none" w:sz="0" w:space="0" w:color="auto"/>
                        <w:right w:val="none" w:sz="0" w:space="0" w:color="auto"/>
                      </w:divBdr>
                      <w:divsChild>
                        <w:div w:id="1558011339">
                          <w:marLeft w:val="0"/>
                          <w:marRight w:val="0"/>
                          <w:marTop w:val="0"/>
                          <w:marBottom w:val="0"/>
                          <w:divBdr>
                            <w:top w:val="none" w:sz="0" w:space="0" w:color="auto"/>
                            <w:left w:val="none" w:sz="0" w:space="0" w:color="auto"/>
                            <w:bottom w:val="none" w:sz="0" w:space="0" w:color="auto"/>
                            <w:right w:val="none" w:sz="0" w:space="0" w:color="auto"/>
                          </w:divBdr>
                          <w:divsChild>
                            <w:div w:id="2112046908">
                              <w:marLeft w:val="0"/>
                              <w:marRight w:val="0"/>
                              <w:marTop w:val="0"/>
                              <w:marBottom w:val="0"/>
                              <w:divBdr>
                                <w:top w:val="none" w:sz="0" w:space="0" w:color="auto"/>
                                <w:left w:val="none" w:sz="0" w:space="0" w:color="auto"/>
                                <w:bottom w:val="none" w:sz="0" w:space="0" w:color="auto"/>
                                <w:right w:val="none" w:sz="0" w:space="0" w:color="auto"/>
                              </w:divBdr>
                              <w:divsChild>
                                <w:div w:id="200994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8367">
          <w:marLeft w:val="0"/>
          <w:marRight w:val="0"/>
          <w:marTop w:val="0"/>
          <w:marBottom w:val="0"/>
          <w:divBdr>
            <w:top w:val="none" w:sz="0" w:space="0" w:color="auto"/>
            <w:left w:val="none" w:sz="0" w:space="0" w:color="auto"/>
            <w:bottom w:val="none" w:sz="0" w:space="0" w:color="auto"/>
            <w:right w:val="none" w:sz="0" w:space="0" w:color="auto"/>
          </w:divBdr>
          <w:divsChild>
            <w:div w:id="1750226506">
              <w:marLeft w:val="0"/>
              <w:marRight w:val="0"/>
              <w:marTop w:val="0"/>
              <w:marBottom w:val="0"/>
              <w:divBdr>
                <w:top w:val="none" w:sz="0" w:space="0" w:color="auto"/>
                <w:left w:val="none" w:sz="0" w:space="0" w:color="auto"/>
                <w:bottom w:val="none" w:sz="0" w:space="0" w:color="auto"/>
                <w:right w:val="none" w:sz="0" w:space="0" w:color="auto"/>
              </w:divBdr>
              <w:divsChild>
                <w:div w:id="1638994631">
                  <w:marLeft w:val="0"/>
                  <w:marRight w:val="0"/>
                  <w:marTop w:val="0"/>
                  <w:marBottom w:val="0"/>
                  <w:divBdr>
                    <w:top w:val="none" w:sz="0" w:space="0" w:color="auto"/>
                    <w:left w:val="none" w:sz="0" w:space="0" w:color="auto"/>
                    <w:bottom w:val="none" w:sz="0" w:space="0" w:color="auto"/>
                    <w:right w:val="none" w:sz="0" w:space="0" w:color="auto"/>
                  </w:divBdr>
                  <w:divsChild>
                    <w:div w:id="1191457051">
                      <w:marLeft w:val="0"/>
                      <w:marRight w:val="0"/>
                      <w:marTop w:val="0"/>
                      <w:marBottom w:val="0"/>
                      <w:divBdr>
                        <w:top w:val="none" w:sz="0" w:space="0" w:color="auto"/>
                        <w:left w:val="none" w:sz="0" w:space="0" w:color="auto"/>
                        <w:bottom w:val="none" w:sz="0" w:space="0" w:color="auto"/>
                        <w:right w:val="none" w:sz="0" w:space="0" w:color="auto"/>
                      </w:divBdr>
                      <w:divsChild>
                        <w:div w:id="887689482">
                          <w:marLeft w:val="0"/>
                          <w:marRight w:val="0"/>
                          <w:marTop w:val="0"/>
                          <w:marBottom w:val="0"/>
                          <w:divBdr>
                            <w:top w:val="none" w:sz="0" w:space="0" w:color="auto"/>
                            <w:left w:val="none" w:sz="0" w:space="0" w:color="auto"/>
                            <w:bottom w:val="none" w:sz="0" w:space="0" w:color="auto"/>
                            <w:right w:val="none" w:sz="0" w:space="0" w:color="auto"/>
                          </w:divBdr>
                          <w:divsChild>
                            <w:div w:id="69080741">
                              <w:marLeft w:val="0"/>
                              <w:marRight w:val="0"/>
                              <w:marTop w:val="0"/>
                              <w:marBottom w:val="0"/>
                              <w:divBdr>
                                <w:top w:val="none" w:sz="0" w:space="0" w:color="auto"/>
                                <w:left w:val="none" w:sz="0" w:space="0" w:color="auto"/>
                                <w:bottom w:val="none" w:sz="0" w:space="0" w:color="auto"/>
                                <w:right w:val="none" w:sz="0" w:space="0" w:color="auto"/>
                              </w:divBdr>
                              <w:divsChild>
                                <w:div w:id="1928079236">
                                  <w:marLeft w:val="0"/>
                                  <w:marRight w:val="0"/>
                                  <w:marTop w:val="0"/>
                                  <w:marBottom w:val="0"/>
                                  <w:divBdr>
                                    <w:top w:val="none" w:sz="0" w:space="0" w:color="auto"/>
                                    <w:left w:val="none" w:sz="0" w:space="0" w:color="auto"/>
                                    <w:bottom w:val="none" w:sz="0" w:space="0" w:color="auto"/>
                                    <w:right w:val="none" w:sz="0" w:space="0" w:color="auto"/>
                                  </w:divBdr>
                                  <w:divsChild>
                                    <w:div w:id="13728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2022871">
          <w:marLeft w:val="0"/>
          <w:marRight w:val="0"/>
          <w:marTop w:val="0"/>
          <w:marBottom w:val="0"/>
          <w:divBdr>
            <w:top w:val="none" w:sz="0" w:space="0" w:color="auto"/>
            <w:left w:val="none" w:sz="0" w:space="0" w:color="auto"/>
            <w:bottom w:val="none" w:sz="0" w:space="0" w:color="auto"/>
            <w:right w:val="none" w:sz="0" w:space="0" w:color="auto"/>
          </w:divBdr>
          <w:divsChild>
            <w:div w:id="2055034220">
              <w:marLeft w:val="0"/>
              <w:marRight w:val="0"/>
              <w:marTop w:val="0"/>
              <w:marBottom w:val="0"/>
              <w:divBdr>
                <w:top w:val="none" w:sz="0" w:space="0" w:color="auto"/>
                <w:left w:val="none" w:sz="0" w:space="0" w:color="auto"/>
                <w:bottom w:val="none" w:sz="0" w:space="0" w:color="auto"/>
                <w:right w:val="none" w:sz="0" w:space="0" w:color="auto"/>
              </w:divBdr>
              <w:divsChild>
                <w:div w:id="1244953922">
                  <w:marLeft w:val="0"/>
                  <w:marRight w:val="0"/>
                  <w:marTop w:val="0"/>
                  <w:marBottom w:val="0"/>
                  <w:divBdr>
                    <w:top w:val="none" w:sz="0" w:space="0" w:color="auto"/>
                    <w:left w:val="none" w:sz="0" w:space="0" w:color="auto"/>
                    <w:bottom w:val="none" w:sz="0" w:space="0" w:color="auto"/>
                    <w:right w:val="none" w:sz="0" w:space="0" w:color="auto"/>
                  </w:divBdr>
                  <w:divsChild>
                    <w:div w:id="841239082">
                      <w:marLeft w:val="0"/>
                      <w:marRight w:val="0"/>
                      <w:marTop w:val="0"/>
                      <w:marBottom w:val="0"/>
                      <w:divBdr>
                        <w:top w:val="none" w:sz="0" w:space="0" w:color="auto"/>
                        <w:left w:val="none" w:sz="0" w:space="0" w:color="auto"/>
                        <w:bottom w:val="none" w:sz="0" w:space="0" w:color="auto"/>
                        <w:right w:val="none" w:sz="0" w:space="0" w:color="auto"/>
                      </w:divBdr>
                      <w:divsChild>
                        <w:div w:id="1334719042">
                          <w:marLeft w:val="0"/>
                          <w:marRight w:val="0"/>
                          <w:marTop w:val="0"/>
                          <w:marBottom w:val="0"/>
                          <w:divBdr>
                            <w:top w:val="none" w:sz="0" w:space="0" w:color="auto"/>
                            <w:left w:val="none" w:sz="0" w:space="0" w:color="auto"/>
                            <w:bottom w:val="none" w:sz="0" w:space="0" w:color="auto"/>
                            <w:right w:val="none" w:sz="0" w:space="0" w:color="auto"/>
                          </w:divBdr>
                          <w:divsChild>
                            <w:div w:id="1381592287">
                              <w:marLeft w:val="0"/>
                              <w:marRight w:val="0"/>
                              <w:marTop w:val="0"/>
                              <w:marBottom w:val="0"/>
                              <w:divBdr>
                                <w:top w:val="none" w:sz="0" w:space="0" w:color="auto"/>
                                <w:left w:val="none" w:sz="0" w:space="0" w:color="auto"/>
                                <w:bottom w:val="none" w:sz="0" w:space="0" w:color="auto"/>
                                <w:right w:val="none" w:sz="0" w:space="0" w:color="auto"/>
                              </w:divBdr>
                              <w:divsChild>
                                <w:div w:id="57012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061188">
          <w:marLeft w:val="0"/>
          <w:marRight w:val="0"/>
          <w:marTop w:val="0"/>
          <w:marBottom w:val="0"/>
          <w:divBdr>
            <w:top w:val="none" w:sz="0" w:space="0" w:color="auto"/>
            <w:left w:val="none" w:sz="0" w:space="0" w:color="auto"/>
            <w:bottom w:val="none" w:sz="0" w:space="0" w:color="auto"/>
            <w:right w:val="none" w:sz="0" w:space="0" w:color="auto"/>
          </w:divBdr>
          <w:divsChild>
            <w:div w:id="1042942567">
              <w:marLeft w:val="0"/>
              <w:marRight w:val="0"/>
              <w:marTop w:val="0"/>
              <w:marBottom w:val="0"/>
              <w:divBdr>
                <w:top w:val="none" w:sz="0" w:space="0" w:color="auto"/>
                <w:left w:val="none" w:sz="0" w:space="0" w:color="auto"/>
                <w:bottom w:val="none" w:sz="0" w:space="0" w:color="auto"/>
                <w:right w:val="none" w:sz="0" w:space="0" w:color="auto"/>
              </w:divBdr>
              <w:divsChild>
                <w:div w:id="23481564">
                  <w:marLeft w:val="0"/>
                  <w:marRight w:val="0"/>
                  <w:marTop w:val="0"/>
                  <w:marBottom w:val="0"/>
                  <w:divBdr>
                    <w:top w:val="none" w:sz="0" w:space="0" w:color="auto"/>
                    <w:left w:val="none" w:sz="0" w:space="0" w:color="auto"/>
                    <w:bottom w:val="none" w:sz="0" w:space="0" w:color="auto"/>
                    <w:right w:val="none" w:sz="0" w:space="0" w:color="auto"/>
                  </w:divBdr>
                  <w:divsChild>
                    <w:div w:id="1078284454">
                      <w:marLeft w:val="0"/>
                      <w:marRight w:val="0"/>
                      <w:marTop w:val="0"/>
                      <w:marBottom w:val="0"/>
                      <w:divBdr>
                        <w:top w:val="none" w:sz="0" w:space="0" w:color="auto"/>
                        <w:left w:val="none" w:sz="0" w:space="0" w:color="auto"/>
                        <w:bottom w:val="none" w:sz="0" w:space="0" w:color="auto"/>
                        <w:right w:val="none" w:sz="0" w:space="0" w:color="auto"/>
                      </w:divBdr>
                      <w:divsChild>
                        <w:div w:id="1087388391">
                          <w:marLeft w:val="0"/>
                          <w:marRight w:val="0"/>
                          <w:marTop w:val="0"/>
                          <w:marBottom w:val="0"/>
                          <w:divBdr>
                            <w:top w:val="none" w:sz="0" w:space="0" w:color="auto"/>
                            <w:left w:val="none" w:sz="0" w:space="0" w:color="auto"/>
                            <w:bottom w:val="none" w:sz="0" w:space="0" w:color="auto"/>
                            <w:right w:val="none" w:sz="0" w:space="0" w:color="auto"/>
                          </w:divBdr>
                          <w:divsChild>
                            <w:div w:id="2095276180">
                              <w:marLeft w:val="0"/>
                              <w:marRight w:val="0"/>
                              <w:marTop w:val="0"/>
                              <w:marBottom w:val="0"/>
                              <w:divBdr>
                                <w:top w:val="none" w:sz="0" w:space="0" w:color="auto"/>
                                <w:left w:val="none" w:sz="0" w:space="0" w:color="auto"/>
                                <w:bottom w:val="none" w:sz="0" w:space="0" w:color="auto"/>
                                <w:right w:val="none" w:sz="0" w:space="0" w:color="auto"/>
                              </w:divBdr>
                              <w:divsChild>
                                <w:div w:id="414322220">
                                  <w:marLeft w:val="0"/>
                                  <w:marRight w:val="0"/>
                                  <w:marTop w:val="0"/>
                                  <w:marBottom w:val="0"/>
                                  <w:divBdr>
                                    <w:top w:val="none" w:sz="0" w:space="0" w:color="auto"/>
                                    <w:left w:val="none" w:sz="0" w:space="0" w:color="auto"/>
                                    <w:bottom w:val="none" w:sz="0" w:space="0" w:color="auto"/>
                                    <w:right w:val="none" w:sz="0" w:space="0" w:color="auto"/>
                                  </w:divBdr>
                                  <w:divsChild>
                                    <w:div w:id="519125700">
                                      <w:marLeft w:val="0"/>
                                      <w:marRight w:val="0"/>
                                      <w:marTop w:val="0"/>
                                      <w:marBottom w:val="0"/>
                                      <w:divBdr>
                                        <w:top w:val="none" w:sz="0" w:space="0" w:color="auto"/>
                                        <w:left w:val="none" w:sz="0" w:space="0" w:color="auto"/>
                                        <w:bottom w:val="none" w:sz="0" w:space="0" w:color="auto"/>
                                        <w:right w:val="none" w:sz="0" w:space="0" w:color="auto"/>
                                      </w:divBdr>
                                    </w:div>
                                  </w:divsChild>
                                </w:div>
                                <w:div w:id="823663010">
                                  <w:marLeft w:val="0"/>
                                  <w:marRight w:val="0"/>
                                  <w:marTop w:val="0"/>
                                  <w:marBottom w:val="0"/>
                                  <w:divBdr>
                                    <w:top w:val="none" w:sz="0" w:space="0" w:color="auto"/>
                                    <w:left w:val="none" w:sz="0" w:space="0" w:color="auto"/>
                                    <w:bottom w:val="none" w:sz="0" w:space="0" w:color="auto"/>
                                    <w:right w:val="none" w:sz="0" w:space="0" w:color="auto"/>
                                  </w:divBdr>
                                  <w:divsChild>
                                    <w:div w:id="125254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587580">
          <w:marLeft w:val="0"/>
          <w:marRight w:val="0"/>
          <w:marTop w:val="0"/>
          <w:marBottom w:val="0"/>
          <w:divBdr>
            <w:top w:val="none" w:sz="0" w:space="0" w:color="auto"/>
            <w:left w:val="none" w:sz="0" w:space="0" w:color="auto"/>
            <w:bottom w:val="none" w:sz="0" w:space="0" w:color="auto"/>
            <w:right w:val="none" w:sz="0" w:space="0" w:color="auto"/>
          </w:divBdr>
          <w:divsChild>
            <w:div w:id="1008289928">
              <w:marLeft w:val="0"/>
              <w:marRight w:val="0"/>
              <w:marTop w:val="0"/>
              <w:marBottom w:val="0"/>
              <w:divBdr>
                <w:top w:val="none" w:sz="0" w:space="0" w:color="auto"/>
                <w:left w:val="none" w:sz="0" w:space="0" w:color="auto"/>
                <w:bottom w:val="none" w:sz="0" w:space="0" w:color="auto"/>
                <w:right w:val="none" w:sz="0" w:space="0" w:color="auto"/>
              </w:divBdr>
              <w:divsChild>
                <w:div w:id="330646227">
                  <w:marLeft w:val="0"/>
                  <w:marRight w:val="0"/>
                  <w:marTop w:val="0"/>
                  <w:marBottom w:val="0"/>
                  <w:divBdr>
                    <w:top w:val="none" w:sz="0" w:space="0" w:color="auto"/>
                    <w:left w:val="none" w:sz="0" w:space="0" w:color="auto"/>
                    <w:bottom w:val="none" w:sz="0" w:space="0" w:color="auto"/>
                    <w:right w:val="none" w:sz="0" w:space="0" w:color="auto"/>
                  </w:divBdr>
                  <w:divsChild>
                    <w:div w:id="1257983225">
                      <w:marLeft w:val="0"/>
                      <w:marRight w:val="0"/>
                      <w:marTop w:val="0"/>
                      <w:marBottom w:val="0"/>
                      <w:divBdr>
                        <w:top w:val="none" w:sz="0" w:space="0" w:color="auto"/>
                        <w:left w:val="none" w:sz="0" w:space="0" w:color="auto"/>
                        <w:bottom w:val="none" w:sz="0" w:space="0" w:color="auto"/>
                        <w:right w:val="none" w:sz="0" w:space="0" w:color="auto"/>
                      </w:divBdr>
                      <w:divsChild>
                        <w:div w:id="1443450594">
                          <w:marLeft w:val="0"/>
                          <w:marRight w:val="0"/>
                          <w:marTop w:val="0"/>
                          <w:marBottom w:val="0"/>
                          <w:divBdr>
                            <w:top w:val="none" w:sz="0" w:space="0" w:color="auto"/>
                            <w:left w:val="none" w:sz="0" w:space="0" w:color="auto"/>
                            <w:bottom w:val="none" w:sz="0" w:space="0" w:color="auto"/>
                            <w:right w:val="none" w:sz="0" w:space="0" w:color="auto"/>
                          </w:divBdr>
                          <w:divsChild>
                            <w:div w:id="960722094">
                              <w:marLeft w:val="0"/>
                              <w:marRight w:val="0"/>
                              <w:marTop w:val="0"/>
                              <w:marBottom w:val="0"/>
                              <w:divBdr>
                                <w:top w:val="none" w:sz="0" w:space="0" w:color="auto"/>
                                <w:left w:val="none" w:sz="0" w:space="0" w:color="auto"/>
                                <w:bottom w:val="none" w:sz="0" w:space="0" w:color="auto"/>
                                <w:right w:val="none" w:sz="0" w:space="0" w:color="auto"/>
                              </w:divBdr>
                              <w:divsChild>
                                <w:div w:id="65923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3881807">
          <w:marLeft w:val="0"/>
          <w:marRight w:val="0"/>
          <w:marTop w:val="0"/>
          <w:marBottom w:val="0"/>
          <w:divBdr>
            <w:top w:val="none" w:sz="0" w:space="0" w:color="auto"/>
            <w:left w:val="none" w:sz="0" w:space="0" w:color="auto"/>
            <w:bottom w:val="none" w:sz="0" w:space="0" w:color="auto"/>
            <w:right w:val="none" w:sz="0" w:space="0" w:color="auto"/>
          </w:divBdr>
          <w:divsChild>
            <w:div w:id="639648454">
              <w:marLeft w:val="0"/>
              <w:marRight w:val="0"/>
              <w:marTop w:val="0"/>
              <w:marBottom w:val="0"/>
              <w:divBdr>
                <w:top w:val="none" w:sz="0" w:space="0" w:color="auto"/>
                <w:left w:val="none" w:sz="0" w:space="0" w:color="auto"/>
                <w:bottom w:val="none" w:sz="0" w:space="0" w:color="auto"/>
                <w:right w:val="none" w:sz="0" w:space="0" w:color="auto"/>
              </w:divBdr>
              <w:divsChild>
                <w:div w:id="2055612570">
                  <w:marLeft w:val="0"/>
                  <w:marRight w:val="0"/>
                  <w:marTop w:val="0"/>
                  <w:marBottom w:val="0"/>
                  <w:divBdr>
                    <w:top w:val="none" w:sz="0" w:space="0" w:color="auto"/>
                    <w:left w:val="none" w:sz="0" w:space="0" w:color="auto"/>
                    <w:bottom w:val="none" w:sz="0" w:space="0" w:color="auto"/>
                    <w:right w:val="none" w:sz="0" w:space="0" w:color="auto"/>
                  </w:divBdr>
                  <w:divsChild>
                    <w:div w:id="1973630109">
                      <w:marLeft w:val="0"/>
                      <w:marRight w:val="0"/>
                      <w:marTop w:val="0"/>
                      <w:marBottom w:val="0"/>
                      <w:divBdr>
                        <w:top w:val="none" w:sz="0" w:space="0" w:color="auto"/>
                        <w:left w:val="none" w:sz="0" w:space="0" w:color="auto"/>
                        <w:bottom w:val="none" w:sz="0" w:space="0" w:color="auto"/>
                        <w:right w:val="none" w:sz="0" w:space="0" w:color="auto"/>
                      </w:divBdr>
                      <w:divsChild>
                        <w:div w:id="1357392632">
                          <w:marLeft w:val="0"/>
                          <w:marRight w:val="0"/>
                          <w:marTop w:val="0"/>
                          <w:marBottom w:val="0"/>
                          <w:divBdr>
                            <w:top w:val="none" w:sz="0" w:space="0" w:color="auto"/>
                            <w:left w:val="none" w:sz="0" w:space="0" w:color="auto"/>
                            <w:bottom w:val="none" w:sz="0" w:space="0" w:color="auto"/>
                            <w:right w:val="none" w:sz="0" w:space="0" w:color="auto"/>
                          </w:divBdr>
                          <w:divsChild>
                            <w:div w:id="173562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18</Pages>
  <Words>5822</Words>
  <Characters>33186</Characters>
  <Application>Microsoft Office Word</Application>
  <DocSecurity>0</DocSecurity>
  <Lines>276</Lines>
  <Paragraphs>77</Paragraphs>
  <ScaleCrop>false</ScaleCrop>
  <Company/>
  <LinksUpToDate>false</LinksUpToDate>
  <CharactersWithSpaces>38931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2025-10-14T10:01:00Z</dcterms:created>
  <dcterms:modified xsi:type="dcterms:W3CDTF">2025-10-14T10:11:00Z</dcterms:modified>
</cp:coreProperties>
</file>