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C1466" w14:textId="77777777" w:rsidR="00F702FF" w:rsidRPr="00F702FF" w:rsidRDefault="00F702FF" w:rsidP="00F70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2FF">
        <w:rPr>
          <w:rFonts w:ascii="Times New Roman" w:eastAsia="Times New Roman" w:hAnsi="Times New Roman" w:cs="Times New Roman"/>
          <w:b/>
          <w:bCs/>
          <w:kern w:val="36"/>
          <w:sz w:val="48"/>
          <w:szCs w:val="48"/>
          <w:lang w:eastAsia="en-IN"/>
        </w:rPr>
        <w:t>1. Introduction and Strategic Context</w:t>
      </w:r>
    </w:p>
    <w:p w14:paraId="67275B81" w14:textId="07287569"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The </w:t>
      </w:r>
      <w:r w:rsidRPr="00F702FF">
        <w:rPr>
          <w:rFonts w:ascii="Times New Roman" w:eastAsia="Times New Roman" w:hAnsi="Times New Roman" w:cs="Times New Roman"/>
          <w:b/>
          <w:bCs/>
          <w:sz w:val="24"/>
          <w:szCs w:val="24"/>
          <w:lang w:eastAsia="en-IN"/>
        </w:rPr>
        <w:t>Global Oilfield Communications Market</w:t>
      </w:r>
      <w:r w:rsidRPr="00F702FF">
        <w:rPr>
          <w:rFonts w:ascii="Times New Roman" w:eastAsia="Times New Roman" w:hAnsi="Times New Roman" w:cs="Times New Roman"/>
          <w:sz w:val="24"/>
          <w:szCs w:val="24"/>
          <w:lang w:eastAsia="en-IN"/>
        </w:rPr>
        <w:t xml:space="preserve"> </w:t>
      </w:r>
      <w:r w:rsidRPr="00F702FF">
        <w:rPr>
          <w:rFonts w:ascii="Times New Roman" w:eastAsia="Times New Roman" w:hAnsi="Times New Roman" w:cs="Times New Roman"/>
          <w:sz w:val="24"/>
          <w:szCs w:val="24"/>
          <w:lang w:eastAsia="en-IN"/>
        </w:rPr>
        <w:t xml:space="preserve">is projected to witness a robust </w:t>
      </w:r>
      <w:r w:rsidRPr="00F702FF">
        <w:rPr>
          <w:rFonts w:ascii="Times New Roman" w:eastAsia="Times New Roman" w:hAnsi="Times New Roman" w:cs="Times New Roman"/>
          <w:b/>
          <w:bCs/>
          <w:sz w:val="24"/>
          <w:szCs w:val="24"/>
          <w:lang w:eastAsia="en-IN"/>
        </w:rPr>
        <w:t>CAGR of</w:t>
      </w:r>
      <w:r w:rsidRPr="00F702F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9.1</w:t>
      </w:r>
      <w:r w:rsidRPr="00F702FF">
        <w:rPr>
          <w:rFonts w:ascii="Times New Roman" w:eastAsia="Times New Roman" w:hAnsi="Times New Roman" w:cs="Times New Roman"/>
          <w:b/>
          <w:bCs/>
          <w:sz w:val="24"/>
          <w:szCs w:val="24"/>
          <w:lang w:eastAsia="en-IN"/>
        </w:rPr>
        <w:t>%</w:t>
      </w:r>
      <w:r w:rsidRPr="00F702FF">
        <w:rPr>
          <w:rFonts w:ascii="Times New Roman" w:eastAsia="Times New Roman" w:hAnsi="Times New Roman" w:cs="Times New Roman"/>
          <w:sz w:val="24"/>
          <w:szCs w:val="24"/>
          <w:lang w:eastAsia="en-IN"/>
        </w:rPr>
        <w:t xml:space="preserve">, valued at </w:t>
      </w:r>
      <w:r w:rsidRPr="00F702FF">
        <w:rPr>
          <w:rFonts w:ascii="Times New Roman" w:eastAsia="Times New Roman" w:hAnsi="Times New Roman" w:cs="Times New Roman"/>
          <w:b/>
          <w:bCs/>
          <w:sz w:val="24"/>
          <w:szCs w:val="24"/>
          <w:lang w:eastAsia="en-IN"/>
        </w:rPr>
        <w:t>USD 3.2 billion in 2024</w:t>
      </w:r>
      <w:r w:rsidRPr="00F702FF">
        <w:rPr>
          <w:rFonts w:ascii="Times New Roman" w:eastAsia="Times New Roman" w:hAnsi="Times New Roman" w:cs="Times New Roman"/>
          <w:sz w:val="24"/>
          <w:szCs w:val="24"/>
          <w:lang w:eastAsia="en-IN"/>
        </w:rPr>
        <w:t xml:space="preserve">, expected to reach </w:t>
      </w:r>
      <w:r w:rsidRPr="00F702FF">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5.3</w:t>
      </w:r>
      <w:r w:rsidRPr="00F702FF">
        <w:rPr>
          <w:rFonts w:ascii="Times New Roman" w:eastAsia="Times New Roman" w:hAnsi="Times New Roman" w:cs="Times New Roman"/>
          <w:b/>
          <w:bCs/>
          <w:sz w:val="24"/>
          <w:szCs w:val="24"/>
          <w:lang w:eastAsia="en-IN"/>
        </w:rPr>
        <w:t xml:space="preserve"> billion by 2030</w:t>
      </w:r>
      <w:r w:rsidRPr="00F702FF">
        <w:rPr>
          <w:rFonts w:ascii="Times New Roman" w:eastAsia="Times New Roman" w:hAnsi="Times New Roman" w:cs="Times New Roman"/>
          <w:sz w:val="24"/>
          <w:szCs w:val="24"/>
          <w:lang w:eastAsia="en-IN"/>
        </w:rPr>
        <w:t xml:space="preserve">, according to </w:t>
      </w:r>
      <w:r w:rsidRPr="00F702FF">
        <w:rPr>
          <w:rFonts w:ascii="Times New Roman" w:eastAsia="Times New Roman" w:hAnsi="Times New Roman" w:cs="Times New Roman"/>
          <w:b/>
          <w:bCs/>
          <w:sz w:val="24"/>
          <w:szCs w:val="24"/>
          <w:lang w:eastAsia="en-IN"/>
        </w:rPr>
        <w:t>Strategic Market Research</w:t>
      </w:r>
      <w:r w:rsidRPr="00F702FF">
        <w:rPr>
          <w:rFonts w:ascii="Times New Roman" w:eastAsia="Times New Roman" w:hAnsi="Times New Roman" w:cs="Times New Roman"/>
          <w:sz w:val="24"/>
          <w:szCs w:val="24"/>
          <w:lang w:eastAsia="en-IN"/>
        </w:rPr>
        <w:t>. Oilfield communications encompass a suite of technologies and systems designed to facilitate real-time, reliable, and secure information exchange between onshore and offshore oil and gas operations. This market plays a critical role in ensuring operational efficiency, safety, and rapid decision-making across exploration, drilling, production, and pipeline management stages.</w:t>
      </w:r>
    </w:p>
    <w:p w14:paraId="6BEE4485"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Several macro forces are driving this market. First, the increasing complexity of oilfield operations, particularly in </w:t>
      </w:r>
      <w:proofErr w:type="spellStart"/>
      <w:r w:rsidRPr="00F702FF">
        <w:rPr>
          <w:rFonts w:ascii="Times New Roman" w:eastAsia="Times New Roman" w:hAnsi="Times New Roman" w:cs="Times New Roman"/>
          <w:sz w:val="24"/>
          <w:szCs w:val="24"/>
          <w:lang w:eastAsia="en-IN"/>
        </w:rPr>
        <w:t>deepwater</w:t>
      </w:r>
      <w:proofErr w:type="spellEnd"/>
      <w:r w:rsidRPr="00F702FF">
        <w:rPr>
          <w:rFonts w:ascii="Times New Roman" w:eastAsia="Times New Roman" w:hAnsi="Times New Roman" w:cs="Times New Roman"/>
          <w:sz w:val="24"/>
          <w:szCs w:val="24"/>
          <w:lang w:eastAsia="en-IN"/>
        </w:rPr>
        <w:t xml:space="preserve"> and unconventional hydrocarbon extraction, necessitates sophisticated communication systems capable of handling large volumes of data under challenging environmental conditions. Second, regulatory pressures focusing on safety, environmental monitoring, and operational transparency are compelling operators to deploy advanced communications infrastructure. Technologies such as satellite communication, </w:t>
      </w:r>
      <w:proofErr w:type="spellStart"/>
      <w:r w:rsidRPr="00F702FF">
        <w:rPr>
          <w:rFonts w:ascii="Times New Roman" w:eastAsia="Times New Roman" w:hAnsi="Times New Roman" w:cs="Times New Roman"/>
          <w:sz w:val="24"/>
          <w:szCs w:val="24"/>
          <w:lang w:eastAsia="en-IN"/>
        </w:rPr>
        <w:t>fiber</w:t>
      </w:r>
      <w:proofErr w:type="spellEnd"/>
      <w:r w:rsidRPr="00F702FF">
        <w:rPr>
          <w:rFonts w:ascii="Times New Roman" w:eastAsia="Times New Roman" w:hAnsi="Times New Roman" w:cs="Times New Roman"/>
          <w:sz w:val="24"/>
          <w:szCs w:val="24"/>
          <w:lang w:eastAsia="en-IN"/>
        </w:rPr>
        <w:t xml:space="preserve"> optics, wireless telemetry, and industrial IoT-enabled sensors are becoming standard to meet these stringent requirements.</w:t>
      </w:r>
    </w:p>
    <w:p w14:paraId="2EC7884C"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The growing adoption of digital oilfield strategies is another key driver. Oilfield operators are increasingly investing in automation, predictive maintenance, and remote monitoring solutions, all of which rely heavily on robust communication networks. This trend is further reinforced by the need to minimize operational downtime, optimize energy consumption, and reduce human exposure to hazardous environments. In parallel, geopolitical factors and the increasing volatility of global oil prices are pushing operators to improve operational agility and resilience, both of which are underpinned by reliable communications.</w:t>
      </w:r>
    </w:p>
    <w:p w14:paraId="37C48754"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Stakeholders in this market are diverse and strategic. Original equipment manufacturers (OEMs) are developing advanced, ruggedized communication hardware and integrated software solutions. Oil and gas operators prioritize end-to-end connectivity solutions to ensure uninterrupted production and data integrity. Governments and regulatory bodies are imposing standards on safety communication protocols and emergency response systems, while investors are increasingly factoring digital readiness and communication infrastructure capabilities into capital allocation decisions.</w:t>
      </w:r>
    </w:p>
    <w:p w14:paraId="09887271"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From a regional perspective, North America remains a leading adopter due to mature offshore and onshore oilfields, stringent safety regulations, and early adoption of digital oilfield initiatives. Asia Pacific, particularly China and India, is emerging as the fastest-growing market, </w:t>
      </w:r>
      <w:proofErr w:type="spellStart"/>
      <w:r w:rsidRPr="00F702FF">
        <w:rPr>
          <w:rFonts w:ascii="Times New Roman" w:eastAsia="Times New Roman" w:hAnsi="Times New Roman" w:cs="Times New Roman"/>
          <w:sz w:val="24"/>
          <w:szCs w:val="24"/>
          <w:lang w:eastAsia="en-IN"/>
        </w:rPr>
        <w:t>fueled</w:t>
      </w:r>
      <w:proofErr w:type="spellEnd"/>
      <w:r w:rsidRPr="00F702FF">
        <w:rPr>
          <w:rFonts w:ascii="Times New Roman" w:eastAsia="Times New Roman" w:hAnsi="Times New Roman" w:cs="Times New Roman"/>
          <w:sz w:val="24"/>
          <w:szCs w:val="24"/>
          <w:lang w:eastAsia="en-IN"/>
        </w:rPr>
        <w:t xml:space="preserve"> by expanding upstream exploration, offshore developments, and infrastructure modernization. Europe maintains steady growth through the adoption of advanced telemetry and monitoring systems, while LAMEA is gradually catching up with investments in offshore oilfield communications in Brazil, Nigeria, and the Middle East.</w:t>
      </w:r>
    </w:p>
    <w:p w14:paraId="529B131F"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To be honest, oilfield communications have evolved from simple voice and radio links to fully integrated digital networks enabling predictive analytics, real-time monitoring, and operational automation. The strategic importance of these systems is now recognized as foundational to operational efficiency, safety compliance, and competitive advantage, according to Strategic Market Research.</w:t>
      </w:r>
    </w:p>
    <w:p w14:paraId="6D50A91A" w14:textId="77777777" w:rsidR="00F702FF" w:rsidRPr="00F702FF" w:rsidRDefault="00F702FF" w:rsidP="00F70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2FF">
        <w:rPr>
          <w:rFonts w:ascii="Times New Roman" w:eastAsia="Times New Roman" w:hAnsi="Times New Roman" w:cs="Times New Roman"/>
          <w:b/>
          <w:bCs/>
          <w:kern w:val="36"/>
          <w:sz w:val="48"/>
          <w:szCs w:val="48"/>
          <w:lang w:eastAsia="en-IN"/>
        </w:rPr>
        <w:lastRenderedPageBreak/>
        <w:t>2. Market Segmentation and Forecast Scope</w:t>
      </w:r>
    </w:p>
    <w:p w14:paraId="4A7436DE"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The oilfield communications market is characterized by a diverse set of technologies, applications, and end users, each tailored to the unique demands of upstream, midstream, and downstream oil and gas operations. This segmentation helps stakeholders identify high-value investment pockets and understand the relative growth potential across different domains, according to Strategic Market Research.</w:t>
      </w:r>
    </w:p>
    <w:p w14:paraId="6769B631"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By Technology</w:t>
      </w:r>
    </w:p>
    <w:p w14:paraId="5D7F63F2"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Oilfield communications technologies are broadly divided into </w:t>
      </w:r>
      <w:r w:rsidRPr="00F702FF">
        <w:rPr>
          <w:rFonts w:ascii="Times New Roman" w:eastAsia="Times New Roman" w:hAnsi="Times New Roman" w:cs="Times New Roman"/>
          <w:b/>
          <w:bCs/>
          <w:sz w:val="24"/>
          <w:szCs w:val="24"/>
          <w:lang w:eastAsia="en-IN"/>
        </w:rPr>
        <w:t>wired</w:t>
      </w:r>
      <w:r w:rsidRPr="00F702FF">
        <w:rPr>
          <w:rFonts w:ascii="Times New Roman" w:eastAsia="Times New Roman" w:hAnsi="Times New Roman" w:cs="Times New Roman"/>
          <w:sz w:val="24"/>
          <w:szCs w:val="24"/>
          <w:lang w:eastAsia="en-IN"/>
        </w:rPr>
        <w:t xml:space="preserve">, </w:t>
      </w:r>
      <w:r w:rsidRPr="00F702FF">
        <w:rPr>
          <w:rFonts w:ascii="Times New Roman" w:eastAsia="Times New Roman" w:hAnsi="Times New Roman" w:cs="Times New Roman"/>
          <w:b/>
          <w:bCs/>
          <w:sz w:val="24"/>
          <w:szCs w:val="24"/>
          <w:lang w:eastAsia="en-IN"/>
        </w:rPr>
        <w:t>wireless</w:t>
      </w:r>
      <w:r w:rsidRPr="00F702FF">
        <w:rPr>
          <w:rFonts w:ascii="Times New Roman" w:eastAsia="Times New Roman" w:hAnsi="Times New Roman" w:cs="Times New Roman"/>
          <w:sz w:val="24"/>
          <w:szCs w:val="24"/>
          <w:lang w:eastAsia="en-IN"/>
        </w:rPr>
        <w:t xml:space="preserve">, and </w:t>
      </w:r>
      <w:r w:rsidRPr="00F702FF">
        <w:rPr>
          <w:rFonts w:ascii="Times New Roman" w:eastAsia="Times New Roman" w:hAnsi="Times New Roman" w:cs="Times New Roman"/>
          <w:b/>
          <w:bCs/>
          <w:sz w:val="24"/>
          <w:szCs w:val="24"/>
          <w:lang w:eastAsia="en-IN"/>
        </w:rPr>
        <w:t>hybrid communication systems</w:t>
      </w:r>
      <w:r w:rsidRPr="00F702FF">
        <w:rPr>
          <w:rFonts w:ascii="Times New Roman" w:eastAsia="Times New Roman" w:hAnsi="Times New Roman" w:cs="Times New Roman"/>
          <w:sz w:val="24"/>
          <w:szCs w:val="24"/>
          <w:lang w:eastAsia="en-IN"/>
        </w:rPr>
        <w:t>.</w:t>
      </w:r>
    </w:p>
    <w:p w14:paraId="7B2A1533" w14:textId="77777777" w:rsidR="00F702FF" w:rsidRPr="00F702FF" w:rsidRDefault="00F702FF" w:rsidP="00F702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Wired Communication Systems</w:t>
      </w:r>
      <w:r w:rsidRPr="00F702FF">
        <w:rPr>
          <w:rFonts w:ascii="Times New Roman" w:eastAsia="Times New Roman" w:hAnsi="Times New Roman" w:cs="Times New Roman"/>
          <w:sz w:val="24"/>
          <w:szCs w:val="24"/>
          <w:lang w:eastAsia="en-IN"/>
        </w:rPr>
        <w:t xml:space="preserve"> include </w:t>
      </w:r>
      <w:proofErr w:type="spellStart"/>
      <w:r w:rsidRPr="00F702FF">
        <w:rPr>
          <w:rFonts w:ascii="Times New Roman" w:eastAsia="Times New Roman" w:hAnsi="Times New Roman" w:cs="Times New Roman"/>
          <w:sz w:val="24"/>
          <w:szCs w:val="24"/>
          <w:lang w:eastAsia="en-IN"/>
        </w:rPr>
        <w:t>fiber</w:t>
      </w:r>
      <w:proofErr w:type="spellEnd"/>
      <w:r w:rsidRPr="00F702FF">
        <w:rPr>
          <w:rFonts w:ascii="Times New Roman" w:eastAsia="Times New Roman" w:hAnsi="Times New Roman" w:cs="Times New Roman"/>
          <w:sz w:val="24"/>
          <w:szCs w:val="24"/>
          <w:lang w:eastAsia="en-IN"/>
        </w:rPr>
        <w:t xml:space="preserve"> optics, coaxial cables, and Ethernet networks, typically deployed in onshore fields and fixed offshore platforms where stable, high-bandwidth connectivity is essential. These systems account for roughly </w:t>
      </w:r>
      <w:r w:rsidRPr="00F702FF">
        <w:rPr>
          <w:rFonts w:ascii="Times New Roman" w:eastAsia="Times New Roman" w:hAnsi="Times New Roman" w:cs="Times New Roman"/>
          <w:b/>
          <w:bCs/>
          <w:sz w:val="24"/>
          <w:szCs w:val="24"/>
          <w:lang w:eastAsia="en-IN"/>
        </w:rPr>
        <w:t>42% of the market in 2024</w:t>
      </w:r>
      <w:r w:rsidRPr="00F702FF">
        <w:rPr>
          <w:rFonts w:ascii="Times New Roman" w:eastAsia="Times New Roman" w:hAnsi="Times New Roman" w:cs="Times New Roman"/>
          <w:sz w:val="24"/>
          <w:szCs w:val="24"/>
          <w:lang w:eastAsia="en-IN"/>
        </w:rPr>
        <w:t xml:space="preserve"> and are highly valued for low latency and secure data transfer.</w:t>
      </w:r>
    </w:p>
    <w:p w14:paraId="187C4103" w14:textId="77777777" w:rsidR="00F702FF" w:rsidRPr="00F702FF" w:rsidRDefault="00F702FF" w:rsidP="00F702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Wireless Communication Systems</w:t>
      </w:r>
      <w:r w:rsidRPr="00F702FF">
        <w:rPr>
          <w:rFonts w:ascii="Times New Roman" w:eastAsia="Times New Roman" w:hAnsi="Times New Roman" w:cs="Times New Roman"/>
          <w:sz w:val="24"/>
          <w:szCs w:val="24"/>
          <w:lang w:eastAsia="en-IN"/>
        </w:rPr>
        <w:t xml:space="preserve"> rely on satellite, radio frequency (RF), microwave, and cellular networks. These are crucial for remote or </w:t>
      </w:r>
      <w:proofErr w:type="spellStart"/>
      <w:r w:rsidRPr="00F702FF">
        <w:rPr>
          <w:rFonts w:ascii="Times New Roman" w:eastAsia="Times New Roman" w:hAnsi="Times New Roman" w:cs="Times New Roman"/>
          <w:sz w:val="24"/>
          <w:szCs w:val="24"/>
          <w:lang w:eastAsia="en-IN"/>
        </w:rPr>
        <w:t>deepwater</w:t>
      </w:r>
      <w:proofErr w:type="spellEnd"/>
      <w:r w:rsidRPr="00F702FF">
        <w:rPr>
          <w:rFonts w:ascii="Times New Roman" w:eastAsia="Times New Roman" w:hAnsi="Times New Roman" w:cs="Times New Roman"/>
          <w:sz w:val="24"/>
          <w:szCs w:val="24"/>
          <w:lang w:eastAsia="en-IN"/>
        </w:rPr>
        <w:t xml:space="preserve"> operations where wired infrastructure is impractical. Wireless solutions are growing faster, particularly in regions like Asia Pacific, due to flexibility and scalability.</w:t>
      </w:r>
    </w:p>
    <w:p w14:paraId="71D6D0C0" w14:textId="77777777" w:rsidR="00F702FF" w:rsidRPr="00F702FF" w:rsidRDefault="00F702FF" w:rsidP="00F702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Hybrid Systems</w:t>
      </w:r>
      <w:r w:rsidRPr="00F702FF">
        <w:rPr>
          <w:rFonts w:ascii="Times New Roman" w:eastAsia="Times New Roman" w:hAnsi="Times New Roman" w:cs="Times New Roman"/>
          <w:sz w:val="24"/>
          <w:szCs w:val="24"/>
          <w:lang w:eastAsia="en-IN"/>
        </w:rPr>
        <w:t xml:space="preserve"> integrate wired and wireless networks, offering operational redundancy and enhanced reliability. This sub-segment is increasingly strategic for operators managing multiple, geographically dispersed sites.</w:t>
      </w:r>
    </w:p>
    <w:p w14:paraId="59134C96"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By Application</w:t>
      </w:r>
    </w:p>
    <w:p w14:paraId="546DF3A1"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Applications of oilfield communications range across </w:t>
      </w:r>
      <w:r w:rsidRPr="00F702FF">
        <w:rPr>
          <w:rFonts w:ascii="Times New Roman" w:eastAsia="Times New Roman" w:hAnsi="Times New Roman" w:cs="Times New Roman"/>
          <w:b/>
          <w:bCs/>
          <w:sz w:val="24"/>
          <w:szCs w:val="24"/>
          <w:lang w:eastAsia="en-IN"/>
        </w:rPr>
        <w:t>upstream, midstream, and downstream operations</w:t>
      </w:r>
      <w:r w:rsidRPr="00F702FF">
        <w:rPr>
          <w:rFonts w:ascii="Times New Roman" w:eastAsia="Times New Roman" w:hAnsi="Times New Roman" w:cs="Times New Roman"/>
          <w:sz w:val="24"/>
          <w:szCs w:val="24"/>
          <w:lang w:eastAsia="en-IN"/>
        </w:rPr>
        <w:t>:</w:t>
      </w:r>
    </w:p>
    <w:p w14:paraId="192838DD" w14:textId="77777777" w:rsidR="00F702FF" w:rsidRPr="00F702FF" w:rsidRDefault="00F702FF" w:rsidP="00F702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Upstream Applications</w:t>
      </w:r>
      <w:r w:rsidRPr="00F702FF">
        <w:rPr>
          <w:rFonts w:ascii="Times New Roman" w:eastAsia="Times New Roman" w:hAnsi="Times New Roman" w:cs="Times New Roman"/>
          <w:sz w:val="24"/>
          <w:szCs w:val="24"/>
          <w:lang w:eastAsia="en-IN"/>
        </w:rPr>
        <w:t xml:space="preserve"> focus on exploration, drilling, and production. Real-time data transmission from drilling rigs, wellheads, and subsea systems is critical for operational safety, predictive maintenance, and production optimization. This segment holds the largest market share, approximately </w:t>
      </w:r>
      <w:r w:rsidRPr="00F702FF">
        <w:rPr>
          <w:rFonts w:ascii="Times New Roman" w:eastAsia="Times New Roman" w:hAnsi="Times New Roman" w:cs="Times New Roman"/>
          <w:b/>
          <w:bCs/>
          <w:sz w:val="24"/>
          <w:szCs w:val="24"/>
          <w:lang w:eastAsia="en-IN"/>
        </w:rPr>
        <w:t>48% in 2024</w:t>
      </w:r>
      <w:r w:rsidRPr="00F702FF">
        <w:rPr>
          <w:rFonts w:ascii="Times New Roman" w:eastAsia="Times New Roman" w:hAnsi="Times New Roman" w:cs="Times New Roman"/>
          <w:sz w:val="24"/>
          <w:szCs w:val="24"/>
          <w:lang w:eastAsia="en-IN"/>
        </w:rPr>
        <w:t xml:space="preserve">, driven by the rise of </w:t>
      </w:r>
      <w:proofErr w:type="spellStart"/>
      <w:r w:rsidRPr="00F702FF">
        <w:rPr>
          <w:rFonts w:ascii="Times New Roman" w:eastAsia="Times New Roman" w:hAnsi="Times New Roman" w:cs="Times New Roman"/>
          <w:sz w:val="24"/>
          <w:szCs w:val="24"/>
          <w:lang w:eastAsia="en-IN"/>
        </w:rPr>
        <w:t>deepwater</w:t>
      </w:r>
      <w:proofErr w:type="spellEnd"/>
      <w:r w:rsidRPr="00F702FF">
        <w:rPr>
          <w:rFonts w:ascii="Times New Roman" w:eastAsia="Times New Roman" w:hAnsi="Times New Roman" w:cs="Times New Roman"/>
          <w:sz w:val="24"/>
          <w:szCs w:val="24"/>
          <w:lang w:eastAsia="en-IN"/>
        </w:rPr>
        <w:t xml:space="preserve"> and unconventional drilling.</w:t>
      </w:r>
    </w:p>
    <w:p w14:paraId="371A33CD" w14:textId="77777777" w:rsidR="00F702FF" w:rsidRPr="00F702FF" w:rsidRDefault="00F702FF" w:rsidP="00F702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Midstream Applications</w:t>
      </w:r>
      <w:r w:rsidRPr="00F702FF">
        <w:rPr>
          <w:rFonts w:ascii="Times New Roman" w:eastAsia="Times New Roman" w:hAnsi="Times New Roman" w:cs="Times New Roman"/>
          <w:sz w:val="24"/>
          <w:szCs w:val="24"/>
          <w:lang w:eastAsia="en-IN"/>
        </w:rPr>
        <w:t xml:space="preserve"> encompass pipeline monitoring, storage, and transport logistics. Communication systems enable leak detection, flow optimization, and remote monitoring of compressor stations. Growth is steady due to infrastructure expansion in emerging markets.</w:t>
      </w:r>
    </w:p>
    <w:p w14:paraId="03421E30" w14:textId="77777777" w:rsidR="00F702FF" w:rsidRPr="00F702FF" w:rsidRDefault="00F702FF" w:rsidP="00F702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Downstream Applications</w:t>
      </w:r>
      <w:r w:rsidRPr="00F702FF">
        <w:rPr>
          <w:rFonts w:ascii="Times New Roman" w:eastAsia="Times New Roman" w:hAnsi="Times New Roman" w:cs="Times New Roman"/>
          <w:sz w:val="24"/>
          <w:szCs w:val="24"/>
          <w:lang w:eastAsia="en-IN"/>
        </w:rPr>
        <w:t xml:space="preserve"> involve refining, distribution, and retail terminals, where SCADA systems and real-time monitoring of safety and production metrics are essential. Adoption is moderate but poised for growth with the integration of </w:t>
      </w:r>
      <w:proofErr w:type="spellStart"/>
      <w:r w:rsidRPr="00F702FF">
        <w:rPr>
          <w:rFonts w:ascii="Times New Roman" w:eastAsia="Times New Roman" w:hAnsi="Times New Roman" w:cs="Times New Roman"/>
          <w:sz w:val="24"/>
          <w:szCs w:val="24"/>
          <w:lang w:eastAsia="en-IN"/>
        </w:rPr>
        <w:t>IIoT</w:t>
      </w:r>
      <w:proofErr w:type="spellEnd"/>
      <w:r w:rsidRPr="00F702FF">
        <w:rPr>
          <w:rFonts w:ascii="Times New Roman" w:eastAsia="Times New Roman" w:hAnsi="Times New Roman" w:cs="Times New Roman"/>
          <w:sz w:val="24"/>
          <w:szCs w:val="24"/>
          <w:lang w:eastAsia="en-IN"/>
        </w:rPr>
        <w:t xml:space="preserve"> solutions.</w:t>
      </w:r>
    </w:p>
    <w:p w14:paraId="1A8CBB55"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By End User</w:t>
      </w:r>
    </w:p>
    <w:p w14:paraId="23FB5F95"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lastRenderedPageBreak/>
        <w:t>The primary end users of oilfield communication solutions include:</w:t>
      </w:r>
    </w:p>
    <w:p w14:paraId="7D8EAE58" w14:textId="77777777" w:rsidR="00F702FF" w:rsidRPr="00F702FF" w:rsidRDefault="00F702FF" w:rsidP="00F702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Oil and Gas Operators</w:t>
      </w:r>
      <w:r w:rsidRPr="00F702FF">
        <w:rPr>
          <w:rFonts w:ascii="Times New Roman" w:eastAsia="Times New Roman" w:hAnsi="Times New Roman" w:cs="Times New Roman"/>
          <w:sz w:val="24"/>
          <w:szCs w:val="24"/>
          <w:lang w:eastAsia="en-IN"/>
        </w:rPr>
        <w:t xml:space="preserve"> – Major exploration and production companies rely on comprehensive communication systems to manage assets and optimize operations.</w:t>
      </w:r>
    </w:p>
    <w:p w14:paraId="65C3504A" w14:textId="77777777" w:rsidR="00F702FF" w:rsidRPr="00F702FF" w:rsidRDefault="00F702FF" w:rsidP="00F702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Service Providers</w:t>
      </w:r>
      <w:r w:rsidRPr="00F702FF">
        <w:rPr>
          <w:rFonts w:ascii="Times New Roman" w:eastAsia="Times New Roman" w:hAnsi="Times New Roman" w:cs="Times New Roman"/>
          <w:sz w:val="24"/>
          <w:szCs w:val="24"/>
          <w:lang w:eastAsia="en-IN"/>
        </w:rPr>
        <w:t xml:space="preserve"> – Companies offering drilling, pipeline management, and subsea engineering services require robust communications for coordination and operational transparency.</w:t>
      </w:r>
    </w:p>
    <w:p w14:paraId="10EC1D7F" w14:textId="77777777" w:rsidR="00F702FF" w:rsidRPr="00F702FF" w:rsidRDefault="00F702FF" w:rsidP="00F702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Government and Regulatory Bodies</w:t>
      </w:r>
      <w:r w:rsidRPr="00F702FF">
        <w:rPr>
          <w:rFonts w:ascii="Times New Roman" w:eastAsia="Times New Roman" w:hAnsi="Times New Roman" w:cs="Times New Roman"/>
          <w:sz w:val="24"/>
          <w:szCs w:val="24"/>
          <w:lang w:eastAsia="en-IN"/>
        </w:rPr>
        <w:t xml:space="preserve"> – These stakeholders use communication systems for monitoring compliance, emergency response, and environmental oversight.</w:t>
      </w:r>
    </w:p>
    <w:p w14:paraId="4D345938"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By Region</w:t>
      </w:r>
    </w:p>
    <w:p w14:paraId="6C4F8924"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Regional segmentation reflects the market’s global distribution and growth potential:</w:t>
      </w:r>
    </w:p>
    <w:p w14:paraId="424D1513" w14:textId="77777777" w:rsidR="00F702FF" w:rsidRPr="00F702FF" w:rsidRDefault="00F702FF" w:rsidP="00F702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North America</w:t>
      </w:r>
      <w:r w:rsidRPr="00F702FF">
        <w:rPr>
          <w:rFonts w:ascii="Times New Roman" w:eastAsia="Times New Roman" w:hAnsi="Times New Roman" w:cs="Times New Roman"/>
          <w:sz w:val="24"/>
          <w:szCs w:val="24"/>
          <w:lang w:eastAsia="en-IN"/>
        </w:rPr>
        <w:t xml:space="preserve"> – The most mature market, driven by </w:t>
      </w:r>
      <w:proofErr w:type="spellStart"/>
      <w:r w:rsidRPr="00F702FF">
        <w:rPr>
          <w:rFonts w:ascii="Times New Roman" w:eastAsia="Times New Roman" w:hAnsi="Times New Roman" w:cs="Times New Roman"/>
          <w:sz w:val="24"/>
          <w:szCs w:val="24"/>
          <w:lang w:eastAsia="en-IN"/>
        </w:rPr>
        <w:t>deepwater</w:t>
      </w:r>
      <w:proofErr w:type="spellEnd"/>
      <w:r w:rsidRPr="00F702FF">
        <w:rPr>
          <w:rFonts w:ascii="Times New Roman" w:eastAsia="Times New Roman" w:hAnsi="Times New Roman" w:cs="Times New Roman"/>
          <w:sz w:val="24"/>
          <w:szCs w:val="24"/>
          <w:lang w:eastAsia="en-IN"/>
        </w:rPr>
        <w:t xml:space="preserve"> Gulf of Mexico projects, shale developments, and regulatory emphasis on safety and environmental monitoring.</w:t>
      </w:r>
    </w:p>
    <w:p w14:paraId="222E626E" w14:textId="77777777" w:rsidR="00F702FF" w:rsidRPr="00F702FF" w:rsidRDefault="00F702FF" w:rsidP="00F702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Europe</w:t>
      </w:r>
      <w:r w:rsidRPr="00F702FF">
        <w:rPr>
          <w:rFonts w:ascii="Times New Roman" w:eastAsia="Times New Roman" w:hAnsi="Times New Roman" w:cs="Times New Roman"/>
          <w:sz w:val="24"/>
          <w:szCs w:val="24"/>
          <w:lang w:eastAsia="en-IN"/>
        </w:rPr>
        <w:t xml:space="preserve"> – Steady growth supported by offshore North Sea projects and adoption of </w:t>
      </w:r>
      <w:proofErr w:type="spellStart"/>
      <w:r w:rsidRPr="00F702FF">
        <w:rPr>
          <w:rFonts w:ascii="Times New Roman" w:eastAsia="Times New Roman" w:hAnsi="Times New Roman" w:cs="Times New Roman"/>
          <w:sz w:val="24"/>
          <w:szCs w:val="24"/>
          <w:lang w:eastAsia="en-IN"/>
        </w:rPr>
        <w:t>IIoT</w:t>
      </w:r>
      <w:proofErr w:type="spellEnd"/>
      <w:r w:rsidRPr="00F702FF">
        <w:rPr>
          <w:rFonts w:ascii="Times New Roman" w:eastAsia="Times New Roman" w:hAnsi="Times New Roman" w:cs="Times New Roman"/>
          <w:sz w:val="24"/>
          <w:szCs w:val="24"/>
          <w:lang w:eastAsia="en-IN"/>
        </w:rPr>
        <w:t>-enabled monitoring.</w:t>
      </w:r>
    </w:p>
    <w:p w14:paraId="6882D858" w14:textId="77777777" w:rsidR="00F702FF" w:rsidRPr="00F702FF" w:rsidRDefault="00F702FF" w:rsidP="00F702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Asia Pacific</w:t>
      </w:r>
      <w:r w:rsidRPr="00F702FF">
        <w:rPr>
          <w:rFonts w:ascii="Times New Roman" w:eastAsia="Times New Roman" w:hAnsi="Times New Roman" w:cs="Times New Roman"/>
          <w:sz w:val="24"/>
          <w:szCs w:val="24"/>
          <w:lang w:eastAsia="en-IN"/>
        </w:rPr>
        <w:t xml:space="preserve"> – Fastest-growing market due to upstream exploration in China, India, and Southeast Asia.</w:t>
      </w:r>
    </w:p>
    <w:p w14:paraId="7EB2A59F" w14:textId="77777777" w:rsidR="00F702FF" w:rsidRPr="00F702FF" w:rsidRDefault="00F702FF" w:rsidP="00F702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LAMEA</w:t>
      </w:r>
      <w:r w:rsidRPr="00F702FF">
        <w:rPr>
          <w:rFonts w:ascii="Times New Roman" w:eastAsia="Times New Roman" w:hAnsi="Times New Roman" w:cs="Times New Roman"/>
          <w:sz w:val="24"/>
          <w:szCs w:val="24"/>
          <w:lang w:eastAsia="en-IN"/>
        </w:rPr>
        <w:t xml:space="preserve"> – Emerging adoption in Brazil, Nigeria, and the Middle East, with emphasis on offshore pipeline communications and subsea telemetry.</w:t>
      </w:r>
    </w:p>
    <w:p w14:paraId="2688B60E"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In summary, the oilfield communications market demonstrates both technological diversity and application specificity. Wired systems dominate in stable, high-demand environments, while wireless and hybrid networks enable flexibility and rapid deployment in remote or offshore locations. Upstream applications, particularly drilling and production monitoring, represent the most strategic sub-segment, but midstream and downstream operations are increasingly investing in modern communications infrastructure, according to Strategic Market Research.</w:t>
      </w:r>
    </w:p>
    <w:p w14:paraId="054329B3" w14:textId="77777777" w:rsidR="00F702FF" w:rsidRPr="00F702FF" w:rsidRDefault="00F702FF" w:rsidP="00F70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2FF">
        <w:rPr>
          <w:rFonts w:ascii="Times New Roman" w:eastAsia="Times New Roman" w:hAnsi="Times New Roman" w:cs="Times New Roman"/>
          <w:b/>
          <w:bCs/>
          <w:kern w:val="36"/>
          <w:sz w:val="48"/>
          <w:szCs w:val="48"/>
          <w:lang w:eastAsia="en-IN"/>
        </w:rPr>
        <w:t>3. Market Trends and Innovation Landscape</w:t>
      </w:r>
    </w:p>
    <w:p w14:paraId="7CA379A9"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The oilfield communications market is experiencing a period of rapid innovation as operators and technology providers adapt to increasingly complex and data-intensive environments, according to Strategic Market Research. The demand for real-time data, predictive analytics, and operational automation has reshaped the technological landscape, with emerging trends transforming how oil and gas companies communicate across upstream, midstream, and downstream operations.</w:t>
      </w:r>
    </w:p>
    <w:p w14:paraId="267F4D18"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Digital Oilfield Integration</w:t>
      </w:r>
    </w:p>
    <w:p w14:paraId="7CBD5F91"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One of the most significant trends is the integration of oilfield communication systems into </w:t>
      </w:r>
      <w:r w:rsidRPr="00F702FF">
        <w:rPr>
          <w:rFonts w:ascii="Times New Roman" w:eastAsia="Times New Roman" w:hAnsi="Times New Roman" w:cs="Times New Roman"/>
          <w:b/>
          <w:bCs/>
          <w:sz w:val="24"/>
          <w:szCs w:val="24"/>
          <w:lang w:eastAsia="en-IN"/>
        </w:rPr>
        <w:t>digital oilfield ecosystems</w:t>
      </w:r>
      <w:r w:rsidRPr="00F702FF">
        <w:rPr>
          <w:rFonts w:ascii="Times New Roman" w:eastAsia="Times New Roman" w:hAnsi="Times New Roman" w:cs="Times New Roman"/>
          <w:sz w:val="24"/>
          <w:szCs w:val="24"/>
          <w:lang w:eastAsia="en-IN"/>
        </w:rPr>
        <w:t>. These systems leverage industrial IoT (</w:t>
      </w:r>
      <w:proofErr w:type="spellStart"/>
      <w:r w:rsidRPr="00F702FF">
        <w:rPr>
          <w:rFonts w:ascii="Times New Roman" w:eastAsia="Times New Roman" w:hAnsi="Times New Roman" w:cs="Times New Roman"/>
          <w:sz w:val="24"/>
          <w:szCs w:val="24"/>
          <w:lang w:eastAsia="en-IN"/>
        </w:rPr>
        <w:t>IIoT</w:t>
      </w:r>
      <w:proofErr w:type="spellEnd"/>
      <w:r w:rsidRPr="00F702FF">
        <w:rPr>
          <w:rFonts w:ascii="Times New Roman" w:eastAsia="Times New Roman" w:hAnsi="Times New Roman" w:cs="Times New Roman"/>
          <w:sz w:val="24"/>
          <w:szCs w:val="24"/>
          <w:lang w:eastAsia="en-IN"/>
        </w:rPr>
        <w:t>), advanced sensors, and cloud-based platforms to enable continuous data collection and remote monitoring. Real-</w:t>
      </w:r>
      <w:r w:rsidRPr="00F702FF">
        <w:rPr>
          <w:rFonts w:ascii="Times New Roman" w:eastAsia="Times New Roman" w:hAnsi="Times New Roman" w:cs="Times New Roman"/>
          <w:sz w:val="24"/>
          <w:szCs w:val="24"/>
          <w:lang w:eastAsia="en-IN"/>
        </w:rPr>
        <w:lastRenderedPageBreak/>
        <w:t xml:space="preserve">time telemetry now supports predictive maintenance, optimizing equipment uptime and reducing operational risks. Operators are increasingly investing in end-to-end connectivity that links drilling rigs, production facilities, and control </w:t>
      </w:r>
      <w:proofErr w:type="spellStart"/>
      <w:r w:rsidRPr="00F702FF">
        <w:rPr>
          <w:rFonts w:ascii="Times New Roman" w:eastAsia="Times New Roman" w:hAnsi="Times New Roman" w:cs="Times New Roman"/>
          <w:sz w:val="24"/>
          <w:szCs w:val="24"/>
          <w:lang w:eastAsia="en-IN"/>
        </w:rPr>
        <w:t>centers</w:t>
      </w:r>
      <w:proofErr w:type="spellEnd"/>
      <w:r w:rsidRPr="00F702FF">
        <w:rPr>
          <w:rFonts w:ascii="Times New Roman" w:eastAsia="Times New Roman" w:hAnsi="Times New Roman" w:cs="Times New Roman"/>
          <w:sz w:val="24"/>
          <w:szCs w:val="24"/>
          <w:lang w:eastAsia="en-IN"/>
        </w:rPr>
        <w:t xml:space="preserve"> seamlessly.</w:t>
      </w:r>
    </w:p>
    <w:p w14:paraId="08083351"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Satellite and Wireless Advancements</w:t>
      </w:r>
    </w:p>
    <w:p w14:paraId="3DA564CC"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Satellite communication remains vital for offshore and remote operations, but recent innovations have enhanced </w:t>
      </w:r>
      <w:r w:rsidRPr="00F702FF">
        <w:rPr>
          <w:rFonts w:ascii="Times New Roman" w:eastAsia="Times New Roman" w:hAnsi="Times New Roman" w:cs="Times New Roman"/>
          <w:b/>
          <w:bCs/>
          <w:sz w:val="24"/>
          <w:szCs w:val="24"/>
          <w:lang w:eastAsia="en-IN"/>
        </w:rPr>
        <w:t>bandwidth, latency, and reliability</w:t>
      </w:r>
      <w:r w:rsidRPr="00F702FF">
        <w:rPr>
          <w:rFonts w:ascii="Times New Roman" w:eastAsia="Times New Roman" w:hAnsi="Times New Roman" w:cs="Times New Roman"/>
          <w:sz w:val="24"/>
          <w:szCs w:val="24"/>
          <w:lang w:eastAsia="en-IN"/>
        </w:rPr>
        <w:t>. High-throughput satellites (HTS) and low-earth orbit (LEO) constellations are enabling faster data transfer, supporting applications like live drilling video, seismic data streaming, and remote diagnostics. Additionally, wireless networks, including private LTE and 5G deployments, are gaining traction in onshore and nearshore fields, enabling low-latency monitoring of autonomous drilling systems and pipeline operations.</w:t>
      </w:r>
    </w:p>
    <w:p w14:paraId="0D18ACB2"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Edge Computing and AI Integration</w:t>
      </w:r>
    </w:p>
    <w:p w14:paraId="06A5E031"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The adoption of </w:t>
      </w:r>
      <w:r w:rsidRPr="00F702FF">
        <w:rPr>
          <w:rFonts w:ascii="Times New Roman" w:eastAsia="Times New Roman" w:hAnsi="Times New Roman" w:cs="Times New Roman"/>
          <w:b/>
          <w:bCs/>
          <w:sz w:val="24"/>
          <w:szCs w:val="24"/>
          <w:lang w:eastAsia="en-IN"/>
        </w:rPr>
        <w:t>edge computing</w:t>
      </w:r>
      <w:r w:rsidRPr="00F702FF">
        <w:rPr>
          <w:rFonts w:ascii="Times New Roman" w:eastAsia="Times New Roman" w:hAnsi="Times New Roman" w:cs="Times New Roman"/>
          <w:sz w:val="24"/>
          <w:szCs w:val="24"/>
          <w:lang w:eastAsia="en-IN"/>
        </w:rPr>
        <w:t xml:space="preserve"> in oilfield communications is helping operators process data closer to the source, reducing latency and minimizing dependence on centralized control systems. Coupled with AI and machine learning algorithms, edge-enabled communications can detect anomalies, optimize production parameters, and even predict equipment failures. Several operators have started piloting AI-powered communication networks that autonomously adjust data routing based on network load and operational priorities, improving both efficiency and reliability.</w:t>
      </w:r>
    </w:p>
    <w:p w14:paraId="24965BC5"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Cybersecurity and Secure Communication Protocols</w:t>
      </w:r>
    </w:p>
    <w:p w14:paraId="374B4F3C"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As the volume of digital information grows, cybersecurity has emerged as a critical focus. Advanced encryption, secure </w:t>
      </w:r>
      <w:proofErr w:type="spellStart"/>
      <w:r w:rsidRPr="00F702FF">
        <w:rPr>
          <w:rFonts w:ascii="Times New Roman" w:eastAsia="Times New Roman" w:hAnsi="Times New Roman" w:cs="Times New Roman"/>
          <w:sz w:val="24"/>
          <w:szCs w:val="24"/>
          <w:lang w:eastAsia="en-IN"/>
        </w:rPr>
        <w:t>tunneling</w:t>
      </w:r>
      <w:proofErr w:type="spellEnd"/>
      <w:r w:rsidRPr="00F702FF">
        <w:rPr>
          <w:rFonts w:ascii="Times New Roman" w:eastAsia="Times New Roman" w:hAnsi="Times New Roman" w:cs="Times New Roman"/>
          <w:sz w:val="24"/>
          <w:szCs w:val="24"/>
          <w:lang w:eastAsia="en-IN"/>
        </w:rPr>
        <w:t xml:space="preserve"> protocols, and AI-driven threat detection are being integrated into communication networks to safeguard sensitive operational data. Vendors are also developing </w:t>
      </w:r>
      <w:r w:rsidRPr="00F702FF">
        <w:rPr>
          <w:rFonts w:ascii="Times New Roman" w:eastAsia="Times New Roman" w:hAnsi="Times New Roman" w:cs="Times New Roman"/>
          <w:b/>
          <w:bCs/>
          <w:sz w:val="24"/>
          <w:szCs w:val="24"/>
          <w:lang w:eastAsia="en-IN"/>
        </w:rPr>
        <w:t>ruggedized hardware and tamper-resistant devices</w:t>
      </w:r>
      <w:r w:rsidRPr="00F702FF">
        <w:rPr>
          <w:rFonts w:ascii="Times New Roman" w:eastAsia="Times New Roman" w:hAnsi="Times New Roman" w:cs="Times New Roman"/>
          <w:sz w:val="24"/>
          <w:szCs w:val="24"/>
          <w:lang w:eastAsia="en-IN"/>
        </w:rPr>
        <w:t xml:space="preserve"> for harsh oilfield environments, ensuring operational continuity in offshore platforms and desert-based oilfields.</w:t>
      </w:r>
    </w:p>
    <w:p w14:paraId="5F2B9340"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Collaborations and Partnerships Driving Innovation</w:t>
      </w:r>
    </w:p>
    <w:p w14:paraId="25BCF204"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Recent strategic collaborations are accelerating innovation. Equipment manufacturers are partnering with telecom providers to deliver integrated communication packages. Technology </w:t>
      </w:r>
      <w:proofErr w:type="spellStart"/>
      <w:r w:rsidRPr="00F702FF">
        <w:rPr>
          <w:rFonts w:ascii="Times New Roman" w:eastAsia="Times New Roman" w:hAnsi="Times New Roman" w:cs="Times New Roman"/>
          <w:sz w:val="24"/>
          <w:szCs w:val="24"/>
          <w:lang w:eastAsia="en-IN"/>
        </w:rPr>
        <w:t>startups</w:t>
      </w:r>
      <w:proofErr w:type="spellEnd"/>
      <w:r w:rsidRPr="00F702FF">
        <w:rPr>
          <w:rFonts w:ascii="Times New Roman" w:eastAsia="Times New Roman" w:hAnsi="Times New Roman" w:cs="Times New Roman"/>
          <w:sz w:val="24"/>
          <w:szCs w:val="24"/>
          <w:lang w:eastAsia="en-IN"/>
        </w:rPr>
        <w:t xml:space="preserve"> focusing on satellite-based and wireless solutions are aligning with large service companies to test and deploy next-generation networks in operational settings. These partnerships often focus on interoperability, scalability, and reducing deployment complexity.</w:t>
      </w:r>
    </w:p>
    <w:p w14:paraId="5C9D4F47"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Sustainability and Remote Operations</w:t>
      </w:r>
    </w:p>
    <w:p w14:paraId="19F7501B"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Another emerging trend is the </w:t>
      </w:r>
      <w:r w:rsidRPr="00F702FF">
        <w:rPr>
          <w:rFonts w:ascii="Times New Roman" w:eastAsia="Times New Roman" w:hAnsi="Times New Roman" w:cs="Times New Roman"/>
          <w:b/>
          <w:bCs/>
          <w:sz w:val="24"/>
          <w:szCs w:val="24"/>
          <w:lang w:eastAsia="en-IN"/>
        </w:rPr>
        <w:t>push toward remote operations and reduced onsite personnel</w:t>
      </w:r>
      <w:r w:rsidRPr="00F702FF">
        <w:rPr>
          <w:rFonts w:ascii="Times New Roman" w:eastAsia="Times New Roman" w:hAnsi="Times New Roman" w:cs="Times New Roman"/>
          <w:sz w:val="24"/>
          <w:szCs w:val="24"/>
          <w:lang w:eastAsia="en-IN"/>
        </w:rPr>
        <w:t>, driven by environmental sustainability goals and cost optimization strategies. Communication systems are now being designed to support unmanned offshore platforms, automated drilling rigs, and remote pipeline monitoring, reducing human exposure to hazardous conditions while improving operational efficiency.</w:t>
      </w:r>
    </w:p>
    <w:p w14:paraId="3FC8D235"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lastRenderedPageBreak/>
        <w:t>In summary, the innovation landscape for oilfield communications is moving from basic connectivity toward fully integrated, intelligent, and secure networks. The combination of AI, edge computing, wireless advancements, and digital oilfield integration is enabling operators to respond more effectively to operational challenges, while cybersecurity and sustainability considerations are shaping future deployments, according to Strategic Market Research.</w:t>
      </w:r>
    </w:p>
    <w:p w14:paraId="152D7935" w14:textId="77777777" w:rsidR="00F702FF" w:rsidRPr="00F702FF" w:rsidRDefault="00F702FF" w:rsidP="00F70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2FF">
        <w:rPr>
          <w:rFonts w:ascii="Times New Roman" w:eastAsia="Times New Roman" w:hAnsi="Times New Roman" w:cs="Times New Roman"/>
          <w:b/>
          <w:bCs/>
          <w:kern w:val="36"/>
          <w:sz w:val="48"/>
          <w:szCs w:val="48"/>
          <w:lang w:eastAsia="en-IN"/>
        </w:rPr>
        <w:t>4. Competitive Intelligence and Benchmarking</w:t>
      </w:r>
    </w:p>
    <w:p w14:paraId="0C8F9802"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The oilfield communications market is competitive yet specialized, with a mix of global technology providers, equipment manufacturers, and service companies vying for market share, according to Strategic Market Research. Success in this sector hinges on technical expertise, reliability, innovation, and the ability to deliver solutions tailored for harsh and complex oilfield environments.</w:t>
      </w:r>
    </w:p>
    <w:p w14:paraId="7BC74F94"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Schlumberger</w:t>
      </w:r>
      <w:r w:rsidRPr="00F702FF">
        <w:rPr>
          <w:rFonts w:ascii="Times New Roman" w:eastAsia="Times New Roman" w:hAnsi="Times New Roman" w:cs="Times New Roman"/>
          <w:sz w:val="24"/>
          <w:szCs w:val="24"/>
          <w:lang w:eastAsia="en-IN"/>
        </w:rPr>
        <w:br/>
      </w:r>
      <w:proofErr w:type="spellStart"/>
      <w:r w:rsidRPr="00F702FF">
        <w:rPr>
          <w:rFonts w:ascii="Times New Roman" w:eastAsia="Times New Roman" w:hAnsi="Times New Roman" w:cs="Times New Roman"/>
          <w:sz w:val="24"/>
          <w:szCs w:val="24"/>
          <w:lang w:eastAsia="en-IN"/>
        </w:rPr>
        <w:t>Schlumberger</w:t>
      </w:r>
      <w:proofErr w:type="spellEnd"/>
      <w:r w:rsidRPr="00F702FF">
        <w:rPr>
          <w:rFonts w:ascii="Times New Roman" w:eastAsia="Times New Roman" w:hAnsi="Times New Roman" w:cs="Times New Roman"/>
          <w:sz w:val="24"/>
          <w:szCs w:val="24"/>
          <w:lang w:eastAsia="en-IN"/>
        </w:rPr>
        <w:t xml:space="preserve"> has established itself as a leading player by integrating advanced communication solutions within its broader oilfield service offerings. The company leverages proprietary telemetry systems, remote monitoring platforms, and digital oilfield solutions to provide end-to-end connectivity. Schlumberger focuses on partnerships with oil and gas operators to implement scalable, high-reliability networks, particularly in </w:t>
      </w:r>
      <w:proofErr w:type="spellStart"/>
      <w:r w:rsidRPr="00F702FF">
        <w:rPr>
          <w:rFonts w:ascii="Times New Roman" w:eastAsia="Times New Roman" w:hAnsi="Times New Roman" w:cs="Times New Roman"/>
          <w:sz w:val="24"/>
          <w:szCs w:val="24"/>
          <w:lang w:eastAsia="en-IN"/>
        </w:rPr>
        <w:t>deepwater</w:t>
      </w:r>
      <w:proofErr w:type="spellEnd"/>
      <w:r w:rsidRPr="00F702FF">
        <w:rPr>
          <w:rFonts w:ascii="Times New Roman" w:eastAsia="Times New Roman" w:hAnsi="Times New Roman" w:cs="Times New Roman"/>
          <w:sz w:val="24"/>
          <w:szCs w:val="24"/>
          <w:lang w:eastAsia="en-IN"/>
        </w:rPr>
        <w:t xml:space="preserve"> and unconventional drilling projects.</w:t>
      </w:r>
    </w:p>
    <w:p w14:paraId="2844CC37"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Halliburton</w:t>
      </w:r>
      <w:r w:rsidRPr="00F702FF">
        <w:rPr>
          <w:rFonts w:ascii="Times New Roman" w:eastAsia="Times New Roman" w:hAnsi="Times New Roman" w:cs="Times New Roman"/>
          <w:sz w:val="24"/>
          <w:szCs w:val="24"/>
          <w:lang w:eastAsia="en-IN"/>
        </w:rPr>
        <w:br/>
      </w:r>
      <w:proofErr w:type="spellStart"/>
      <w:r w:rsidRPr="00F702FF">
        <w:rPr>
          <w:rFonts w:ascii="Times New Roman" w:eastAsia="Times New Roman" w:hAnsi="Times New Roman" w:cs="Times New Roman"/>
          <w:sz w:val="24"/>
          <w:szCs w:val="24"/>
          <w:lang w:eastAsia="en-IN"/>
        </w:rPr>
        <w:t>Halliburton</w:t>
      </w:r>
      <w:proofErr w:type="spellEnd"/>
      <w:r w:rsidRPr="00F702FF">
        <w:rPr>
          <w:rFonts w:ascii="Times New Roman" w:eastAsia="Times New Roman" w:hAnsi="Times New Roman" w:cs="Times New Roman"/>
          <w:sz w:val="24"/>
          <w:szCs w:val="24"/>
          <w:lang w:eastAsia="en-IN"/>
        </w:rPr>
        <w:t xml:space="preserve"> emphasizes modular communication systems and real-time data analytics. Its strategy revolves around combining drilling services with integrated communication networks that allow continuous monitoring of wellbore conditions and equipment performance. The company’s global presence in both mature and emerging markets strengthens its competitive positioning, and it is investing in wireless telemetry and satellite-enabled solutions to expand offshore and remote operations capabilities.</w:t>
      </w:r>
    </w:p>
    <w:p w14:paraId="725B1FBC"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Weatherford International</w:t>
      </w:r>
      <w:r w:rsidRPr="00F702FF">
        <w:rPr>
          <w:rFonts w:ascii="Times New Roman" w:eastAsia="Times New Roman" w:hAnsi="Times New Roman" w:cs="Times New Roman"/>
          <w:sz w:val="24"/>
          <w:szCs w:val="24"/>
          <w:lang w:eastAsia="en-IN"/>
        </w:rPr>
        <w:br/>
        <w:t xml:space="preserve">Weatherford’s approach </w:t>
      </w:r>
      <w:proofErr w:type="spellStart"/>
      <w:r w:rsidRPr="00F702FF">
        <w:rPr>
          <w:rFonts w:ascii="Times New Roman" w:eastAsia="Times New Roman" w:hAnsi="Times New Roman" w:cs="Times New Roman"/>
          <w:sz w:val="24"/>
          <w:szCs w:val="24"/>
          <w:lang w:eastAsia="en-IN"/>
        </w:rPr>
        <w:t>centers</w:t>
      </w:r>
      <w:proofErr w:type="spellEnd"/>
      <w:r w:rsidRPr="00F702FF">
        <w:rPr>
          <w:rFonts w:ascii="Times New Roman" w:eastAsia="Times New Roman" w:hAnsi="Times New Roman" w:cs="Times New Roman"/>
          <w:sz w:val="24"/>
          <w:szCs w:val="24"/>
          <w:lang w:eastAsia="en-IN"/>
        </w:rPr>
        <w:t xml:space="preserve"> on flexible, adaptive communication systems that can be deployed across diverse oilfield environments. The company offers hybrid solutions combining wired, wireless, and satellite communications. By integrating AI-driven diagnostics and predictive monitoring tools, Weatherford enhances operational efficiency for midstream and upstream operators while maintaining cost-effectiveness.</w:t>
      </w:r>
    </w:p>
    <w:p w14:paraId="2CDD739F"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Huawei Technologies</w:t>
      </w:r>
      <w:r w:rsidRPr="00F702FF">
        <w:rPr>
          <w:rFonts w:ascii="Times New Roman" w:eastAsia="Times New Roman" w:hAnsi="Times New Roman" w:cs="Times New Roman"/>
          <w:sz w:val="24"/>
          <w:szCs w:val="24"/>
          <w:lang w:eastAsia="en-IN"/>
        </w:rPr>
        <w:br/>
        <w:t xml:space="preserve">Huawei has carved a niche by delivering communication hardware and networking infrastructure tailored for oilfield applications. The company focuses on </w:t>
      </w:r>
      <w:r w:rsidRPr="00F702FF">
        <w:rPr>
          <w:rFonts w:ascii="Times New Roman" w:eastAsia="Times New Roman" w:hAnsi="Times New Roman" w:cs="Times New Roman"/>
          <w:b/>
          <w:bCs/>
          <w:sz w:val="24"/>
          <w:szCs w:val="24"/>
          <w:lang w:eastAsia="en-IN"/>
        </w:rPr>
        <w:t xml:space="preserve">private LTE networks, </w:t>
      </w:r>
      <w:proofErr w:type="spellStart"/>
      <w:r w:rsidRPr="00F702FF">
        <w:rPr>
          <w:rFonts w:ascii="Times New Roman" w:eastAsia="Times New Roman" w:hAnsi="Times New Roman" w:cs="Times New Roman"/>
          <w:b/>
          <w:bCs/>
          <w:sz w:val="24"/>
          <w:szCs w:val="24"/>
          <w:lang w:eastAsia="en-IN"/>
        </w:rPr>
        <w:t>fiber</w:t>
      </w:r>
      <w:proofErr w:type="spellEnd"/>
      <w:r w:rsidRPr="00F702FF">
        <w:rPr>
          <w:rFonts w:ascii="Times New Roman" w:eastAsia="Times New Roman" w:hAnsi="Times New Roman" w:cs="Times New Roman"/>
          <w:b/>
          <w:bCs/>
          <w:sz w:val="24"/>
          <w:szCs w:val="24"/>
          <w:lang w:eastAsia="en-IN"/>
        </w:rPr>
        <w:t xml:space="preserve"> optic systems, and IoT-enabled sensors</w:t>
      </w:r>
      <w:r w:rsidRPr="00F702FF">
        <w:rPr>
          <w:rFonts w:ascii="Times New Roman" w:eastAsia="Times New Roman" w:hAnsi="Times New Roman" w:cs="Times New Roman"/>
          <w:sz w:val="24"/>
          <w:szCs w:val="24"/>
          <w:lang w:eastAsia="en-IN"/>
        </w:rPr>
        <w:t>, catering to both onshore and offshore operators. Huawei’s partnerships with oil and gas service providers allow for seamless deployment of end-to-end digital communication solutions in large-scale fields.</w:t>
      </w:r>
    </w:p>
    <w:p w14:paraId="46A96C35"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ABB Group</w:t>
      </w:r>
      <w:r w:rsidRPr="00F702FF">
        <w:rPr>
          <w:rFonts w:ascii="Times New Roman" w:eastAsia="Times New Roman" w:hAnsi="Times New Roman" w:cs="Times New Roman"/>
          <w:sz w:val="24"/>
          <w:szCs w:val="24"/>
          <w:lang w:eastAsia="en-IN"/>
        </w:rPr>
        <w:br/>
        <w:t xml:space="preserve">ABB emphasizes automation-driven communication solutions, combining SCADA systems, industrial networking, and telemetry platforms. The company’s expertise in electric and </w:t>
      </w:r>
      <w:r w:rsidRPr="00F702FF">
        <w:rPr>
          <w:rFonts w:ascii="Times New Roman" w:eastAsia="Times New Roman" w:hAnsi="Times New Roman" w:cs="Times New Roman"/>
          <w:sz w:val="24"/>
          <w:szCs w:val="24"/>
          <w:lang w:eastAsia="en-IN"/>
        </w:rPr>
        <w:lastRenderedPageBreak/>
        <w:t>control systems complements its communication offerings, enabling operators to manage complex facilities efficiently. ABB is particularly strong in upstream and midstream projects requiring integrated monitoring and process automation.</w:t>
      </w:r>
    </w:p>
    <w:p w14:paraId="6CA91819"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Cisco Systems</w:t>
      </w:r>
      <w:r w:rsidRPr="00F702FF">
        <w:rPr>
          <w:rFonts w:ascii="Times New Roman" w:eastAsia="Times New Roman" w:hAnsi="Times New Roman" w:cs="Times New Roman"/>
          <w:sz w:val="24"/>
          <w:szCs w:val="24"/>
          <w:lang w:eastAsia="en-IN"/>
        </w:rPr>
        <w:br/>
        <w:t xml:space="preserve">Cisco focuses on IP-based communication solutions and network infrastructure for oilfield environments. Its strategy revolves around cybersecure networks, high-bandwidth data transmission, and remote monitoring platforms. Cisco also collaborates with oilfield service companies to provide integrated communication solutions capable of supporting </w:t>
      </w:r>
      <w:proofErr w:type="spellStart"/>
      <w:r w:rsidRPr="00F702FF">
        <w:rPr>
          <w:rFonts w:ascii="Times New Roman" w:eastAsia="Times New Roman" w:hAnsi="Times New Roman" w:cs="Times New Roman"/>
          <w:sz w:val="24"/>
          <w:szCs w:val="24"/>
          <w:lang w:eastAsia="en-IN"/>
        </w:rPr>
        <w:t>IIoT</w:t>
      </w:r>
      <w:proofErr w:type="spellEnd"/>
      <w:r w:rsidRPr="00F702FF">
        <w:rPr>
          <w:rFonts w:ascii="Times New Roman" w:eastAsia="Times New Roman" w:hAnsi="Times New Roman" w:cs="Times New Roman"/>
          <w:sz w:val="24"/>
          <w:szCs w:val="24"/>
          <w:lang w:eastAsia="en-IN"/>
        </w:rPr>
        <w:t>, edge computing, and AI-driven analytics.</w:t>
      </w:r>
    </w:p>
    <w:p w14:paraId="2E0E7809"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Competitive Dynamics</w:t>
      </w:r>
    </w:p>
    <w:p w14:paraId="7C1FBBF8" w14:textId="77777777" w:rsidR="00F702FF" w:rsidRPr="00F702FF" w:rsidRDefault="00F702FF" w:rsidP="00F702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Innovation and Integration</w:t>
      </w:r>
      <w:r w:rsidRPr="00F702FF">
        <w:rPr>
          <w:rFonts w:ascii="Times New Roman" w:eastAsia="Times New Roman" w:hAnsi="Times New Roman" w:cs="Times New Roman"/>
          <w:sz w:val="24"/>
          <w:szCs w:val="24"/>
          <w:lang w:eastAsia="en-IN"/>
        </w:rPr>
        <w:t xml:space="preserve">: The market </w:t>
      </w:r>
      <w:proofErr w:type="spellStart"/>
      <w:r w:rsidRPr="00F702FF">
        <w:rPr>
          <w:rFonts w:ascii="Times New Roman" w:eastAsia="Times New Roman" w:hAnsi="Times New Roman" w:cs="Times New Roman"/>
          <w:sz w:val="24"/>
          <w:szCs w:val="24"/>
          <w:lang w:eastAsia="en-IN"/>
        </w:rPr>
        <w:t>favors</w:t>
      </w:r>
      <w:proofErr w:type="spellEnd"/>
      <w:r w:rsidRPr="00F702FF">
        <w:rPr>
          <w:rFonts w:ascii="Times New Roman" w:eastAsia="Times New Roman" w:hAnsi="Times New Roman" w:cs="Times New Roman"/>
          <w:sz w:val="24"/>
          <w:szCs w:val="24"/>
          <w:lang w:eastAsia="en-IN"/>
        </w:rPr>
        <w:t xml:space="preserve"> companies that provide fully integrated solutions combining hardware, software, and analytics.</w:t>
      </w:r>
    </w:p>
    <w:p w14:paraId="687B1CF7" w14:textId="77777777" w:rsidR="00F702FF" w:rsidRPr="00F702FF" w:rsidRDefault="00F702FF" w:rsidP="00F702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Global vs Regional Reach</w:t>
      </w:r>
      <w:r w:rsidRPr="00F702FF">
        <w:rPr>
          <w:rFonts w:ascii="Times New Roman" w:eastAsia="Times New Roman" w:hAnsi="Times New Roman" w:cs="Times New Roman"/>
          <w:sz w:val="24"/>
          <w:szCs w:val="24"/>
          <w:lang w:eastAsia="en-IN"/>
        </w:rPr>
        <w:t>: Multinational companies like Schlumberger and Halliburton dominate globally, while firms like Huawei and Cisco are expanding through partnerships and technology licensing.</w:t>
      </w:r>
    </w:p>
    <w:p w14:paraId="561323F1" w14:textId="77777777" w:rsidR="00F702FF" w:rsidRPr="00F702FF" w:rsidRDefault="00F702FF" w:rsidP="00F702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Differentiation through Technology</w:t>
      </w:r>
      <w:r w:rsidRPr="00F702FF">
        <w:rPr>
          <w:rFonts w:ascii="Times New Roman" w:eastAsia="Times New Roman" w:hAnsi="Times New Roman" w:cs="Times New Roman"/>
          <w:sz w:val="24"/>
          <w:szCs w:val="24"/>
          <w:lang w:eastAsia="en-IN"/>
        </w:rPr>
        <w:t>: AI-enabled communication networks, edge computing, and hybrid deployment capabilities are becoming critical differentiators.</w:t>
      </w:r>
    </w:p>
    <w:p w14:paraId="3756CA30" w14:textId="77777777" w:rsidR="00F702FF" w:rsidRPr="00F702FF" w:rsidRDefault="00F702FF" w:rsidP="00F702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Reliability and Compliance</w:t>
      </w:r>
      <w:r w:rsidRPr="00F702FF">
        <w:rPr>
          <w:rFonts w:ascii="Times New Roman" w:eastAsia="Times New Roman" w:hAnsi="Times New Roman" w:cs="Times New Roman"/>
          <w:sz w:val="24"/>
          <w:szCs w:val="24"/>
          <w:lang w:eastAsia="en-IN"/>
        </w:rPr>
        <w:t>: In oilfield operations, downtime can be extremely costly. Vendors with proven track records in harsh environments command higher trust and premium pricing.</w:t>
      </w:r>
    </w:p>
    <w:p w14:paraId="17977406"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Overall, the oilfield communications market rewards firms that can blend cutting-edge technology, operational reliability, and global service capabilities. While pricing plays a role, operators prioritize safety, uptime, and network robustness over cost alone, according to Strategic Market Research.</w:t>
      </w:r>
    </w:p>
    <w:p w14:paraId="61298717" w14:textId="77777777" w:rsidR="00F702FF" w:rsidRPr="00F702FF" w:rsidRDefault="00F702FF" w:rsidP="00F70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2FF">
        <w:rPr>
          <w:rFonts w:ascii="Times New Roman" w:eastAsia="Times New Roman" w:hAnsi="Times New Roman" w:cs="Times New Roman"/>
          <w:b/>
          <w:bCs/>
          <w:kern w:val="36"/>
          <w:sz w:val="48"/>
          <w:szCs w:val="48"/>
          <w:lang w:eastAsia="en-IN"/>
        </w:rPr>
        <w:t>5. Regional Landscape and Adoption Outlook</w:t>
      </w:r>
    </w:p>
    <w:p w14:paraId="11307266"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The adoption of oilfield communications systems varies widely across regions, reflecting differences in oil and gas infrastructure, regulatory frameworks, technological readiness, and investment priorities, according to Strategic Market Research. Understanding regional dynamics is crucial for stakeholders aiming to target high-growth markets and optimize deployment strategies.</w:t>
      </w:r>
    </w:p>
    <w:p w14:paraId="0AA15BE5"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North America</w:t>
      </w:r>
      <w:r w:rsidRPr="00F702FF">
        <w:rPr>
          <w:rFonts w:ascii="Times New Roman" w:eastAsia="Times New Roman" w:hAnsi="Times New Roman" w:cs="Times New Roman"/>
          <w:sz w:val="24"/>
          <w:szCs w:val="24"/>
          <w:lang w:eastAsia="en-IN"/>
        </w:rPr>
        <w:br/>
        <w:t xml:space="preserve">North America remains the most mature market, driven by the United States and Canada’s extensive onshore and offshore oilfields. High adoption is supported by stringent safety and environmental regulations, widespread use of digital oilfield strategies, and advanced infrastructure. Operators in the Gulf of Mexico, shale plays, and Canadian oil sands rely heavily on </w:t>
      </w:r>
      <w:proofErr w:type="spellStart"/>
      <w:r w:rsidRPr="00F702FF">
        <w:rPr>
          <w:rFonts w:ascii="Times New Roman" w:eastAsia="Times New Roman" w:hAnsi="Times New Roman" w:cs="Times New Roman"/>
          <w:sz w:val="24"/>
          <w:szCs w:val="24"/>
          <w:lang w:eastAsia="en-IN"/>
        </w:rPr>
        <w:t>fiber</w:t>
      </w:r>
      <w:proofErr w:type="spellEnd"/>
      <w:r w:rsidRPr="00F702FF">
        <w:rPr>
          <w:rFonts w:ascii="Times New Roman" w:eastAsia="Times New Roman" w:hAnsi="Times New Roman" w:cs="Times New Roman"/>
          <w:sz w:val="24"/>
          <w:szCs w:val="24"/>
          <w:lang w:eastAsia="en-IN"/>
        </w:rPr>
        <w:t xml:space="preserve"> optic networks, satellite systems, and wireless telemetry to monitor production, optimize drilling operations, and ensure safety compliance. The presence of major oilfield service providers and continuous investment in </w:t>
      </w:r>
      <w:proofErr w:type="spellStart"/>
      <w:r w:rsidRPr="00F702FF">
        <w:rPr>
          <w:rFonts w:ascii="Times New Roman" w:eastAsia="Times New Roman" w:hAnsi="Times New Roman" w:cs="Times New Roman"/>
          <w:sz w:val="24"/>
          <w:szCs w:val="24"/>
          <w:lang w:eastAsia="en-IN"/>
        </w:rPr>
        <w:t>IIoT</w:t>
      </w:r>
      <w:proofErr w:type="spellEnd"/>
      <w:r w:rsidRPr="00F702FF">
        <w:rPr>
          <w:rFonts w:ascii="Times New Roman" w:eastAsia="Times New Roman" w:hAnsi="Times New Roman" w:cs="Times New Roman"/>
          <w:sz w:val="24"/>
          <w:szCs w:val="24"/>
          <w:lang w:eastAsia="en-IN"/>
        </w:rPr>
        <w:t>-enabled monitoring reinforce North America’s leadership.</w:t>
      </w:r>
    </w:p>
    <w:p w14:paraId="6B4F1371"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lastRenderedPageBreak/>
        <w:t>Europe</w:t>
      </w:r>
      <w:r w:rsidRPr="00F702FF">
        <w:rPr>
          <w:rFonts w:ascii="Times New Roman" w:eastAsia="Times New Roman" w:hAnsi="Times New Roman" w:cs="Times New Roman"/>
          <w:sz w:val="24"/>
          <w:szCs w:val="24"/>
          <w:lang w:eastAsia="en-IN"/>
        </w:rPr>
        <w:br/>
        <w:t>Europe’s market growth is moderate but steady. Countries such as Norway, the United Kingdom, and the Netherlands have significant offshore oil and gas activities that demand robust communication networks for subsea monitoring and platform operations. Adoption is supported by regulatory compliance standards and environmental monitoring mandates, which drive the integration of telemetry, SCADA systems, and industrial IoT platforms. Europe’s focus on sustainability and digital transformation is accelerating the adoption of AI-assisted monitoring and hybrid communication networks, particularly in offshore fields.</w:t>
      </w:r>
    </w:p>
    <w:p w14:paraId="53A9B92E"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Asia Pacific</w:t>
      </w:r>
      <w:r w:rsidRPr="00F702FF">
        <w:rPr>
          <w:rFonts w:ascii="Times New Roman" w:eastAsia="Times New Roman" w:hAnsi="Times New Roman" w:cs="Times New Roman"/>
          <w:sz w:val="24"/>
          <w:szCs w:val="24"/>
          <w:lang w:eastAsia="en-IN"/>
        </w:rPr>
        <w:br/>
        <w:t xml:space="preserve">Asia Pacific represents the fastest-growing region in the oilfield communications market. Rapid expansion in upstream and offshore exploration in China, India, Indonesia, and Malaysia is </w:t>
      </w:r>
      <w:proofErr w:type="spellStart"/>
      <w:r w:rsidRPr="00F702FF">
        <w:rPr>
          <w:rFonts w:ascii="Times New Roman" w:eastAsia="Times New Roman" w:hAnsi="Times New Roman" w:cs="Times New Roman"/>
          <w:sz w:val="24"/>
          <w:szCs w:val="24"/>
          <w:lang w:eastAsia="en-IN"/>
        </w:rPr>
        <w:t>fueling</w:t>
      </w:r>
      <w:proofErr w:type="spellEnd"/>
      <w:r w:rsidRPr="00F702FF">
        <w:rPr>
          <w:rFonts w:ascii="Times New Roman" w:eastAsia="Times New Roman" w:hAnsi="Times New Roman" w:cs="Times New Roman"/>
          <w:sz w:val="24"/>
          <w:szCs w:val="24"/>
          <w:lang w:eastAsia="en-IN"/>
        </w:rPr>
        <w:t xml:space="preserve"> demand. Investments in remote and </w:t>
      </w:r>
      <w:proofErr w:type="spellStart"/>
      <w:r w:rsidRPr="00F702FF">
        <w:rPr>
          <w:rFonts w:ascii="Times New Roman" w:eastAsia="Times New Roman" w:hAnsi="Times New Roman" w:cs="Times New Roman"/>
          <w:sz w:val="24"/>
          <w:szCs w:val="24"/>
          <w:lang w:eastAsia="en-IN"/>
        </w:rPr>
        <w:t>deepwater</w:t>
      </w:r>
      <w:proofErr w:type="spellEnd"/>
      <w:r w:rsidRPr="00F702FF">
        <w:rPr>
          <w:rFonts w:ascii="Times New Roman" w:eastAsia="Times New Roman" w:hAnsi="Times New Roman" w:cs="Times New Roman"/>
          <w:sz w:val="24"/>
          <w:szCs w:val="24"/>
          <w:lang w:eastAsia="en-IN"/>
        </w:rPr>
        <w:t xml:space="preserve"> fields, combined with a rising emphasis on digital oilfield solutions, are driving adoption of satellite-based communications, hybrid wired-wireless networks, and IoT-enabled monitoring systems. The region is also witnessing the deployment of private LTE and 5G networks in onshore and offshore facilities, supporting low-latency, high-reliability communications for drilling and production operations.</w:t>
      </w:r>
    </w:p>
    <w:p w14:paraId="3131FF8A"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LAMEA (Latin America, Middle East, and Africa)</w:t>
      </w:r>
      <w:r w:rsidRPr="00F702FF">
        <w:rPr>
          <w:rFonts w:ascii="Times New Roman" w:eastAsia="Times New Roman" w:hAnsi="Times New Roman" w:cs="Times New Roman"/>
          <w:sz w:val="24"/>
          <w:szCs w:val="24"/>
          <w:lang w:eastAsia="en-IN"/>
        </w:rPr>
        <w:br/>
        <w:t xml:space="preserve">LAMEA is an emerging market, with growth concentrated in Brazil, Nigeria, Saudi Arabia, and the UAE. Offshore exploration and </w:t>
      </w:r>
      <w:proofErr w:type="spellStart"/>
      <w:r w:rsidRPr="00F702FF">
        <w:rPr>
          <w:rFonts w:ascii="Times New Roman" w:eastAsia="Times New Roman" w:hAnsi="Times New Roman" w:cs="Times New Roman"/>
          <w:sz w:val="24"/>
          <w:szCs w:val="24"/>
          <w:lang w:eastAsia="en-IN"/>
        </w:rPr>
        <w:t>deepwater</w:t>
      </w:r>
      <w:proofErr w:type="spellEnd"/>
      <w:r w:rsidRPr="00F702FF">
        <w:rPr>
          <w:rFonts w:ascii="Times New Roman" w:eastAsia="Times New Roman" w:hAnsi="Times New Roman" w:cs="Times New Roman"/>
          <w:sz w:val="24"/>
          <w:szCs w:val="24"/>
          <w:lang w:eastAsia="en-IN"/>
        </w:rPr>
        <w:t xml:space="preserve"> oilfields in Brazil and West Africa are stimulating investments in satellite communications, subsea telemetry, and real-time monitoring platforms. In the Middle East, national oil companies are adopting advanced communication systems to support large-scale field operations, pipeline monitoring, and automated production facilities. Africa remains underpenetrated, with limited infrastructure and high capital costs, but public-private partnerships and technology collaborations are slowly expanding connectivity in oil-producing regions.</w:t>
      </w:r>
    </w:p>
    <w:p w14:paraId="66252533"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Key Regional Insights</w:t>
      </w:r>
    </w:p>
    <w:p w14:paraId="3A110E16" w14:textId="77777777" w:rsidR="00F702FF" w:rsidRPr="00F702FF" w:rsidRDefault="00F702FF" w:rsidP="00F702F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North America and Europe</w:t>
      </w:r>
      <w:r w:rsidRPr="00F702FF">
        <w:rPr>
          <w:rFonts w:ascii="Times New Roman" w:eastAsia="Times New Roman" w:hAnsi="Times New Roman" w:cs="Times New Roman"/>
          <w:sz w:val="24"/>
          <w:szCs w:val="24"/>
          <w:lang w:eastAsia="en-IN"/>
        </w:rPr>
        <w:t xml:space="preserve">: Innovation hubs with high integration of digital oilfield communications, strong regulatory enforcement, and early adoption of </w:t>
      </w:r>
      <w:proofErr w:type="spellStart"/>
      <w:r w:rsidRPr="00F702FF">
        <w:rPr>
          <w:rFonts w:ascii="Times New Roman" w:eastAsia="Times New Roman" w:hAnsi="Times New Roman" w:cs="Times New Roman"/>
          <w:sz w:val="24"/>
          <w:szCs w:val="24"/>
          <w:lang w:eastAsia="en-IN"/>
        </w:rPr>
        <w:t>IIoT</w:t>
      </w:r>
      <w:proofErr w:type="spellEnd"/>
      <w:r w:rsidRPr="00F702FF">
        <w:rPr>
          <w:rFonts w:ascii="Times New Roman" w:eastAsia="Times New Roman" w:hAnsi="Times New Roman" w:cs="Times New Roman"/>
          <w:sz w:val="24"/>
          <w:szCs w:val="24"/>
          <w:lang w:eastAsia="en-IN"/>
        </w:rPr>
        <w:t xml:space="preserve"> and AI.</w:t>
      </w:r>
    </w:p>
    <w:p w14:paraId="3B5645CC" w14:textId="77777777" w:rsidR="00F702FF" w:rsidRPr="00F702FF" w:rsidRDefault="00F702FF" w:rsidP="00F702F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Asia Pacific</w:t>
      </w:r>
      <w:r w:rsidRPr="00F702FF">
        <w:rPr>
          <w:rFonts w:ascii="Times New Roman" w:eastAsia="Times New Roman" w:hAnsi="Times New Roman" w:cs="Times New Roman"/>
          <w:sz w:val="24"/>
          <w:szCs w:val="24"/>
          <w:lang w:eastAsia="en-IN"/>
        </w:rPr>
        <w:t>: Volume-driven growth supported by expanding upstream activities, increasing digitalization, and rapid network deployment.</w:t>
      </w:r>
    </w:p>
    <w:p w14:paraId="77C07AD9" w14:textId="77777777" w:rsidR="00F702FF" w:rsidRPr="00F702FF" w:rsidRDefault="00F702FF" w:rsidP="00F702F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LAMEA</w:t>
      </w:r>
      <w:r w:rsidRPr="00F702FF">
        <w:rPr>
          <w:rFonts w:ascii="Times New Roman" w:eastAsia="Times New Roman" w:hAnsi="Times New Roman" w:cs="Times New Roman"/>
          <w:sz w:val="24"/>
          <w:szCs w:val="24"/>
          <w:lang w:eastAsia="en-IN"/>
        </w:rPr>
        <w:t>: Frontier markets where affordability, hybrid systems, and satellite solutions dominate, offering high potential for future growth.</w:t>
      </w:r>
    </w:p>
    <w:p w14:paraId="2E35CB92"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Overall, the adoption landscape highlights the importance of regional infrastructure, operational complexity, and regulatory frameworks in shaping the deployment of oilfield communications. Companies that tailor their solutions to meet local operational requirements and integrate advanced monitoring technologies are better positioned to capture market share, according to Strategic Market Research.</w:t>
      </w:r>
    </w:p>
    <w:p w14:paraId="6C57A99B" w14:textId="77777777" w:rsidR="00F702FF" w:rsidRPr="00F702FF" w:rsidRDefault="00F702FF" w:rsidP="00F70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2FF">
        <w:rPr>
          <w:rFonts w:ascii="Times New Roman" w:eastAsia="Times New Roman" w:hAnsi="Times New Roman" w:cs="Times New Roman"/>
          <w:b/>
          <w:bCs/>
          <w:kern w:val="36"/>
          <w:sz w:val="48"/>
          <w:szCs w:val="48"/>
          <w:lang w:eastAsia="en-IN"/>
        </w:rPr>
        <w:t>6. End-User Dynamics and Use Case</w:t>
      </w:r>
    </w:p>
    <w:p w14:paraId="7A129252"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The oilfield communications market serves a diverse set of end users, each with unique operational requirements, workflows, and technological expectations, according to Strategic Market Research. Understanding these dynamics is essential for vendors and service </w:t>
      </w:r>
      <w:r w:rsidRPr="00F702FF">
        <w:rPr>
          <w:rFonts w:ascii="Times New Roman" w:eastAsia="Times New Roman" w:hAnsi="Times New Roman" w:cs="Times New Roman"/>
          <w:sz w:val="24"/>
          <w:szCs w:val="24"/>
          <w:lang w:eastAsia="en-IN"/>
        </w:rPr>
        <w:lastRenderedPageBreak/>
        <w:t>providers aiming to align solutions with user needs while maximizing operational efficiency and safety.</w:t>
      </w:r>
    </w:p>
    <w:p w14:paraId="35844D19"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Oil and Gas Operators</w:t>
      </w:r>
      <w:r w:rsidRPr="00F702FF">
        <w:rPr>
          <w:rFonts w:ascii="Times New Roman" w:eastAsia="Times New Roman" w:hAnsi="Times New Roman" w:cs="Times New Roman"/>
          <w:sz w:val="24"/>
          <w:szCs w:val="24"/>
          <w:lang w:eastAsia="en-IN"/>
        </w:rPr>
        <w:br/>
        <w:t xml:space="preserve">These are the primary adopters of oilfield communications systems. Operators require integrated networks that connect drilling rigs, production platforms, pipelines, and onshore control </w:t>
      </w:r>
      <w:proofErr w:type="spellStart"/>
      <w:r w:rsidRPr="00F702FF">
        <w:rPr>
          <w:rFonts w:ascii="Times New Roman" w:eastAsia="Times New Roman" w:hAnsi="Times New Roman" w:cs="Times New Roman"/>
          <w:sz w:val="24"/>
          <w:szCs w:val="24"/>
          <w:lang w:eastAsia="en-IN"/>
        </w:rPr>
        <w:t>centers</w:t>
      </w:r>
      <w:proofErr w:type="spellEnd"/>
      <w:r w:rsidRPr="00F702FF">
        <w:rPr>
          <w:rFonts w:ascii="Times New Roman" w:eastAsia="Times New Roman" w:hAnsi="Times New Roman" w:cs="Times New Roman"/>
          <w:sz w:val="24"/>
          <w:szCs w:val="24"/>
          <w:lang w:eastAsia="en-IN"/>
        </w:rPr>
        <w:t>. Their key priorities include real-time monitoring, predictive maintenance, safety compliance, and operational efficiency. Large multinational oil companies are increasingly adopting advanced communication systems with AI-driven analytics and edge computing capabilities to optimize resource allocation and production performance. Smaller operators often focus on scalable, cost-effective wireless solutions that allow them to enhance connectivity in remote or unconventional fields.</w:t>
      </w:r>
    </w:p>
    <w:p w14:paraId="2F8E94EB"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Service Providers</w:t>
      </w:r>
      <w:r w:rsidRPr="00F702FF">
        <w:rPr>
          <w:rFonts w:ascii="Times New Roman" w:eastAsia="Times New Roman" w:hAnsi="Times New Roman" w:cs="Times New Roman"/>
          <w:sz w:val="24"/>
          <w:szCs w:val="24"/>
          <w:lang w:eastAsia="en-IN"/>
        </w:rPr>
        <w:br/>
        <w:t>Oilfield service companies, including drilling contractors, subsea engineering firms, and pipeline maintenance operators, rely heavily on communication networks to coordinate complex operations across multiple sites. Real-time telemetry and video communication are critical for equipment monitoring, troubleshooting, and remote assistance. The trend is shifting toward portable, hybrid communication systems that allow service providers to rapidly deploy connectivity in temporary or mobile field locations.</w:t>
      </w:r>
    </w:p>
    <w:p w14:paraId="0BF3D73D"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Government and Regulatory Bodies</w:t>
      </w:r>
      <w:r w:rsidRPr="00F702FF">
        <w:rPr>
          <w:rFonts w:ascii="Times New Roman" w:eastAsia="Times New Roman" w:hAnsi="Times New Roman" w:cs="Times New Roman"/>
          <w:sz w:val="24"/>
          <w:szCs w:val="24"/>
          <w:lang w:eastAsia="en-IN"/>
        </w:rPr>
        <w:br/>
        <w:t>Regulatory agencies and government monitoring organizations are increasingly using oilfield communications systems to ensure compliance with safety, environmental, and operational standards. Systems that provide real-time leak detection, emissions monitoring, and emergency alerts help regulators enforce policies while allowing operators to demonstrate adherence to regulations. These end users prioritize secure and reliable communication networks capable of transmitting sensitive data without interruption.</w:t>
      </w:r>
    </w:p>
    <w:p w14:paraId="2494E6CD"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Use Case Highlight</w:t>
      </w:r>
      <w:r w:rsidRPr="00F702FF">
        <w:rPr>
          <w:rFonts w:ascii="Times New Roman" w:eastAsia="Times New Roman" w:hAnsi="Times New Roman" w:cs="Times New Roman"/>
          <w:sz w:val="24"/>
          <w:szCs w:val="24"/>
          <w:lang w:eastAsia="en-IN"/>
        </w:rPr>
        <w:br/>
        <w:t xml:space="preserve">A major offshore operator in the Gulf of Mexico faced challenges in managing multiple </w:t>
      </w:r>
      <w:proofErr w:type="spellStart"/>
      <w:r w:rsidRPr="00F702FF">
        <w:rPr>
          <w:rFonts w:ascii="Times New Roman" w:eastAsia="Times New Roman" w:hAnsi="Times New Roman" w:cs="Times New Roman"/>
          <w:sz w:val="24"/>
          <w:szCs w:val="24"/>
          <w:lang w:eastAsia="en-IN"/>
        </w:rPr>
        <w:t>deepwater</w:t>
      </w:r>
      <w:proofErr w:type="spellEnd"/>
      <w:r w:rsidRPr="00F702FF">
        <w:rPr>
          <w:rFonts w:ascii="Times New Roman" w:eastAsia="Times New Roman" w:hAnsi="Times New Roman" w:cs="Times New Roman"/>
          <w:sz w:val="24"/>
          <w:szCs w:val="24"/>
          <w:lang w:eastAsia="en-IN"/>
        </w:rPr>
        <w:t xml:space="preserve"> drilling platforms, with high dependency on real-time monitoring to prevent operational downtime. The company deployed a hybrid communication network combining </w:t>
      </w:r>
      <w:proofErr w:type="spellStart"/>
      <w:r w:rsidRPr="00F702FF">
        <w:rPr>
          <w:rFonts w:ascii="Times New Roman" w:eastAsia="Times New Roman" w:hAnsi="Times New Roman" w:cs="Times New Roman"/>
          <w:sz w:val="24"/>
          <w:szCs w:val="24"/>
          <w:lang w:eastAsia="en-IN"/>
        </w:rPr>
        <w:t>fiber</w:t>
      </w:r>
      <w:proofErr w:type="spellEnd"/>
      <w:r w:rsidRPr="00F702FF">
        <w:rPr>
          <w:rFonts w:ascii="Times New Roman" w:eastAsia="Times New Roman" w:hAnsi="Times New Roman" w:cs="Times New Roman"/>
          <w:sz w:val="24"/>
          <w:szCs w:val="24"/>
          <w:lang w:eastAsia="en-IN"/>
        </w:rPr>
        <w:t xml:space="preserve"> optics for core infrastructure, satellite links for remote subsea monitoring, and private LTE for personnel connectivity. Integration with AI-driven analytics allowed predictive maintenance of drilling equipment and early detection of potential operational risks. Within six months, production downtime was reduced by 25%, operational efficiency improved, and safety compliance metrics strengthened significantly. The success of this deployment underscores the importance of robust, scalable, and intelligent communication networks for complex oilfield operations.</w:t>
      </w:r>
    </w:p>
    <w:p w14:paraId="7F66FD51"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Summary of End-User Dynamics</w:t>
      </w:r>
    </w:p>
    <w:p w14:paraId="2D110B22" w14:textId="77777777" w:rsidR="00F702FF" w:rsidRPr="00F702FF" w:rsidRDefault="00F702FF" w:rsidP="00F702F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Operators demand </w:t>
      </w:r>
      <w:r w:rsidRPr="00F702FF">
        <w:rPr>
          <w:rFonts w:ascii="Times New Roman" w:eastAsia="Times New Roman" w:hAnsi="Times New Roman" w:cs="Times New Roman"/>
          <w:b/>
          <w:bCs/>
          <w:sz w:val="24"/>
          <w:szCs w:val="24"/>
          <w:lang w:eastAsia="en-IN"/>
        </w:rPr>
        <w:t>comprehensive, integrated, and reliable systems</w:t>
      </w:r>
      <w:r w:rsidRPr="00F702FF">
        <w:rPr>
          <w:rFonts w:ascii="Times New Roman" w:eastAsia="Times New Roman" w:hAnsi="Times New Roman" w:cs="Times New Roman"/>
          <w:sz w:val="24"/>
          <w:szCs w:val="24"/>
          <w:lang w:eastAsia="en-IN"/>
        </w:rPr>
        <w:t xml:space="preserve"> to support high-value operations.</w:t>
      </w:r>
    </w:p>
    <w:p w14:paraId="01E4D0D3" w14:textId="77777777" w:rsidR="00F702FF" w:rsidRPr="00F702FF" w:rsidRDefault="00F702FF" w:rsidP="00F702F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Service providers value </w:t>
      </w:r>
      <w:r w:rsidRPr="00F702FF">
        <w:rPr>
          <w:rFonts w:ascii="Times New Roman" w:eastAsia="Times New Roman" w:hAnsi="Times New Roman" w:cs="Times New Roman"/>
          <w:b/>
          <w:bCs/>
          <w:sz w:val="24"/>
          <w:szCs w:val="24"/>
          <w:lang w:eastAsia="en-IN"/>
        </w:rPr>
        <w:t>flexibility, rapid deployment, and remote connectivity</w:t>
      </w:r>
      <w:r w:rsidRPr="00F702FF">
        <w:rPr>
          <w:rFonts w:ascii="Times New Roman" w:eastAsia="Times New Roman" w:hAnsi="Times New Roman" w:cs="Times New Roman"/>
          <w:sz w:val="24"/>
          <w:szCs w:val="24"/>
          <w:lang w:eastAsia="en-IN"/>
        </w:rPr>
        <w:t xml:space="preserve"> for temporary field operations.</w:t>
      </w:r>
    </w:p>
    <w:p w14:paraId="422BEE57" w14:textId="77777777" w:rsidR="00F702FF" w:rsidRPr="00F702FF" w:rsidRDefault="00F702FF" w:rsidP="00F702F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Regulatory bodies require </w:t>
      </w:r>
      <w:r w:rsidRPr="00F702FF">
        <w:rPr>
          <w:rFonts w:ascii="Times New Roman" w:eastAsia="Times New Roman" w:hAnsi="Times New Roman" w:cs="Times New Roman"/>
          <w:b/>
          <w:bCs/>
          <w:sz w:val="24"/>
          <w:szCs w:val="24"/>
          <w:lang w:eastAsia="en-IN"/>
        </w:rPr>
        <w:t>secure, real-time monitoring and compliance reporting</w:t>
      </w:r>
      <w:r w:rsidRPr="00F702FF">
        <w:rPr>
          <w:rFonts w:ascii="Times New Roman" w:eastAsia="Times New Roman" w:hAnsi="Times New Roman" w:cs="Times New Roman"/>
          <w:sz w:val="24"/>
          <w:szCs w:val="24"/>
          <w:lang w:eastAsia="en-IN"/>
        </w:rPr>
        <w:t>.</w:t>
      </w:r>
    </w:p>
    <w:p w14:paraId="2A636896"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lastRenderedPageBreak/>
        <w:t>In essence, end users in the oilfield communications market prioritize operational reliability, safety, and real-time intelligence. Vendors that can provide solutions tailored to these needs—balancing scalability, security, and technological sophistication—are positioned to gain long-term adoption and trust, according to Strategic Market Research.</w:t>
      </w:r>
    </w:p>
    <w:p w14:paraId="611A755C" w14:textId="77777777" w:rsidR="00F702FF" w:rsidRPr="00F702FF" w:rsidRDefault="00F702FF" w:rsidP="00F70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2FF">
        <w:rPr>
          <w:rFonts w:ascii="Times New Roman" w:eastAsia="Times New Roman" w:hAnsi="Times New Roman" w:cs="Times New Roman"/>
          <w:b/>
          <w:bCs/>
          <w:kern w:val="36"/>
          <w:sz w:val="48"/>
          <w:szCs w:val="48"/>
          <w:lang w:eastAsia="en-IN"/>
        </w:rPr>
        <w:t>7. Recent Developments + Opportunities &amp; Restraints</w:t>
      </w:r>
    </w:p>
    <w:p w14:paraId="4F153B57"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Recent Developments (Last 2 Years)</w:t>
      </w:r>
    </w:p>
    <w:p w14:paraId="7C92482D" w14:textId="200362E4" w:rsidR="00F702FF" w:rsidRPr="00F702FF" w:rsidRDefault="00F702FF" w:rsidP="00F702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Schlumberger</w:t>
      </w:r>
      <w:r w:rsidRPr="00F702FF">
        <w:rPr>
          <w:rFonts w:ascii="Times New Roman" w:eastAsia="Times New Roman" w:hAnsi="Times New Roman" w:cs="Times New Roman"/>
          <w:sz w:val="24"/>
          <w:szCs w:val="24"/>
          <w:lang w:eastAsia="en-IN"/>
        </w:rPr>
        <w:t xml:space="preserve"> launched a next-generation hybrid communication system in 2024, combining </w:t>
      </w:r>
      <w:proofErr w:type="spellStart"/>
      <w:r w:rsidRPr="00F702FF">
        <w:rPr>
          <w:rFonts w:ascii="Times New Roman" w:eastAsia="Times New Roman" w:hAnsi="Times New Roman" w:cs="Times New Roman"/>
          <w:sz w:val="24"/>
          <w:szCs w:val="24"/>
          <w:lang w:eastAsia="en-IN"/>
        </w:rPr>
        <w:t>fiber</w:t>
      </w:r>
      <w:proofErr w:type="spellEnd"/>
      <w:r w:rsidRPr="00F702FF">
        <w:rPr>
          <w:rFonts w:ascii="Times New Roman" w:eastAsia="Times New Roman" w:hAnsi="Times New Roman" w:cs="Times New Roman"/>
          <w:sz w:val="24"/>
          <w:szCs w:val="24"/>
          <w:lang w:eastAsia="en-IN"/>
        </w:rPr>
        <w:t xml:space="preserve"> optic backbone, satellite connectivity, and wireless telemetry for </w:t>
      </w:r>
      <w:proofErr w:type="spellStart"/>
      <w:r w:rsidRPr="00F702FF">
        <w:rPr>
          <w:rFonts w:ascii="Times New Roman" w:eastAsia="Times New Roman" w:hAnsi="Times New Roman" w:cs="Times New Roman"/>
          <w:sz w:val="24"/>
          <w:szCs w:val="24"/>
          <w:lang w:eastAsia="en-IN"/>
        </w:rPr>
        <w:t>deepwater</w:t>
      </w:r>
      <w:proofErr w:type="spellEnd"/>
      <w:r w:rsidRPr="00F702FF">
        <w:rPr>
          <w:rFonts w:ascii="Times New Roman" w:eastAsia="Times New Roman" w:hAnsi="Times New Roman" w:cs="Times New Roman"/>
          <w:sz w:val="24"/>
          <w:szCs w:val="24"/>
          <w:lang w:eastAsia="en-IN"/>
        </w:rPr>
        <w:t xml:space="preserve"> drilling operations. </w:t>
      </w:r>
    </w:p>
    <w:p w14:paraId="12E7E2CE" w14:textId="56308FA4" w:rsidR="00F702FF" w:rsidRPr="00F702FF" w:rsidRDefault="00F702FF" w:rsidP="00F702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Halliburton</w:t>
      </w:r>
      <w:r w:rsidRPr="00F702FF">
        <w:rPr>
          <w:rFonts w:ascii="Times New Roman" w:eastAsia="Times New Roman" w:hAnsi="Times New Roman" w:cs="Times New Roman"/>
          <w:sz w:val="24"/>
          <w:szCs w:val="24"/>
          <w:lang w:eastAsia="en-IN"/>
        </w:rPr>
        <w:t xml:space="preserve"> introduced an AI-enabled remote monitoring platform in 2023 that integrates real-time drilling telemetry and predictive maintenance analytics for offshore rigs. </w:t>
      </w:r>
    </w:p>
    <w:p w14:paraId="64F4C76F" w14:textId="2E8F9AC0" w:rsidR="00F702FF" w:rsidRPr="00F702FF" w:rsidRDefault="00F702FF" w:rsidP="00F702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ABB Group</w:t>
      </w:r>
      <w:r w:rsidRPr="00F702FF">
        <w:rPr>
          <w:rFonts w:ascii="Times New Roman" w:eastAsia="Times New Roman" w:hAnsi="Times New Roman" w:cs="Times New Roman"/>
          <w:sz w:val="24"/>
          <w:szCs w:val="24"/>
          <w:lang w:eastAsia="en-IN"/>
        </w:rPr>
        <w:t xml:space="preserve"> deployed a smart SCADA-based communication network in 2023 for midstream pipeline monitoring in the Middle East, enhancing leak detection and operational efficiency. </w:t>
      </w:r>
    </w:p>
    <w:p w14:paraId="1D93DBEC" w14:textId="0B0DE179" w:rsidR="00F702FF" w:rsidRPr="00F702FF" w:rsidRDefault="00F702FF" w:rsidP="00F702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Huawei Technologies</w:t>
      </w:r>
      <w:r w:rsidRPr="00F702FF">
        <w:rPr>
          <w:rFonts w:ascii="Times New Roman" w:eastAsia="Times New Roman" w:hAnsi="Times New Roman" w:cs="Times New Roman"/>
          <w:sz w:val="24"/>
          <w:szCs w:val="24"/>
          <w:lang w:eastAsia="en-IN"/>
        </w:rPr>
        <w:t xml:space="preserve"> partnered with a leading Southeast Asian oil operator in 2024 to implement private LTE and IoT-enabled sensor networks for offshore production platforms. </w:t>
      </w:r>
    </w:p>
    <w:p w14:paraId="4C68A41B" w14:textId="341E5775" w:rsidR="00F702FF" w:rsidRPr="00F702FF" w:rsidRDefault="00F702FF" w:rsidP="00F702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Cisco Systems</w:t>
      </w:r>
      <w:r w:rsidRPr="00F702FF">
        <w:rPr>
          <w:rFonts w:ascii="Times New Roman" w:eastAsia="Times New Roman" w:hAnsi="Times New Roman" w:cs="Times New Roman"/>
          <w:sz w:val="24"/>
          <w:szCs w:val="24"/>
          <w:lang w:eastAsia="en-IN"/>
        </w:rPr>
        <w:t xml:space="preserve"> expanded its oilfield communication portfolio in 2023 with secure IP-based networks supporting edge computing and </w:t>
      </w:r>
      <w:proofErr w:type="spellStart"/>
      <w:r w:rsidRPr="00F702FF">
        <w:rPr>
          <w:rFonts w:ascii="Times New Roman" w:eastAsia="Times New Roman" w:hAnsi="Times New Roman" w:cs="Times New Roman"/>
          <w:sz w:val="24"/>
          <w:szCs w:val="24"/>
          <w:lang w:eastAsia="en-IN"/>
        </w:rPr>
        <w:t>IIoT</w:t>
      </w:r>
      <w:proofErr w:type="spellEnd"/>
      <w:r w:rsidRPr="00F702FF">
        <w:rPr>
          <w:rFonts w:ascii="Times New Roman" w:eastAsia="Times New Roman" w:hAnsi="Times New Roman" w:cs="Times New Roman"/>
          <w:sz w:val="24"/>
          <w:szCs w:val="24"/>
          <w:lang w:eastAsia="en-IN"/>
        </w:rPr>
        <w:t xml:space="preserve"> applications in remote onshore facilities. </w:t>
      </w:r>
    </w:p>
    <w:p w14:paraId="656C8290"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Opportunities</w:t>
      </w:r>
    </w:p>
    <w:p w14:paraId="0ED9B797" w14:textId="77777777" w:rsidR="00F702FF" w:rsidRPr="00F702FF" w:rsidRDefault="00F702FF" w:rsidP="00F702F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Expansion in Emerging Markets</w:t>
      </w:r>
      <w:r w:rsidRPr="00F702FF">
        <w:rPr>
          <w:rFonts w:ascii="Times New Roman" w:eastAsia="Times New Roman" w:hAnsi="Times New Roman" w:cs="Times New Roman"/>
          <w:sz w:val="24"/>
          <w:szCs w:val="24"/>
          <w:lang w:eastAsia="en-IN"/>
        </w:rPr>
        <w:t>: Countries in Asia Pacific, Latin America, and the Middle East are increasing investments in offshore and unconventional oilfields, driving demand for reliable communication systems.</w:t>
      </w:r>
    </w:p>
    <w:p w14:paraId="5164D733" w14:textId="77777777" w:rsidR="00F702FF" w:rsidRPr="00F702FF" w:rsidRDefault="00F702FF" w:rsidP="00F702F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Integration with AI and Digital Oilfield Solutions</w:t>
      </w:r>
      <w:r w:rsidRPr="00F702FF">
        <w:rPr>
          <w:rFonts w:ascii="Times New Roman" w:eastAsia="Times New Roman" w:hAnsi="Times New Roman" w:cs="Times New Roman"/>
          <w:sz w:val="24"/>
          <w:szCs w:val="24"/>
          <w:lang w:eastAsia="en-IN"/>
        </w:rPr>
        <w:t>: Adoption of predictive analytics, edge computing, and automated monitoring creates opportunities for vendors to provide value-added services.</w:t>
      </w:r>
    </w:p>
    <w:p w14:paraId="24A093F9" w14:textId="77777777" w:rsidR="00F702FF" w:rsidRPr="00F702FF" w:rsidRDefault="00F702FF" w:rsidP="00F702F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Remote and Unmanned Operations</w:t>
      </w:r>
      <w:r w:rsidRPr="00F702FF">
        <w:rPr>
          <w:rFonts w:ascii="Times New Roman" w:eastAsia="Times New Roman" w:hAnsi="Times New Roman" w:cs="Times New Roman"/>
          <w:sz w:val="24"/>
          <w:szCs w:val="24"/>
          <w:lang w:eastAsia="en-IN"/>
        </w:rPr>
        <w:t>: Rising interest in reducing on-site personnel in offshore platforms and hazardous locations presents growth potential for wireless, satellite, and hybrid communication networks.</w:t>
      </w:r>
    </w:p>
    <w:p w14:paraId="3F598622"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Restraints</w:t>
      </w:r>
    </w:p>
    <w:p w14:paraId="687B958C" w14:textId="77777777" w:rsidR="00F702FF" w:rsidRPr="00F702FF" w:rsidRDefault="00F702FF" w:rsidP="00F702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High Capital Expenditure</w:t>
      </w:r>
      <w:r w:rsidRPr="00F702FF">
        <w:rPr>
          <w:rFonts w:ascii="Times New Roman" w:eastAsia="Times New Roman" w:hAnsi="Times New Roman" w:cs="Times New Roman"/>
          <w:sz w:val="24"/>
          <w:szCs w:val="24"/>
          <w:lang w:eastAsia="en-IN"/>
        </w:rPr>
        <w:t xml:space="preserve">: Deployment of integrated communication systems, especially in offshore or </w:t>
      </w:r>
      <w:proofErr w:type="spellStart"/>
      <w:r w:rsidRPr="00F702FF">
        <w:rPr>
          <w:rFonts w:ascii="Times New Roman" w:eastAsia="Times New Roman" w:hAnsi="Times New Roman" w:cs="Times New Roman"/>
          <w:sz w:val="24"/>
          <w:szCs w:val="24"/>
          <w:lang w:eastAsia="en-IN"/>
        </w:rPr>
        <w:t>deepwater</w:t>
      </w:r>
      <w:proofErr w:type="spellEnd"/>
      <w:r w:rsidRPr="00F702FF">
        <w:rPr>
          <w:rFonts w:ascii="Times New Roman" w:eastAsia="Times New Roman" w:hAnsi="Times New Roman" w:cs="Times New Roman"/>
          <w:sz w:val="24"/>
          <w:szCs w:val="24"/>
          <w:lang w:eastAsia="en-IN"/>
        </w:rPr>
        <w:t xml:space="preserve"> operations, requires significant upfront investment.</w:t>
      </w:r>
    </w:p>
    <w:p w14:paraId="68251BD6" w14:textId="77777777" w:rsidR="00F702FF" w:rsidRPr="00F702FF" w:rsidRDefault="00F702FF" w:rsidP="00F702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Skilled Workforce Gap</w:t>
      </w:r>
      <w:r w:rsidRPr="00F702FF">
        <w:rPr>
          <w:rFonts w:ascii="Times New Roman" w:eastAsia="Times New Roman" w:hAnsi="Times New Roman" w:cs="Times New Roman"/>
          <w:sz w:val="24"/>
          <w:szCs w:val="24"/>
          <w:lang w:eastAsia="en-IN"/>
        </w:rPr>
        <w:t>: Efficient utilization of advanced communication networks requires trained personnel; shortage of skilled operators may limit adoption in certain regions.</w:t>
      </w:r>
    </w:p>
    <w:p w14:paraId="6F06F164" w14:textId="77777777" w:rsidR="00F702FF" w:rsidRPr="00F702FF" w:rsidRDefault="00F702FF" w:rsidP="00F702FF">
      <w:pPr>
        <w:pStyle w:val="Heading1"/>
        <w:rPr>
          <w:rFonts w:ascii="Times New Roman" w:eastAsia="Times New Roman" w:hAnsi="Times New Roman" w:cs="Times New Roman"/>
          <w:b/>
          <w:bCs/>
          <w:color w:val="auto"/>
          <w:kern w:val="36"/>
          <w:sz w:val="48"/>
          <w:szCs w:val="48"/>
          <w:lang w:eastAsia="en-IN"/>
        </w:rPr>
      </w:pPr>
      <w:r>
        <w:lastRenderedPageBreak/>
        <w:br/>
      </w:r>
      <w:r w:rsidRPr="00F702FF">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423"/>
        <w:gridCol w:w="6593"/>
      </w:tblGrid>
      <w:tr w:rsidR="00F702FF" w:rsidRPr="00F702FF" w14:paraId="402B75EE" w14:textId="77777777" w:rsidTr="00F70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76D34" w14:textId="77777777" w:rsidR="00F702FF" w:rsidRPr="00F702FF" w:rsidRDefault="00F702FF" w:rsidP="00F702FF">
            <w:pPr>
              <w:jc w:val="cente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Report Attribute</w:t>
            </w:r>
          </w:p>
        </w:tc>
        <w:tc>
          <w:tcPr>
            <w:tcW w:w="0" w:type="auto"/>
            <w:hideMark/>
          </w:tcPr>
          <w:p w14:paraId="32D5690A" w14:textId="77777777" w:rsidR="00F702FF" w:rsidRPr="00F702FF" w:rsidRDefault="00F702FF" w:rsidP="00F702F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Details</w:t>
            </w:r>
          </w:p>
        </w:tc>
      </w:tr>
      <w:tr w:rsidR="00F702FF" w:rsidRPr="00F702FF" w14:paraId="039484DA" w14:textId="77777777" w:rsidTr="00F7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8085F"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Forecast Period</w:t>
            </w:r>
          </w:p>
        </w:tc>
        <w:tc>
          <w:tcPr>
            <w:tcW w:w="0" w:type="auto"/>
            <w:hideMark/>
          </w:tcPr>
          <w:p w14:paraId="72460757" w14:textId="77777777" w:rsidR="00F702FF" w:rsidRPr="00F702FF" w:rsidRDefault="00F702FF" w:rsidP="00F702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2024 – 2030</w:t>
            </w:r>
          </w:p>
        </w:tc>
      </w:tr>
      <w:tr w:rsidR="00F702FF" w:rsidRPr="00F702FF" w14:paraId="7500F462" w14:textId="77777777" w:rsidTr="00F702FF">
        <w:tc>
          <w:tcPr>
            <w:cnfStyle w:val="001000000000" w:firstRow="0" w:lastRow="0" w:firstColumn="1" w:lastColumn="0" w:oddVBand="0" w:evenVBand="0" w:oddHBand="0" w:evenHBand="0" w:firstRowFirstColumn="0" w:firstRowLastColumn="0" w:lastRowFirstColumn="0" w:lastRowLastColumn="0"/>
            <w:tcW w:w="0" w:type="auto"/>
            <w:hideMark/>
          </w:tcPr>
          <w:p w14:paraId="73B95691"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Size Value in 2024</w:t>
            </w:r>
          </w:p>
        </w:tc>
        <w:tc>
          <w:tcPr>
            <w:tcW w:w="0" w:type="auto"/>
            <w:hideMark/>
          </w:tcPr>
          <w:p w14:paraId="283ADB6F" w14:textId="1B6EDDFA" w:rsidR="00F702FF" w:rsidRPr="00F702FF" w:rsidRDefault="00F702FF" w:rsidP="00F702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USD 3.2 Billion </w:t>
            </w:r>
          </w:p>
        </w:tc>
      </w:tr>
      <w:tr w:rsidR="00F702FF" w:rsidRPr="00F702FF" w14:paraId="30EFC586" w14:textId="77777777" w:rsidTr="00F7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C433F"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Revenue Forecast in 2030</w:t>
            </w:r>
          </w:p>
        </w:tc>
        <w:tc>
          <w:tcPr>
            <w:tcW w:w="0" w:type="auto"/>
            <w:hideMark/>
          </w:tcPr>
          <w:p w14:paraId="2B9C943D" w14:textId="7C5061FC" w:rsidR="00F702FF" w:rsidRPr="00F702FF" w:rsidRDefault="00F702FF" w:rsidP="00F702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5.3</w:t>
            </w:r>
            <w:r w:rsidRPr="00F702FF">
              <w:rPr>
                <w:rFonts w:ascii="Times New Roman" w:eastAsia="Times New Roman" w:hAnsi="Times New Roman" w:cs="Times New Roman"/>
                <w:sz w:val="24"/>
                <w:szCs w:val="24"/>
                <w:lang w:eastAsia="en-IN"/>
              </w:rPr>
              <w:t xml:space="preserve"> Billion </w:t>
            </w:r>
          </w:p>
        </w:tc>
      </w:tr>
      <w:tr w:rsidR="00F702FF" w:rsidRPr="00F702FF" w14:paraId="1B6EBF22" w14:textId="77777777" w:rsidTr="00F702FF">
        <w:tc>
          <w:tcPr>
            <w:cnfStyle w:val="001000000000" w:firstRow="0" w:lastRow="0" w:firstColumn="1" w:lastColumn="0" w:oddVBand="0" w:evenVBand="0" w:oddHBand="0" w:evenHBand="0" w:firstRowFirstColumn="0" w:firstRowLastColumn="0" w:lastRowFirstColumn="0" w:lastRowLastColumn="0"/>
            <w:tcW w:w="0" w:type="auto"/>
            <w:hideMark/>
          </w:tcPr>
          <w:p w14:paraId="79796597"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Overall Growth Rate</w:t>
            </w:r>
          </w:p>
        </w:tc>
        <w:tc>
          <w:tcPr>
            <w:tcW w:w="0" w:type="auto"/>
            <w:hideMark/>
          </w:tcPr>
          <w:p w14:paraId="413B4FBC" w14:textId="46F8E940" w:rsidR="00F702FF" w:rsidRPr="00F702FF" w:rsidRDefault="00F702FF" w:rsidP="00F702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CAGR of </w:t>
            </w:r>
            <w:r>
              <w:rPr>
                <w:rFonts w:ascii="Times New Roman" w:eastAsia="Times New Roman" w:hAnsi="Times New Roman" w:cs="Times New Roman"/>
                <w:sz w:val="24"/>
                <w:szCs w:val="24"/>
                <w:lang w:eastAsia="en-IN"/>
              </w:rPr>
              <w:t>9.1</w:t>
            </w:r>
            <w:r w:rsidRPr="00F702FF">
              <w:rPr>
                <w:rFonts w:ascii="Times New Roman" w:eastAsia="Times New Roman" w:hAnsi="Times New Roman" w:cs="Times New Roman"/>
                <w:sz w:val="24"/>
                <w:szCs w:val="24"/>
                <w:lang w:eastAsia="en-IN"/>
              </w:rPr>
              <w:t>% (2024 – 2030)</w:t>
            </w:r>
          </w:p>
        </w:tc>
      </w:tr>
      <w:tr w:rsidR="00F702FF" w:rsidRPr="00F702FF" w14:paraId="23AC4182" w14:textId="77777777" w:rsidTr="00F7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73B0B"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Base Year for Estimation</w:t>
            </w:r>
          </w:p>
        </w:tc>
        <w:tc>
          <w:tcPr>
            <w:tcW w:w="0" w:type="auto"/>
            <w:hideMark/>
          </w:tcPr>
          <w:p w14:paraId="6490D79B" w14:textId="77777777" w:rsidR="00F702FF" w:rsidRPr="00F702FF" w:rsidRDefault="00F702FF" w:rsidP="00F702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2024</w:t>
            </w:r>
          </w:p>
        </w:tc>
      </w:tr>
      <w:tr w:rsidR="00F702FF" w:rsidRPr="00F702FF" w14:paraId="182B9575" w14:textId="77777777" w:rsidTr="00F702FF">
        <w:tc>
          <w:tcPr>
            <w:cnfStyle w:val="001000000000" w:firstRow="0" w:lastRow="0" w:firstColumn="1" w:lastColumn="0" w:oddVBand="0" w:evenVBand="0" w:oddHBand="0" w:evenHBand="0" w:firstRowFirstColumn="0" w:firstRowLastColumn="0" w:lastRowFirstColumn="0" w:lastRowLastColumn="0"/>
            <w:tcW w:w="0" w:type="auto"/>
            <w:hideMark/>
          </w:tcPr>
          <w:p w14:paraId="2259EDCC"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Historical Data</w:t>
            </w:r>
          </w:p>
        </w:tc>
        <w:tc>
          <w:tcPr>
            <w:tcW w:w="0" w:type="auto"/>
            <w:hideMark/>
          </w:tcPr>
          <w:p w14:paraId="6F046F37" w14:textId="77777777" w:rsidR="00F702FF" w:rsidRPr="00F702FF" w:rsidRDefault="00F702FF" w:rsidP="00F702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2019 – 2023</w:t>
            </w:r>
          </w:p>
        </w:tc>
      </w:tr>
      <w:tr w:rsidR="00F702FF" w:rsidRPr="00F702FF" w14:paraId="722EA513" w14:textId="77777777" w:rsidTr="00F7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16260"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Unit</w:t>
            </w:r>
          </w:p>
        </w:tc>
        <w:tc>
          <w:tcPr>
            <w:tcW w:w="0" w:type="auto"/>
            <w:hideMark/>
          </w:tcPr>
          <w:p w14:paraId="44F7D18B" w14:textId="77777777" w:rsidR="00F702FF" w:rsidRPr="00F702FF" w:rsidRDefault="00F702FF" w:rsidP="00F702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USD Million, CAGR (2024 – 2030)</w:t>
            </w:r>
          </w:p>
        </w:tc>
      </w:tr>
      <w:tr w:rsidR="00F702FF" w:rsidRPr="00F702FF" w14:paraId="37142EA5" w14:textId="77777777" w:rsidTr="00F702FF">
        <w:tc>
          <w:tcPr>
            <w:cnfStyle w:val="001000000000" w:firstRow="0" w:lastRow="0" w:firstColumn="1" w:lastColumn="0" w:oddVBand="0" w:evenVBand="0" w:oddHBand="0" w:evenHBand="0" w:firstRowFirstColumn="0" w:firstRowLastColumn="0" w:lastRowFirstColumn="0" w:lastRowLastColumn="0"/>
            <w:tcW w:w="0" w:type="auto"/>
            <w:hideMark/>
          </w:tcPr>
          <w:p w14:paraId="027FB31B"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Segmentation</w:t>
            </w:r>
          </w:p>
        </w:tc>
        <w:tc>
          <w:tcPr>
            <w:tcW w:w="0" w:type="auto"/>
            <w:hideMark/>
          </w:tcPr>
          <w:p w14:paraId="7806C72E" w14:textId="77777777" w:rsidR="00F702FF" w:rsidRPr="00F702FF" w:rsidRDefault="00F702FF" w:rsidP="00F702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By Technology, By Application, By End User, By Geography</w:t>
            </w:r>
          </w:p>
        </w:tc>
      </w:tr>
      <w:tr w:rsidR="00F702FF" w:rsidRPr="00F702FF" w14:paraId="19850E0D" w14:textId="77777777" w:rsidTr="00F7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E2EF5"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By Technology</w:t>
            </w:r>
          </w:p>
        </w:tc>
        <w:tc>
          <w:tcPr>
            <w:tcW w:w="0" w:type="auto"/>
            <w:hideMark/>
          </w:tcPr>
          <w:p w14:paraId="7E6C3DA0" w14:textId="77777777" w:rsidR="00F702FF" w:rsidRPr="00F702FF" w:rsidRDefault="00F702FF" w:rsidP="00F702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Wired Communication Systems, Wireless Communication Systems, Hybrid Communication Systems</w:t>
            </w:r>
          </w:p>
        </w:tc>
      </w:tr>
      <w:tr w:rsidR="00F702FF" w:rsidRPr="00F702FF" w14:paraId="2D39FC8C" w14:textId="77777777" w:rsidTr="00F702FF">
        <w:tc>
          <w:tcPr>
            <w:cnfStyle w:val="001000000000" w:firstRow="0" w:lastRow="0" w:firstColumn="1" w:lastColumn="0" w:oddVBand="0" w:evenVBand="0" w:oddHBand="0" w:evenHBand="0" w:firstRowFirstColumn="0" w:firstRowLastColumn="0" w:lastRowFirstColumn="0" w:lastRowLastColumn="0"/>
            <w:tcW w:w="0" w:type="auto"/>
            <w:hideMark/>
          </w:tcPr>
          <w:p w14:paraId="2078C3FE"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By Application</w:t>
            </w:r>
          </w:p>
        </w:tc>
        <w:tc>
          <w:tcPr>
            <w:tcW w:w="0" w:type="auto"/>
            <w:hideMark/>
          </w:tcPr>
          <w:p w14:paraId="5403B4C0" w14:textId="77777777" w:rsidR="00F702FF" w:rsidRPr="00F702FF" w:rsidRDefault="00F702FF" w:rsidP="00F702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Upstream, Midstream, Downstream</w:t>
            </w:r>
          </w:p>
        </w:tc>
      </w:tr>
      <w:tr w:rsidR="00F702FF" w:rsidRPr="00F702FF" w14:paraId="5E8CD27D" w14:textId="77777777" w:rsidTr="00F7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55B0"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By End User</w:t>
            </w:r>
          </w:p>
        </w:tc>
        <w:tc>
          <w:tcPr>
            <w:tcW w:w="0" w:type="auto"/>
            <w:hideMark/>
          </w:tcPr>
          <w:p w14:paraId="4FD5F7B6" w14:textId="77777777" w:rsidR="00F702FF" w:rsidRPr="00F702FF" w:rsidRDefault="00F702FF" w:rsidP="00F702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Oil and Gas Operators, Service Providers, Government and Regulatory Bodies</w:t>
            </w:r>
          </w:p>
        </w:tc>
      </w:tr>
      <w:tr w:rsidR="00F702FF" w:rsidRPr="00F702FF" w14:paraId="393C8379" w14:textId="77777777" w:rsidTr="00F702FF">
        <w:tc>
          <w:tcPr>
            <w:cnfStyle w:val="001000000000" w:firstRow="0" w:lastRow="0" w:firstColumn="1" w:lastColumn="0" w:oddVBand="0" w:evenVBand="0" w:oddHBand="0" w:evenHBand="0" w:firstRowFirstColumn="0" w:firstRowLastColumn="0" w:lastRowFirstColumn="0" w:lastRowLastColumn="0"/>
            <w:tcW w:w="0" w:type="auto"/>
            <w:hideMark/>
          </w:tcPr>
          <w:p w14:paraId="5B73E94A"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By Region</w:t>
            </w:r>
          </w:p>
        </w:tc>
        <w:tc>
          <w:tcPr>
            <w:tcW w:w="0" w:type="auto"/>
            <w:hideMark/>
          </w:tcPr>
          <w:p w14:paraId="08C99A99" w14:textId="77777777" w:rsidR="00F702FF" w:rsidRPr="00F702FF" w:rsidRDefault="00F702FF" w:rsidP="00F702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North America, Europe, Asia-Pacific, Latin America, Middle East &amp; Africa</w:t>
            </w:r>
          </w:p>
        </w:tc>
      </w:tr>
      <w:tr w:rsidR="00F702FF" w:rsidRPr="00F702FF" w14:paraId="029BA8B9" w14:textId="77777777" w:rsidTr="00F7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C9305"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Country Scope</w:t>
            </w:r>
          </w:p>
        </w:tc>
        <w:tc>
          <w:tcPr>
            <w:tcW w:w="0" w:type="auto"/>
            <w:hideMark/>
          </w:tcPr>
          <w:p w14:paraId="68F10D64" w14:textId="77777777" w:rsidR="00F702FF" w:rsidRPr="00F702FF" w:rsidRDefault="00F702FF" w:rsidP="00F702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U.S., Canada, Brazil, Nigeria, Saudi Arabia, UAE, China, India, Malaysia, Norway, UK, Netherlands</w:t>
            </w:r>
          </w:p>
        </w:tc>
      </w:tr>
      <w:tr w:rsidR="00F702FF" w:rsidRPr="00F702FF" w14:paraId="54288B96" w14:textId="77777777" w:rsidTr="00F702FF">
        <w:tc>
          <w:tcPr>
            <w:cnfStyle w:val="001000000000" w:firstRow="0" w:lastRow="0" w:firstColumn="1" w:lastColumn="0" w:oddVBand="0" w:evenVBand="0" w:oddHBand="0" w:evenHBand="0" w:firstRowFirstColumn="0" w:firstRowLastColumn="0" w:lastRowFirstColumn="0" w:lastRowLastColumn="0"/>
            <w:tcW w:w="0" w:type="auto"/>
            <w:hideMark/>
          </w:tcPr>
          <w:p w14:paraId="28A46A32"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Drivers</w:t>
            </w:r>
          </w:p>
        </w:tc>
        <w:tc>
          <w:tcPr>
            <w:tcW w:w="0" w:type="auto"/>
            <w:hideMark/>
          </w:tcPr>
          <w:p w14:paraId="468AC15B" w14:textId="77777777" w:rsidR="00F702FF" w:rsidRPr="00F702FF" w:rsidRDefault="00F702FF" w:rsidP="00F702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 Increasing adoption of digital oilfield solutions </w:t>
            </w:r>
            <w:r w:rsidRPr="00F702FF">
              <w:rPr>
                <w:rFonts w:ascii="Times New Roman" w:eastAsia="Times New Roman" w:hAnsi="Times New Roman" w:cs="Times New Roman"/>
                <w:sz w:val="24"/>
                <w:szCs w:val="24"/>
                <w:lang w:eastAsia="en-IN"/>
              </w:rPr>
              <w:br/>
              <w:t xml:space="preserve">- Expansion of offshore and unconventional exploration </w:t>
            </w:r>
            <w:r w:rsidRPr="00F702FF">
              <w:rPr>
                <w:rFonts w:ascii="Times New Roman" w:eastAsia="Times New Roman" w:hAnsi="Times New Roman" w:cs="Times New Roman"/>
                <w:sz w:val="24"/>
                <w:szCs w:val="24"/>
                <w:lang w:eastAsia="en-IN"/>
              </w:rPr>
              <w:br/>
              <w:t>- Need for real-time monitoring and predictive maintenance</w:t>
            </w:r>
          </w:p>
        </w:tc>
      </w:tr>
      <w:tr w:rsidR="00F702FF" w:rsidRPr="00F702FF" w14:paraId="5DD6165D" w14:textId="77777777" w:rsidTr="00F70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FD6EE" w14:textId="77777777" w:rsidR="00F702FF" w:rsidRPr="00F702FF" w:rsidRDefault="00F702FF" w:rsidP="00F702FF">
            <w:pPr>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Customization Option</w:t>
            </w:r>
          </w:p>
        </w:tc>
        <w:tc>
          <w:tcPr>
            <w:tcW w:w="0" w:type="auto"/>
            <w:hideMark/>
          </w:tcPr>
          <w:p w14:paraId="6D652F57" w14:textId="77777777" w:rsidR="00F702FF" w:rsidRPr="00F702FF" w:rsidRDefault="00F702FF" w:rsidP="00F702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Available upon request</w:t>
            </w:r>
          </w:p>
        </w:tc>
      </w:tr>
    </w:tbl>
    <w:p w14:paraId="320A06FE" w14:textId="77777777" w:rsidR="00F702FF" w:rsidRPr="00F702FF" w:rsidRDefault="00F702FF" w:rsidP="00F702FF">
      <w:pPr>
        <w:pStyle w:val="Heading1"/>
        <w:rPr>
          <w:rFonts w:ascii="Times New Roman" w:eastAsia="Times New Roman" w:hAnsi="Times New Roman" w:cs="Times New Roman"/>
          <w:b/>
          <w:bCs/>
          <w:color w:val="auto"/>
          <w:kern w:val="36"/>
          <w:sz w:val="48"/>
          <w:szCs w:val="48"/>
          <w:lang w:eastAsia="en-IN"/>
        </w:rPr>
      </w:pPr>
      <w:r>
        <w:br/>
      </w:r>
      <w:r>
        <w:br/>
      </w:r>
      <w:r w:rsidRPr="00F702FF">
        <w:rPr>
          <w:rFonts w:ascii="Times New Roman" w:eastAsia="Times New Roman" w:hAnsi="Times New Roman" w:cs="Times New Roman"/>
          <w:b/>
          <w:bCs/>
          <w:color w:val="auto"/>
          <w:kern w:val="36"/>
          <w:sz w:val="48"/>
          <w:szCs w:val="48"/>
          <w:lang w:eastAsia="en-IN"/>
        </w:rPr>
        <w:t>8. Report Summary, FAQs, and SEO Schema</w:t>
      </w:r>
    </w:p>
    <w:p w14:paraId="45BB02AF"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A.1. Report Title (Long-Form)</w:t>
      </w:r>
      <w:r w:rsidRPr="00F702FF">
        <w:rPr>
          <w:rFonts w:ascii="Times New Roman" w:eastAsia="Times New Roman" w:hAnsi="Times New Roman" w:cs="Times New Roman"/>
          <w:sz w:val="24"/>
          <w:szCs w:val="24"/>
          <w:lang w:eastAsia="en-IN"/>
        </w:rPr>
        <w:br/>
        <w:t xml:space="preserve">Oilfield Communications Market </w:t>
      </w:r>
      <w:proofErr w:type="gramStart"/>
      <w:r w:rsidRPr="00F702FF">
        <w:rPr>
          <w:rFonts w:ascii="Times New Roman" w:eastAsia="Times New Roman" w:hAnsi="Times New Roman" w:cs="Times New Roman"/>
          <w:sz w:val="24"/>
          <w:szCs w:val="24"/>
          <w:lang w:eastAsia="en-IN"/>
        </w:rPr>
        <w:t>By</w:t>
      </w:r>
      <w:proofErr w:type="gramEnd"/>
      <w:r w:rsidRPr="00F702FF">
        <w:rPr>
          <w:rFonts w:ascii="Times New Roman" w:eastAsia="Times New Roman" w:hAnsi="Times New Roman" w:cs="Times New Roman"/>
          <w:sz w:val="24"/>
          <w:szCs w:val="24"/>
          <w:lang w:eastAsia="en-IN"/>
        </w:rPr>
        <w:t xml:space="preserve"> Technology (Wired Communication Systems, Wireless Communication Systems, Hybrid Communication Systems); By Application (Upstream, Midstream, Downstream); By End User (Oil and Gas Operators, Service Providers, Government and Regulatory Bodies); By Geography, Segment Revenue Estimation, Forecast, 2024–2030</w:t>
      </w:r>
    </w:p>
    <w:p w14:paraId="3262C732"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A.2. Lowercase Market Name</w:t>
      </w:r>
      <w:r w:rsidRPr="00F702FF">
        <w:rPr>
          <w:rFonts w:ascii="Times New Roman" w:eastAsia="Times New Roman" w:hAnsi="Times New Roman" w:cs="Times New Roman"/>
          <w:sz w:val="24"/>
          <w:szCs w:val="24"/>
          <w:lang w:eastAsia="en-IN"/>
        </w:rPr>
        <w:br/>
        <w:t>oilfield communications market</w:t>
      </w:r>
    </w:p>
    <w:p w14:paraId="128097EB" w14:textId="57F20FBC"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lastRenderedPageBreak/>
        <w:t>A.3. SEO-Friendly Market Size Tagline</w:t>
      </w:r>
      <w:r w:rsidRPr="00F702FF">
        <w:rPr>
          <w:rFonts w:ascii="Times New Roman" w:eastAsia="Times New Roman" w:hAnsi="Times New Roman" w:cs="Times New Roman"/>
          <w:sz w:val="24"/>
          <w:szCs w:val="24"/>
          <w:lang w:eastAsia="en-IN"/>
        </w:rPr>
        <w:br/>
        <w:t>Oilfield Communications Market Size ($</w:t>
      </w:r>
      <w:r>
        <w:rPr>
          <w:rFonts w:ascii="Times New Roman" w:eastAsia="Times New Roman" w:hAnsi="Times New Roman" w:cs="Times New Roman"/>
          <w:sz w:val="24"/>
          <w:szCs w:val="24"/>
          <w:lang w:eastAsia="en-IN"/>
        </w:rPr>
        <w:t>5.3</w:t>
      </w:r>
      <w:r w:rsidRPr="00F702FF">
        <w:rPr>
          <w:rFonts w:ascii="Times New Roman" w:eastAsia="Times New Roman" w:hAnsi="Times New Roman" w:cs="Times New Roman"/>
          <w:sz w:val="24"/>
          <w:szCs w:val="24"/>
          <w:lang w:eastAsia="en-IN"/>
        </w:rPr>
        <w:t xml:space="preserve"> Billion) 2030</w:t>
      </w:r>
    </w:p>
    <w:p w14:paraId="6A50C22C"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 xml:space="preserve">A.4. SEO-Friendly Market Size Tagline </w:t>
      </w:r>
      <w:proofErr w:type="spellStart"/>
      <w:r w:rsidRPr="00F702FF">
        <w:rPr>
          <w:rFonts w:ascii="Times New Roman" w:eastAsia="Times New Roman" w:hAnsi="Times New Roman" w:cs="Times New Roman"/>
          <w:b/>
          <w:bCs/>
          <w:sz w:val="24"/>
          <w:szCs w:val="24"/>
          <w:lang w:eastAsia="en-IN"/>
        </w:rPr>
        <w:t>BreadCrumb</w:t>
      </w:r>
      <w:proofErr w:type="spellEnd"/>
      <w:r w:rsidRPr="00F702FF">
        <w:rPr>
          <w:rFonts w:ascii="Times New Roman" w:eastAsia="Times New Roman" w:hAnsi="Times New Roman" w:cs="Times New Roman"/>
          <w:sz w:val="24"/>
          <w:szCs w:val="24"/>
          <w:lang w:eastAsia="en-IN"/>
        </w:rPr>
        <w:br/>
        <w:t>Oilfield Communications Market Report 2030</w:t>
      </w:r>
    </w:p>
    <w:p w14:paraId="37360DD7" w14:textId="77777777" w:rsidR="00F702FF" w:rsidRPr="00F702FF" w:rsidRDefault="00F702FF" w:rsidP="00F702FF">
      <w:pPr>
        <w:spacing w:after="0"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pict w14:anchorId="1FF4FCAD">
          <v:rect id="_x0000_i1037" style="width:0;height:1.5pt" o:hralign="center" o:hrstd="t" o:hr="t" fillcolor="#a0a0a0" stroked="f"/>
        </w:pict>
      </w:r>
    </w:p>
    <w:p w14:paraId="2FBDD49D" w14:textId="77777777" w:rsidR="00F702FF" w:rsidRPr="00F702FF" w:rsidRDefault="00F702FF" w:rsidP="00F70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02FF">
        <w:rPr>
          <w:rFonts w:ascii="Times New Roman" w:eastAsia="Times New Roman" w:hAnsi="Times New Roman" w:cs="Times New Roman"/>
          <w:b/>
          <w:bCs/>
          <w:sz w:val="36"/>
          <w:szCs w:val="36"/>
          <w:lang w:eastAsia="en-IN"/>
        </w:rPr>
        <w:t>B. Top 5 FAQs</w:t>
      </w:r>
    </w:p>
    <w:p w14:paraId="209246E8"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Q1. How big is the oilfield communications market?</w:t>
      </w:r>
      <w:r w:rsidRPr="00F702FF">
        <w:rPr>
          <w:rFonts w:ascii="Times New Roman" w:eastAsia="Times New Roman" w:hAnsi="Times New Roman" w:cs="Times New Roman"/>
          <w:sz w:val="24"/>
          <w:szCs w:val="24"/>
          <w:lang w:eastAsia="en-IN"/>
        </w:rPr>
        <w:br/>
      </w:r>
      <w:r w:rsidRPr="00F702FF">
        <w:rPr>
          <w:rFonts w:ascii="Times New Roman" w:eastAsia="Times New Roman" w:hAnsi="Times New Roman" w:cs="Times New Roman"/>
          <w:b/>
          <w:bCs/>
          <w:sz w:val="24"/>
          <w:szCs w:val="24"/>
          <w:lang w:eastAsia="en-IN"/>
        </w:rPr>
        <w:t>A1.</w:t>
      </w:r>
      <w:r w:rsidRPr="00F702FF">
        <w:rPr>
          <w:rFonts w:ascii="Times New Roman" w:eastAsia="Times New Roman" w:hAnsi="Times New Roman" w:cs="Times New Roman"/>
          <w:sz w:val="24"/>
          <w:szCs w:val="24"/>
          <w:lang w:eastAsia="en-IN"/>
        </w:rPr>
        <w:t xml:space="preserve"> The global oilfield communications market is valued at USD 3.2 billion in 2024.</w:t>
      </w:r>
    </w:p>
    <w:p w14:paraId="26B6EAC7" w14:textId="1D17CF05"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Q2. What is the CAGR for the forecast period?</w:t>
      </w:r>
      <w:r w:rsidRPr="00F702FF">
        <w:rPr>
          <w:rFonts w:ascii="Times New Roman" w:eastAsia="Times New Roman" w:hAnsi="Times New Roman" w:cs="Times New Roman"/>
          <w:sz w:val="24"/>
          <w:szCs w:val="24"/>
          <w:lang w:eastAsia="en-IN"/>
        </w:rPr>
        <w:br/>
      </w:r>
      <w:r w:rsidRPr="00F702FF">
        <w:rPr>
          <w:rFonts w:ascii="Times New Roman" w:eastAsia="Times New Roman" w:hAnsi="Times New Roman" w:cs="Times New Roman"/>
          <w:b/>
          <w:bCs/>
          <w:sz w:val="24"/>
          <w:szCs w:val="24"/>
          <w:lang w:eastAsia="en-IN"/>
        </w:rPr>
        <w:t>A2.</w:t>
      </w:r>
      <w:r w:rsidRPr="00F702FF">
        <w:rPr>
          <w:rFonts w:ascii="Times New Roman" w:eastAsia="Times New Roman" w:hAnsi="Times New Roman" w:cs="Times New Roman"/>
          <w:sz w:val="24"/>
          <w:szCs w:val="24"/>
          <w:lang w:eastAsia="en-IN"/>
        </w:rPr>
        <w:t xml:space="preserve"> The market is expected to grow at a CAGR of </w:t>
      </w:r>
      <w:r>
        <w:rPr>
          <w:rFonts w:ascii="Times New Roman" w:eastAsia="Times New Roman" w:hAnsi="Times New Roman" w:cs="Times New Roman"/>
          <w:sz w:val="24"/>
          <w:szCs w:val="24"/>
          <w:lang w:eastAsia="en-IN"/>
        </w:rPr>
        <w:t>9.1</w:t>
      </w:r>
      <w:r w:rsidRPr="00F702FF">
        <w:rPr>
          <w:rFonts w:ascii="Times New Roman" w:eastAsia="Times New Roman" w:hAnsi="Times New Roman" w:cs="Times New Roman"/>
          <w:sz w:val="24"/>
          <w:szCs w:val="24"/>
          <w:lang w:eastAsia="en-IN"/>
        </w:rPr>
        <w:t>% from 2024 to 2030.</w:t>
      </w:r>
    </w:p>
    <w:p w14:paraId="5259AC7C"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Q3. Who are the major players in the oilfield communications market?</w:t>
      </w:r>
      <w:r w:rsidRPr="00F702FF">
        <w:rPr>
          <w:rFonts w:ascii="Times New Roman" w:eastAsia="Times New Roman" w:hAnsi="Times New Roman" w:cs="Times New Roman"/>
          <w:sz w:val="24"/>
          <w:szCs w:val="24"/>
          <w:lang w:eastAsia="en-IN"/>
        </w:rPr>
        <w:br/>
      </w:r>
      <w:r w:rsidRPr="00F702FF">
        <w:rPr>
          <w:rFonts w:ascii="Times New Roman" w:eastAsia="Times New Roman" w:hAnsi="Times New Roman" w:cs="Times New Roman"/>
          <w:b/>
          <w:bCs/>
          <w:sz w:val="24"/>
          <w:szCs w:val="24"/>
          <w:lang w:eastAsia="en-IN"/>
        </w:rPr>
        <w:t>A3.</w:t>
      </w:r>
      <w:r w:rsidRPr="00F702FF">
        <w:rPr>
          <w:rFonts w:ascii="Times New Roman" w:eastAsia="Times New Roman" w:hAnsi="Times New Roman" w:cs="Times New Roman"/>
          <w:sz w:val="24"/>
          <w:szCs w:val="24"/>
          <w:lang w:eastAsia="en-IN"/>
        </w:rPr>
        <w:t xml:space="preserve"> Leading vendors include Schlumberger, Halliburton, ABB Group, Huawei Technologies, and Cisco Systems.</w:t>
      </w:r>
    </w:p>
    <w:p w14:paraId="553AE2DE"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Q4. Which region dominates the oilfield communications market?</w:t>
      </w:r>
      <w:r w:rsidRPr="00F702FF">
        <w:rPr>
          <w:rFonts w:ascii="Times New Roman" w:eastAsia="Times New Roman" w:hAnsi="Times New Roman" w:cs="Times New Roman"/>
          <w:sz w:val="24"/>
          <w:szCs w:val="24"/>
          <w:lang w:eastAsia="en-IN"/>
        </w:rPr>
        <w:br/>
      </w:r>
      <w:r w:rsidRPr="00F702FF">
        <w:rPr>
          <w:rFonts w:ascii="Times New Roman" w:eastAsia="Times New Roman" w:hAnsi="Times New Roman" w:cs="Times New Roman"/>
          <w:b/>
          <w:bCs/>
          <w:sz w:val="24"/>
          <w:szCs w:val="24"/>
          <w:lang w:eastAsia="en-IN"/>
        </w:rPr>
        <w:t>A4.</w:t>
      </w:r>
      <w:r w:rsidRPr="00F702FF">
        <w:rPr>
          <w:rFonts w:ascii="Times New Roman" w:eastAsia="Times New Roman" w:hAnsi="Times New Roman" w:cs="Times New Roman"/>
          <w:sz w:val="24"/>
          <w:szCs w:val="24"/>
          <w:lang w:eastAsia="en-IN"/>
        </w:rPr>
        <w:t xml:space="preserve"> North America leads due to mature offshore operations, regulatory compliance, and early adoption of digital oilfield strategies.</w:t>
      </w:r>
    </w:p>
    <w:p w14:paraId="4F1E45F9"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Q5. What factors are driving growth in the oilfield communications market?</w:t>
      </w:r>
      <w:r w:rsidRPr="00F702FF">
        <w:rPr>
          <w:rFonts w:ascii="Times New Roman" w:eastAsia="Times New Roman" w:hAnsi="Times New Roman" w:cs="Times New Roman"/>
          <w:sz w:val="24"/>
          <w:szCs w:val="24"/>
          <w:lang w:eastAsia="en-IN"/>
        </w:rPr>
        <w:br/>
      </w:r>
      <w:r w:rsidRPr="00F702FF">
        <w:rPr>
          <w:rFonts w:ascii="Times New Roman" w:eastAsia="Times New Roman" w:hAnsi="Times New Roman" w:cs="Times New Roman"/>
          <w:b/>
          <w:bCs/>
          <w:sz w:val="24"/>
          <w:szCs w:val="24"/>
          <w:lang w:eastAsia="en-IN"/>
        </w:rPr>
        <w:t>A5.</w:t>
      </w:r>
      <w:r w:rsidRPr="00F702FF">
        <w:rPr>
          <w:rFonts w:ascii="Times New Roman" w:eastAsia="Times New Roman" w:hAnsi="Times New Roman" w:cs="Times New Roman"/>
          <w:sz w:val="24"/>
          <w:szCs w:val="24"/>
          <w:lang w:eastAsia="en-IN"/>
        </w:rPr>
        <w:t xml:space="preserve"> Growth is driven by digital oilfield integration, expansion of offshore and unconventional exploration, and the need for real-time monitoring and predictive maintenance.</w:t>
      </w:r>
    </w:p>
    <w:p w14:paraId="576F4DCD" w14:textId="77777777" w:rsidR="00F702FF" w:rsidRPr="00F702FF" w:rsidRDefault="00F702FF" w:rsidP="00F702FF">
      <w:pPr>
        <w:spacing w:after="0"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pict w14:anchorId="148E4C19">
          <v:rect id="_x0000_i1038" style="width:0;height:1.5pt" o:hralign="center" o:hrstd="t" o:hr="t" fillcolor="#a0a0a0" stroked="f"/>
        </w:pict>
      </w:r>
    </w:p>
    <w:p w14:paraId="6408A456" w14:textId="77777777" w:rsidR="00F702FF" w:rsidRPr="00F702FF" w:rsidRDefault="00F702FF" w:rsidP="00F70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02FF">
        <w:rPr>
          <w:rFonts w:ascii="Times New Roman" w:eastAsia="Times New Roman" w:hAnsi="Times New Roman" w:cs="Times New Roman"/>
          <w:b/>
          <w:bCs/>
          <w:sz w:val="36"/>
          <w:szCs w:val="36"/>
          <w:lang w:eastAsia="en-IN"/>
        </w:rPr>
        <w:t>C. JSON-LD SEO Schema</w:t>
      </w:r>
    </w:p>
    <w:p w14:paraId="3A95628A" w14:textId="77777777" w:rsidR="00F702FF" w:rsidRPr="00F702FF" w:rsidRDefault="00F702FF" w:rsidP="00F70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02FF">
        <w:rPr>
          <w:rFonts w:ascii="Times New Roman" w:eastAsia="Times New Roman" w:hAnsi="Times New Roman" w:cs="Times New Roman"/>
          <w:b/>
          <w:bCs/>
          <w:sz w:val="27"/>
          <w:szCs w:val="27"/>
          <w:lang w:eastAsia="en-IN"/>
        </w:rPr>
        <w:t>1. Breadcrumb Schema</w:t>
      </w:r>
    </w:p>
    <w:p w14:paraId="0FF2262C"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w:t>
      </w:r>
    </w:p>
    <w:p w14:paraId="57AF17E3"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"@context": "https://schema.org",</w:t>
      </w:r>
    </w:p>
    <w:p w14:paraId="73343841"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w:t>
      </w:r>
      <w:proofErr w:type="spellStart"/>
      <w:r w:rsidRPr="00F702FF">
        <w:rPr>
          <w:rFonts w:ascii="Courier New" w:eastAsia="Times New Roman" w:hAnsi="Courier New" w:cs="Courier New"/>
          <w:sz w:val="20"/>
          <w:szCs w:val="20"/>
          <w:lang w:eastAsia="en-IN"/>
        </w:rPr>
        <w:t>BreadcrumbList</w:t>
      </w:r>
      <w:proofErr w:type="spellEnd"/>
      <w:r w:rsidRPr="00F702FF">
        <w:rPr>
          <w:rFonts w:ascii="Courier New" w:eastAsia="Times New Roman" w:hAnsi="Courier New" w:cs="Courier New"/>
          <w:sz w:val="20"/>
          <w:szCs w:val="20"/>
          <w:lang w:eastAsia="en-IN"/>
        </w:rPr>
        <w:t>",</w:t>
      </w:r>
    </w:p>
    <w:p w14:paraId="355EF8D2"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roofErr w:type="spellStart"/>
      <w:r w:rsidRPr="00F702FF">
        <w:rPr>
          <w:rFonts w:ascii="Courier New" w:eastAsia="Times New Roman" w:hAnsi="Courier New" w:cs="Courier New"/>
          <w:sz w:val="20"/>
          <w:szCs w:val="20"/>
          <w:lang w:eastAsia="en-IN"/>
        </w:rPr>
        <w:t>itemListElement</w:t>
      </w:r>
      <w:proofErr w:type="spellEnd"/>
      <w:r w:rsidRPr="00F702FF">
        <w:rPr>
          <w:rFonts w:ascii="Courier New" w:eastAsia="Times New Roman" w:hAnsi="Courier New" w:cs="Courier New"/>
          <w:sz w:val="20"/>
          <w:szCs w:val="20"/>
          <w:lang w:eastAsia="en-IN"/>
        </w:rPr>
        <w:t>": [</w:t>
      </w:r>
    </w:p>
    <w:p w14:paraId="177C56A6"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1814E74A"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w:t>
      </w:r>
      <w:proofErr w:type="spellStart"/>
      <w:r w:rsidRPr="00F702FF">
        <w:rPr>
          <w:rFonts w:ascii="Courier New" w:eastAsia="Times New Roman" w:hAnsi="Courier New" w:cs="Courier New"/>
          <w:sz w:val="20"/>
          <w:szCs w:val="20"/>
          <w:lang w:eastAsia="en-IN"/>
        </w:rPr>
        <w:t>ListItem</w:t>
      </w:r>
      <w:proofErr w:type="spellEnd"/>
      <w:r w:rsidRPr="00F702FF">
        <w:rPr>
          <w:rFonts w:ascii="Courier New" w:eastAsia="Times New Roman" w:hAnsi="Courier New" w:cs="Courier New"/>
          <w:sz w:val="20"/>
          <w:szCs w:val="20"/>
          <w:lang w:eastAsia="en-IN"/>
        </w:rPr>
        <w:t>",</w:t>
      </w:r>
    </w:p>
    <w:p w14:paraId="74F9B235"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"position": 1,</w:t>
      </w:r>
    </w:p>
    <w:p w14:paraId="2A36A187"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"name": "Home",</w:t>
      </w:r>
    </w:p>
    <w:p w14:paraId="0CDF7EB4"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"item": "https://www.strategicmarketresearch.com/"</w:t>
      </w:r>
    </w:p>
    <w:p w14:paraId="750C7DE1"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7B460D4E"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4979712E"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w:t>
      </w:r>
      <w:proofErr w:type="spellStart"/>
      <w:r w:rsidRPr="00F702FF">
        <w:rPr>
          <w:rFonts w:ascii="Courier New" w:eastAsia="Times New Roman" w:hAnsi="Courier New" w:cs="Courier New"/>
          <w:sz w:val="20"/>
          <w:szCs w:val="20"/>
          <w:lang w:eastAsia="en-IN"/>
        </w:rPr>
        <w:t>ListItem</w:t>
      </w:r>
      <w:proofErr w:type="spellEnd"/>
      <w:r w:rsidRPr="00F702FF">
        <w:rPr>
          <w:rFonts w:ascii="Courier New" w:eastAsia="Times New Roman" w:hAnsi="Courier New" w:cs="Courier New"/>
          <w:sz w:val="20"/>
          <w:szCs w:val="20"/>
          <w:lang w:eastAsia="en-IN"/>
        </w:rPr>
        <w:t>",</w:t>
      </w:r>
    </w:p>
    <w:p w14:paraId="52F7D7B0"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"position": 2,</w:t>
      </w:r>
    </w:p>
    <w:p w14:paraId="091A5CF3" w14:textId="0C15F805"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"name": "</w:t>
      </w:r>
      <w:r w:rsidR="00A42EF4" w:rsidRPr="00A42EF4">
        <w:rPr>
          <w:rFonts w:ascii="Courier New" w:eastAsia="Times New Roman" w:hAnsi="Courier New" w:cs="Courier New"/>
          <w:sz w:val="20"/>
          <w:szCs w:val="20"/>
          <w:lang w:eastAsia="en-IN"/>
        </w:rPr>
        <w:t xml:space="preserve">Communication Networks </w:t>
      </w:r>
      <w:proofErr w:type="gramStart"/>
      <w:r w:rsidR="00A42EF4" w:rsidRPr="00A42EF4">
        <w:rPr>
          <w:rFonts w:ascii="Courier New" w:eastAsia="Times New Roman" w:hAnsi="Courier New" w:cs="Courier New"/>
          <w:sz w:val="20"/>
          <w:szCs w:val="20"/>
          <w:lang w:eastAsia="en-IN"/>
        </w:rPr>
        <w:t>And</w:t>
      </w:r>
      <w:proofErr w:type="gramEnd"/>
      <w:r w:rsidR="00A42EF4" w:rsidRPr="00A42EF4">
        <w:rPr>
          <w:rFonts w:ascii="Courier New" w:eastAsia="Times New Roman" w:hAnsi="Courier New" w:cs="Courier New"/>
          <w:sz w:val="20"/>
          <w:szCs w:val="20"/>
          <w:lang w:eastAsia="en-IN"/>
        </w:rPr>
        <w:t xml:space="preserve"> Infrastructure</w:t>
      </w:r>
      <w:r w:rsidRPr="00F702FF">
        <w:rPr>
          <w:rFonts w:ascii="Courier New" w:eastAsia="Times New Roman" w:hAnsi="Courier New" w:cs="Courier New"/>
          <w:sz w:val="20"/>
          <w:szCs w:val="20"/>
          <w:lang w:eastAsia="en-IN"/>
        </w:rPr>
        <w:t>",</w:t>
      </w:r>
    </w:p>
    <w:p w14:paraId="536C79DE" w14:textId="48F2D1DA"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"item": "</w:t>
      </w:r>
      <w:r w:rsidR="00A42EF4" w:rsidRPr="00A42EF4">
        <w:rPr>
          <w:rFonts w:ascii="Courier New" w:eastAsia="Times New Roman" w:hAnsi="Courier New" w:cs="Courier New"/>
          <w:sz w:val="20"/>
          <w:szCs w:val="20"/>
          <w:lang w:eastAsia="en-IN"/>
        </w:rPr>
        <w:t>https://www.strategicmarketresearch.com/report/communication-networks-and-infrastructure</w:t>
      </w:r>
      <w:r w:rsidRPr="00F702FF">
        <w:rPr>
          <w:rFonts w:ascii="Courier New" w:eastAsia="Times New Roman" w:hAnsi="Courier New" w:cs="Courier New"/>
          <w:sz w:val="20"/>
          <w:szCs w:val="20"/>
          <w:lang w:eastAsia="en-IN"/>
        </w:rPr>
        <w:t>"</w:t>
      </w:r>
    </w:p>
    <w:p w14:paraId="038C1E35"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316F8197"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lastRenderedPageBreak/>
        <w:t xml:space="preserve">    {</w:t>
      </w:r>
    </w:p>
    <w:p w14:paraId="1DCB4963"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w:t>
      </w:r>
      <w:proofErr w:type="spellStart"/>
      <w:r w:rsidRPr="00F702FF">
        <w:rPr>
          <w:rFonts w:ascii="Courier New" w:eastAsia="Times New Roman" w:hAnsi="Courier New" w:cs="Courier New"/>
          <w:sz w:val="20"/>
          <w:szCs w:val="20"/>
          <w:lang w:eastAsia="en-IN"/>
        </w:rPr>
        <w:t>ListItem</w:t>
      </w:r>
      <w:proofErr w:type="spellEnd"/>
      <w:r w:rsidRPr="00F702FF">
        <w:rPr>
          <w:rFonts w:ascii="Courier New" w:eastAsia="Times New Roman" w:hAnsi="Courier New" w:cs="Courier New"/>
          <w:sz w:val="20"/>
          <w:szCs w:val="20"/>
          <w:lang w:eastAsia="en-IN"/>
        </w:rPr>
        <w:t>",</w:t>
      </w:r>
    </w:p>
    <w:p w14:paraId="1ACB120A"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"position": 3,</w:t>
      </w:r>
    </w:p>
    <w:p w14:paraId="7B7FD083"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"name": "Oilfield Communications Market Report 2030",</w:t>
      </w:r>
    </w:p>
    <w:p w14:paraId="716F2B58"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"item": "https://www.strategicmarketresearch.com/market-report/oilfield-communications-market"</w:t>
      </w:r>
    </w:p>
    <w:p w14:paraId="50DED59D"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0FB5D19D"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4D3724E3"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w:t>
      </w:r>
    </w:p>
    <w:p w14:paraId="578F02C9" w14:textId="77777777" w:rsidR="00F702FF" w:rsidRPr="00F702FF" w:rsidRDefault="00F702FF" w:rsidP="00F70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02FF">
        <w:rPr>
          <w:rFonts w:ascii="Times New Roman" w:eastAsia="Times New Roman" w:hAnsi="Times New Roman" w:cs="Times New Roman"/>
          <w:b/>
          <w:bCs/>
          <w:sz w:val="27"/>
          <w:szCs w:val="27"/>
          <w:lang w:eastAsia="en-IN"/>
        </w:rPr>
        <w:t>2. FAQ Schema</w:t>
      </w:r>
    </w:p>
    <w:p w14:paraId="246ACF8F"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w:t>
      </w:r>
    </w:p>
    <w:p w14:paraId="30A96210"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"@context": "https://schema.org",</w:t>
      </w:r>
    </w:p>
    <w:p w14:paraId="6D23D3BB"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w:t>
      </w:r>
      <w:proofErr w:type="spellStart"/>
      <w:r w:rsidRPr="00F702FF">
        <w:rPr>
          <w:rFonts w:ascii="Courier New" w:eastAsia="Times New Roman" w:hAnsi="Courier New" w:cs="Courier New"/>
          <w:sz w:val="20"/>
          <w:szCs w:val="20"/>
          <w:lang w:eastAsia="en-IN"/>
        </w:rPr>
        <w:t>FAQPage</w:t>
      </w:r>
      <w:proofErr w:type="spellEnd"/>
      <w:r w:rsidRPr="00F702FF">
        <w:rPr>
          <w:rFonts w:ascii="Courier New" w:eastAsia="Times New Roman" w:hAnsi="Courier New" w:cs="Courier New"/>
          <w:sz w:val="20"/>
          <w:szCs w:val="20"/>
          <w:lang w:eastAsia="en-IN"/>
        </w:rPr>
        <w:t>",</w:t>
      </w:r>
    </w:p>
    <w:p w14:paraId="127E978F"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roofErr w:type="spellStart"/>
      <w:r w:rsidRPr="00F702FF">
        <w:rPr>
          <w:rFonts w:ascii="Courier New" w:eastAsia="Times New Roman" w:hAnsi="Courier New" w:cs="Courier New"/>
          <w:sz w:val="20"/>
          <w:szCs w:val="20"/>
          <w:lang w:eastAsia="en-IN"/>
        </w:rPr>
        <w:t>mainEntity</w:t>
      </w:r>
      <w:proofErr w:type="spellEnd"/>
      <w:r w:rsidRPr="00F702FF">
        <w:rPr>
          <w:rFonts w:ascii="Courier New" w:eastAsia="Times New Roman" w:hAnsi="Courier New" w:cs="Courier New"/>
          <w:sz w:val="20"/>
          <w:szCs w:val="20"/>
          <w:lang w:eastAsia="en-IN"/>
        </w:rPr>
        <w:t>": [</w:t>
      </w:r>
    </w:p>
    <w:p w14:paraId="1D890EB6"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2E0613B7"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"Question",</w:t>
      </w:r>
    </w:p>
    <w:p w14:paraId="3A2F24C7"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"name": "How big is the oilfield communications market?",</w:t>
      </w:r>
    </w:p>
    <w:p w14:paraId="3DA2C334"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roofErr w:type="spellStart"/>
      <w:r w:rsidRPr="00F702FF">
        <w:rPr>
          <w:rFonts w:ascii="Courier New" w:eastAsia="Times New Roman" w:hAnsi="Courier New" w:cs="Courier New"/>
          <w:sz w:val="20"/>
          <w:szCs w:val="20"/>
          <w:lang w:eastAsia="en-IN"/>
        </w:rPr>
        <w:t>acceptedAnswer</w:t>
      </w:r>
      <w:proofErr w:type="spellEnd"/>
      <w:r w:rsidRPr="00F702FF">
        <w:rPr>
          <w:rFonts w:ascii="Courier New" w:eastAsia="Times New Roman" w:hAnsi="Courier New" w:cs="Courier New"/>
          <w:sz w:val="20"/>
          <w:szCs w:val="20"/>
          <w:lang w:eastAsia="en-IN"/>
        </w:rPr>
        <w:t>": {</w:t>
      </w:r>
    </w:p>
    <w:p w14:paraId="282784B9"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"Answer",</w:t>
      </w:r>
    </w:p>
    <w:p w14:paraId="0F1B7717"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"text": "The global oilfield communications market is valued at USD 3.2 billion in 2024."</w:t>
      </w:r>
    </w:p>
    <w:p w14:paraId="2BB46494"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42835696"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439D83A5"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0CD031E7"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"Question",</w:t>
      </w:r>
    </w:p>
    <w:p w14:paraId="2A17200B"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"name": "What is the CAGR for the forecast period?",</w:t>
      </w:r>
    </w:p>
    <w:p w14:paraId="54351784"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roofErr w:type="spellStart"/>
      <w:r w:rsidRPr="00F702FF">
        <w:rPr>
          <w:rFonts w:ascii="Courier New" w:eastAsia="Times New Roman" w:hAnsi="Courier New" w:cs="Courier New"/>
          <w:sz w:val="20"/>
          <w:szCs w:val="20"/>
          <w:lang w:eastAsia="en-IN"/>
        </w:rPr>
        <w:t>acceptedAnswer</w:t>
      </w:r>
      <w:proofErr w:type="spellEnd"/>
      <w:r w:rsidRPr="00F702FF">
        <w:rPr>
          <w:rFonts w:ascii="Courier New" w:eastAsia="Times New Roman" w:hAnsi="Courier New" w:cs="Courier New"/>
          <w:sz w:val="20"/>
          <w:szCs w:val="20"/>
          <w:lang w:eastAsia="en-IN"/>
        </w:rPr>
        <w:t>": {</w:t>
      </w:r>
    </w:p>
    <w:p w14:paraId="13D414C6"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"Answer",</w:t>
      </w:r>
    </w:p>
    <w:p w14:paraId="4A2DA009" w14:textId="4BB3AFDB"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"text": "The market is expected to grow at a CAGR of </w:t>
      </w:r>
      <w:r>
        <w:rPr>
          <w:rFonts w:ascii="Courier New" w:eastAsia="Times New Roman" w:hAnsi="Courier New" w:cs="Courier New"/>
          <w:sz w:val="20"/>
          <w:szCs w:val="20"/>
          <w:lang w:eastAsia="en-IN"/>
        </w:rPr>
        <w:t>9.1</w:t>
      </w:r>
      <w:r w:rsidRPr="00F702FF">
        <w:rPr>
          <w:rFonts w:ascii="Courier New" w:eastAsia="Times New Roman" w:hAnsi="Courier New" w:cs="Courier New"/>
          <w:sz w:val="20"/>
          <w:szCs w:val="20"/>
          <w:lang w:eastAsia="en-IN"/>
        </w:rPr>
        <w:t>% from 2024 to 2030."</w:t>
      </w:r>
    </w:p>
    <w:p w14:paraId="53614446"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55850473"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6B089381"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430FB300"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"Question",</w:t>
      </w:r>
    </w:p>
    <w:p w14:paraId="4C52D9A5"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"name": "Who are the major players in the oilfield communications market?",</w:t>
      </w:r>
    </w:p>
    <w:p w14:paraId="21747632"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roofErr w:type="spellStart"/>
      <w:r w:rsidRPr="00F702FF">
        <w:rPr>
          <w:rFonts w:ascii="Courier New" w:eastAsia="Times New Roman" w:hAnsi="Courier New" w:cs="Courier New"/>
          <w:sz w:val="20"/>
          <w:szCs w:val="20"/>
          <w:lang w:eastAsia="en-IN"/>
        </w:rPr>
        <w:t>acceptedAnswer</w:t>
      </w:r>
      <w:proofErr w:type="spellEnd"/>
      <w:r w:rsidRPr="00F702FF">
        <w:rPr>
          <w:rFonts w:ascii="Courier New" w:eastAsia="Times New Roman" w:hAnsi="Courier New" w:cs="Courier New"/>
          <w:sz w:val="20"/>
          <w:szCs w:val="20"/>
          <w:lang w:eastAsia="en-IN"/>
        </w:rPr>
        <w:t>": {</w:t>
      </w:r>
    </w:p>
    <w:p w14:paraId="0BE71B2F"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"Answer",</w:t>
      </w:r>
    </w:p>
    <w:p w14:paraId="3C0A8456"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"text": "Leading vendors include Schlumberger, Halliburton, ABB Group, Huawei Technologies, and Cisco Systems."</w:t>
      </w:r>
    </w:p>
    <w:p w14:paraId="7A839BCC"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25FCE908"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72849E90"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64C3DF2A"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"Question",</w:t>
      </w:r>
    </w:p>
    <w:p w14:paraId="49553AFB"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"name": "Which region dominates the oilfield communications market?",</w:t>
      </w:r>
    </w:p>
    <w:p w14:paraId="65C47829"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roofErr w:type="spellStart"/>
      <w:r w:rsidRPr="00F702FF">
        <w:rPr>
          <w:rFonts w:ascii="Courier New" w:eastAsia="Times New Roman" w:hAnsi="Courier New" w:cs="Courier New"/>
          <w:sz w:val="20"/>
          <w:szCs w:val="20"/>
          <w:lang w:eastAsia="en-IN"/>
        </w:rPr>
        <w:t>acceptedAnswer</w:t>
      </w:r>
      <w:proofErr w:type="spellEnd"/>
      <w:r w:rsidRPr="00F702FF">
        <w:rPr>
          <w:rFonts w:ascii="Courier New" w:eastAsia="Times New Roman" w:hAnsi="Courier New" w:cs="Courier New"/>
          <w:sz w:val="20"/>
          <w:szCs w:val="20"/>
          <w:lang w:eastAsia="en-IN"/>
        </w:rPr>
        <w:t>": {</w:t>
      </w:r>
    </w:p>
    <w:p w14:paraId="3D42B9F3"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"Answer",</w:t>
      </w:r>
    </w:p>
    <w:p w14:paraId="43E47F30"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"text": "North America leads due to mature offshore operations, regulatory compliance, and early adoption of digital oilfield strategies."</w:t>
      </w:r>
    </w:p>
    <w:p w14:paraId="2FF01B19"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294C4C93"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6F22699C"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163A6715"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"Question",</w:t>
      </w:r>
    </w:p>
    <w:p w14:paraId="59914933"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"name": "What factors are driving growth in the oilfield communications market?",</w:t>
      </w:r>
    </w:p>
    <w:p w14:paraId="35B208B0"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roofErr w:type="spellStart"/>
      <w:r w:rsidRPr="00F702FF">
        <w:rPr>
          <w:rFonts w:ascii="Courier New" w:eastAsia="Times New Roman" w:hAnsi="Courier New" w:cs="Courier New"/>
          <w:sz w:val="20"/>
          <w:szCs w:val="20"/>
          <w:lang w:eastAsia="en-IN"/>
        </w:rPr>
        <w:t>acceptedAnswer</w:t>
      </w:r>
      <w:proofErr w:type="spellEnd"/>
      <w:r w:rsidRPr="00F702FF">
        <w:rPr>
          <w:rFonts w:ascii="Courier New" w:eastAsia="Times New Roman" w:hAnsi="Courier New" w:cs="Courier New"/>
          <w:sz w:val="20"/>
          <w:szCs w:val="20"/>
          <w:lang w:eastAsia="en-IN"/>
        </w:rPr>
        <w:t>": {</w:t>
      </w:r>
    </w:p>
    <w:p w14:paraId="0A0415A4"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"@type": "Answer",</w:t>
      </w:r>
    </w:p>
    <w:p w14:paraId="59BEF5EA"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lastRenderedPageBreak/>
        <w:t xml:space="preserve">        "text": "Growth is driven by digital oilfield integration, expansion of offshore and unconventional exploration, and the need for real-time monitoring and predictive maintenance."</w:t>
      </w:r>
    </w:p>
    <w:p w14:paraId="0DECFAD6"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575F9BA3"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09E2A964"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 xml:space="preserve">  ]</w:t>
      </w:r>
    </w:p>
    <w:p w14:paraId="57890764" w14:textId="77777777" w:rsidR="00F702FF" w:rsidRPr="00F702FF" w:rsidRDefault="00F702FF" w:rsidP="00F7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2FF">
        <w:rPr>
          <w:rFonts w:ascii="Courier New" w:eastAsia="Times New Roman" w:hAnsi="Courier New" w:cs="Courier New"/>
          <w:sz w:val="20"/>
          <w:szCs w:val="20"/>
          <w:lang w:eastAsia="en-IN"/>
        </w:rPr>
        <w:t>}</w:t>
      </w:r>
    </w:p>
    <w:p w14:paraId="616AE6A6" w14:textId="77777777" w:rsidR="00F702FF" w:rsidRPr="00F702FF" w:rsidRDefault="00F702FF" w:rsidP="00F70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2FF">
        <w:rPr>
          <w:rFonts w:ascii="Times New Roman" w:eastAsia="Times New Roman" w:hAnsi="Times New Roman" w:cs="Times New Roman"/>
          <w:b/>
          <w:bCs/>
          <w:kern w:val="36"/>
          <w:sz w:val="48"/>
          <w:szCs w:val="48"/>
          <w:lang w:eastAsia="en-IN"/>
        </w:rPr>
        <w:t>9. Table of Contents</w:t>
      </w:r>
    </w:p>
    <w:p w14:paraId="5D1F59D3"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Executive Summary</w:t>
      </w:r>
    </w:p>
    <w:p w14:paraId="16C5E698" w14:textId="77777777" w:rsidR="00F702FF" w:rsidRPr="00F702FF" w:rsidRDefault="00F702FF" w:rsidP="00F702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Overview</w:t>
      </w:r>
    </w:p>
    <w:p w14:paraId="412C211F" w14:textId="77777777" w:rsidR="00F702FF" w:rsidRPr="00F702FF" w:rsidRDefault="00F702FF" w:rsidP="00F702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Attractiveness by Technology, Application, End User, and Region</w:t>
      </w:r>
    </w:p>
    <w:p w14:paraId="54FF7C2D" w14:textId="77777777" w:rsidR="00F702FF" w:rsidRPr="00F702FF" w:rsidRDefault="00F702FF" w:rsidP="00F702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Strategic Insights from Key Executives (CXO Perspective)</w:t>
      </w:r>
    </w:p>
    <w:p w14:paraId="684BA2FC" w14:textId="77777777" w:rsidR="00F702FF" w:rsidRPr="00F702FF" w:rsidRDefault="00F702FF" w:rsidP="00F702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Historical Market Size and Future Projections (2019–2030)</w:t>
      </w:r>
    </w:p>
    <w:p w14:paraId="38B8992E" w14:textId="77777777" w:rsidR="00F702FF" w:rsidRPr="00F702FF" w:rsidRDefault="00F702FF" w:rsidP="00F702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Summary of Market Segmentation by Technology, Application, End User, and Region</w:t>
      </w:r>
    </w:p>
    <w:p w14:paraId="1CD94850"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Market Share Analysis</w:t>
      </w:r>
    </w:p>
    <w:p w14:paraId="56B7ED4B" w14:textId="77777777" w:rsidR="00F702FF" w:rsidRPr="00F702FF" w:rsidRDefault="00F702FF" w:rsidP="00F702F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Leading Players by Revenue and Market Share</w:t>
      </w:r>
    </w:p>
    <w:p w14:paraId="691733FB" w14:textId="77777777" w:rsidR="00F702FF" w:rsidRPr="00F702FF" w:rsidRDefault="00F702FF" w:rsidP="00F702F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Share Analysis by Technology, Application, and End User</w:t>
      </w:r>
    </w:p>
    <w:p w14:paraId="3A3206F1"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Investment Opportunities in the Oilfield Communications Market</w:t>
      </w:r>
    </w:p>
    <w:p w14:paraId="2C410E77" w14:textId="77777777" w:rsidR="00F702FF" w:rsidRPr="00F702FF" w:rsidRDefault="00F702FF" w:rsidP="00F702F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Key Developments and Innovations</w:t>
      </w:r>
    </w:p>
    <w:p w14:paraId="56D4A693" w14:textId="77777777" w:rsidR="00F702FF" w:rsidRPr="00F702FF" w:rsidRDefault="00F702FF" w:rsidP="00F702F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Mergers, Acquisitions, and Strategic Partnerships</w:t>
      </w:r>
    </w:p>
    <w:p w14:paraId="370729D9" w14:textId="77777777" w:rsidR="00F702FF" w:rsidRPr="00F702FF" w:rsidRDefault="00F702FF" w:rsidP="00F702F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High-Growth Segments for Investment</w:t>
      </w:r>
    </w:p>
    <w:p w14:paraId="28DD3882"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Market Introduction</w:t>
      </w:r>
    </w:p>
    <w:p w14:paraId="49CDA26D" w14:textId="77777777" w:rsidR="00F702FF" w:rsidRPr="00F702FF" w:rsidRDefault="00F702FF" w:rsidP="00F702F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Definition and Scope of the Study</w:t>
      </w:r>
    </w:p>
    <w:p w14:paraId="70DD0936" w14:textId="77777777" w:rsidR="00F702FF" w:rsidRPr="00F702FF" w:rsidRDefault="00F702FF" w:rsidP="00F702F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Structure and Key Findings</w:t>
      </w:r>
    </w:p>
    <w:p w14:paraId="6AB73FBF" w14:textId="77777777" w:rsidR="00F702FF" w:rsidRPr="00F702FF" w:rsidRDefault="00F702FF" w:rsidP="00F702F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Overview of Top Investment Pockets</w:t>
      </w:r>
    </w:p>
    <w:p w14:paraId="13156838"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Research Methodology</w:t>
      </w:r>
    </w:p>
    <w:p w14:paraId="374BDA0D" w14:textId="77777777" w:rsidR="00F702FF" w:rsidRPr="00F702FF" w:rsidRDefault="00F702FF" w:rsidP="00F702F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Research Process Overview</w:t>
      </w:r>
    </w:p>
    <w:p w14:paraId="73F8F6EB" w14:textId="77777777" w:rsidR="00F702FF" w:rsidRPr="00F702FF" w:rsidRDefault="00F702FF" w:rsidP="00F702F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Primary and Secondary Research Approaches</w:t>
      </w:r>
    </w:p>
    <w:p w14:paraId="3125792D" w14:textId="77777777" w:rsidR="00F702FF" w:rsidRPr="00F702FF" w:rsidRDefault="00F702FF" w:rsidP="00F702F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Size Estimation and Forecasting Techniques</w:t>
      </w:r>
    </w:p>
    <w:p w14:paraId="05A68B18"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Market Dynamics</w:t>
      </w:r>
    </w:p>
    <w:p w14:paraId="6132BFBB" w14:textId="77777777" w:rsidR="00F702FF" w:rsidRPr="00F702FF" w:rsidRDefault="00F702FF" w:rsidP="00F702F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Key Market Drivers</w:t>
      </w:r>
    </w:p>
    <w:p w14:paraId="72F2429F" w14:textId="77777777" w:rsidR="00F702FF" w:rsidRPr="00F702FF" w:rsidRDefault="00F702FF" w:rsidP="00F702F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Challenges and Restraints Impacting Growth</w:t>
      </w:r>
    </w:p>
    <w:p w14:paraId="52F2B7DC" w14:textId="77777777" w:rsidR="00F702FF" w:rsidRPr="00F702FF" w:rsidRDefault="00F702FF" w:rsidP="00F702F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Emerging Opportunities for Stakeholders</w:t>
      </w:r>
    </w:p>
    <w:p w14:paraId="4484548E" w14:textId="77777777" w:rsidR="00F702FF" w:rsidRPr="00F702FF" w:rsidRDefault="00F702FF" w:rsidP="00F702F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 xml:space="preserve">Impact of </w:t>
      </w:r>
      <w:proofErr w:type="spellStart"/>
      <w:r w:rsidRPr="00F702FF">
        <w:rPr>
          <w:rFonts w:ascii="Times New Roman" w:eastAsia="Times New Roman" w:hAnsi="Times New Roman" w:cs="Times New Roman"/>
          <w:sz w:val="24"/>
          <w:szCs w:val="24"/>
          <w:lang w:eastAsia="en-IN"/>
        </w:rPr>
        <w:t>Behavioral</w:t>
      </w:r>
      <w:proofErr w:type="spellEnd"/>
      <w:r w:rsidRPr="00F702FF">
        <w:rPr>
          <w:rFonts w:ascii="Times New Roman" w:eastAsia="Times New Roman" w:hAnsi="Times New Roman" w:cs="Times New Roman"/>
          <w:sz w:val="24"/>
          <w:szCs w:val="24"/>
          <w:lang w:eastAsia="en-IN"/>
        </w:rPr>
        <w:t xml:space="preserve"> and Regulatory Factors</w:t>
      </w:r>
    </w:p>
    <w:p w14:paraId="23AC9910" w14:textId="77777777" w:rsidR="00F702FF" w:rsidRPr="00F702FF" w:rsidRDefault="00F702FF" w:rsidP="00F702F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Technological Advances in Oilfield Communications</w:t>
      </w:r>
    </w:p>
    <w:p w14:paraId="2F78CD9C"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lastRenderedPageBreak/>
        <w:t>Global Oilfield Communications Market Analysis</w:t>
      </w:r>
    </w:p>
    <w:p w14:paraId="4874A87F" w14:textId="77777777" w:rsidR="00F702FF" w:rsidRPr="00F702FF" w:rsidRDefault="00F702FF" w:rsidP="00F702F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Historical Market Size and Volume (2019–2023)</w:t>
      </w:r>
    </w:p>
    <w:p w14:paraId="3E70ED46" w14:textId="77777777" w:rsidR="00F702FF" w:rsidRPr="00F702FF" w:rsidRDefault="00F702FF" w:rsidP="00F702F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Size and Volume Forecasts (2024–2030)</w:t>
      </w:r>
    </w:p>
    <w:p w14:paraId="0D4B67CE" w14:textId="77777777" w:rsidR="00F702FF" w:rsidRPr="00F702FF" w:rsidRDefault="00F702FF" w:rsidP="00F702FF">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F702FF">
        <w:rPr>
          <w:rFonts w:ascii="Times New Roman" w:eastAsia="Times New Roman" w:hAnsi="Times New Roman" w:cs="Times New Roman"/>
          <w:b/>
          <w:bCs/>
          <w:sz w:val="24"/>
          <w:szCs w:val="24"/>
          <w:lang w:eastAsia="en-IN"/>
        </w:rPr>
        <w:t>Market Analysis by Technology:</w:t>
      </w:r>
    </w:p>
    <w:p w14:paraId="20DA075B"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Wired Communication Systems</w:t>
      </w:r>
    </w:p>
    <w:p w14:paraId="6758E667"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Wireless Communication Systems</w:t>
      </w:r>
    </w:p>
    <w:p w14:paraId="588BEE09"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Hybrid Communication Systems</w:t>
      </w:r>
    </w:p>
    <w:p w14:paraId="0B37A956" w14:textId="77777777" w:rsidR="00F702FF" w:rsidRPr="00F702FF" w:rsidRDefault="00F702FF" w:rsidP="00F702FF">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F702FF">
        <w:rPr>
          <w:rFonts w:ascii="Times New Roman" w:eastAsia="Times New Roman" w:hAnsi="Times New Roman" w:cs="Times New Roman"/>
          <w:b/>
          <w:bCs/>
          <w:sz w:val="24"/>
          <w:szCs w:val="24"/>
          <w:lang w:eastAsia="en-IN"/>
        </w:rPr>
        <w:t>Market Analysis by Application:</w:t>
      </w:r>
    </w:p>
    <w:p w14:paraId="71680874"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Upstream</w:t>
      </w:r>
    </w:p>
    <w:p w14:paraId="3F193D88"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Midstream</w:t>
      </w:r>
    </w:p>
    <w:p w14:paraId="465A59C1"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Downstream</w:t>
      </w:r>
    </w:p>
    <w:p w14:paraId="133228AB" w14:textId="77777777" w:rsidR="00F702FF" w:rsidRPr="00F702FF" w:rsidRDefault="00F702FF" w:rsidP="00F702FF">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F702FF">
        <w:rPr>
          <w:rFonts w:ascii="Times New Roman" w:eastAsia="Times New Roman" w:hAnsi="Times New Roman" w:cs="Times New Roman"/>
          <w:b/>
          <w:bCs/>
          <w:sz w:val="24"/>
          <w:szCs w:val="24"/>
          <w:lang w:eastAsia="en-IN"/>
        </w:rPr>
        <w:t>Market Analysis by End User:</w:t>
      </w:r>
    </w:p>
    <w:p w14:paraId="064EDCA6"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Oil and Gas Operators</w:t>
      </w:r>
    </w:p>
    <w:p w14:paraId="1A738C72"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Service Providers</w:t>
      </w:r>
    </w:p>
    <w:p w14:paraId="5DDFB778"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Government and Regulatory Bodies</w:t>
      </w:r>
    </w:p>
    <w:p w14:paraId="6A8E706D" w14:textId="77777777" w:rsidR="00F702FF" w:rsidRPr="00F702FF" w:rsidRDefault="00F702FF" w:rsidP="00F702FF">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F702FF">
        <w:rPr>
          <w:rFonts w:ascii="Times New Roman" w:eastAsia="Times New Roman" w:hAnsi="Times New Roman" w:cs="Times New Roman"/>
          <w:b/>
          <w:bCs/>
          <w:sz w:val="24"/>
          <w:szCs w:val="24"/>
          <w:lang w:eastAsia="en-IN"/>
        </w:rPr>
        <w:t>Market Analysis by Region:</w:t>
      </w:r>
    </w:p>
    <w:p w14:paraId="757BECC5"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North America</w:t>
      </w:r>
    </w:p>
    <w:p w14:paraId="2E374657"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Europe</w:t>
      </w:r>
    </w:p>
    <w:p w14:paraId="19924C5A"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Asia-Pacific</w:t>
      </w:r>
    </w:p>
    <w:p w14:paraId="1C87DCE2"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Latin America</w:t>
      </w:r>
    </w:p>
    <w:p w14:paraId="233188D2" w14:textId="77777777" w:rsidR="00F702FF" w:rsidRPr="00F702FF" w:rsidRDefault="00F702FF" w:rsidP="00F702F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Middle East &amp; Africa</w:t>
      </w:r>
    </w:p>
    <w:p w14:paraId="3E5A950A"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Regional Market Analysis</w:t>
      </w:r>
    </w:p>
    <w:p w14:paraId="341475AD" w14:textId="77777777" w:rsidR="00F702FF" w:rsidRPr="00F702FF" w:rsidRDefault="00F702FF" w:rsidP="00F702FF">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F702FF">
        <w:rPr>
          <w:rFonts w:ascii="Times New Roman" w:eastAsia="Times New Roman" w:hAnsi="Times New Roman" w:cs="Times New Roman"/>
          <w:b/>
          <w:bCs/>
          <w:sz w:val="24"/>
          <w:szCs w:val="24"/>
          <w:lang w:eastAsia="en-IN"/>
        </w:rPr>
        <w:t>North America Oilfield Communications Market</w:t>
      </w:r>
    </w:p>
    <w:p w14:paraId="0FF34DE9" w14:textId="77777777" w:rsidR="00F702FF" w:rsidRPr="00F702FF" w:rsidRDefault="00F702FF" w:rsidP="00F702F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Historical Market Size and Volume (2019–2023)</w:t>
      </w:r>
    </w:p>
    <w:p w14:paraId="040091E1" w14:textId="77777777" w:rsidR="00F702FF" w:rsidRPr="00F702FF" w:rsidRDefault="00F702FF" w:rsidP="00F702F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Size and Volume Forecasts (2024–2030)</w:t>
      </w:r>
    </w:p>
    <w:p w14:paraId="24E91AFD" w14:textId="77777777" w:rsidR="00F702FF" w:rsidRPr="00F702FF" w:rsidRDefault="00F702FF" w:rsidP="00F702F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Analysis by Technology, Application, and End User</w:t>
      </w:r>
    </w:p>
    <w:p w14:paraId="1DBD22DF" w14:textId="77777777" w:rsidR="00F702FF" w:rsidRPr="00F702FF" w:rsidRDefault="00F702FF" w:rsidP="00F702F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Country-Level Breakdown: United States, Canada, Mexico</w:t>
      </w:r>
    </w:p>
    <w:p w14:paraId="7BEF7902" w14:textId="77777777" w:rsidR="00F702FF" w:rsidRPr="00F702FF" w:rsidRDefault="00F702FF" w:rsidP="00F702FF">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F702FF">
        <w:rPr>
          <w:rFonts w:ascii="Times New Roman" w:eastAsia="Times New Roman" w:hAnsi="Times New Roman" w:cs="Times New Roman"/>
          <w:b/>
          <w:bCs/>
          <w:sz w:val="24"/>
          <w:szCs w:val="24"/>
          <w:lang w:eastAsia="en-IN"/>
        </w:rPr>
        <w:t>Europe Oilfield Communications Market</w:t>
      </w:r>
    </w:p>
    <w:p w14:paraId="2D02442E" w14:textId="77777777" w:rsidR="00F702FF" w:rsidRPr="00F702FF" w:rsidRDefault="00F702FF" w:rsidP="00F702F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Country-Level Breakdown: Norway, UK, Netherlands, Rest of Europe</w:t>
      </w:r>
    </w:p>
    <w:p w14:paraId="4AFE5554" w14:textId="77777777" w:rsidR="00F702FF" w:rsidRPr="00F702FF" w:rsidRDefault="00F702FF" w:rsidP="00F702FF">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F702FF">
        <w:rPr>
          <w:rFonts w:ascii="Times New Roman" w:eastAsia="Times New Roman" w:hAnsi="Times New Roman" w:cs="Times New Roman"/>
          <w:b/>
          <w:bCs/>
          <w:sz w:val="24"/>
          <w:szCs w:val="24"/>
          <w:lang w:eastAsia="en-IN"/>
        </w:rPr>
        <w:t>Asia-Pacific Oilfield Communications Market</w:t>
      </w:r>
    </w:p>
    <w:p w14:paraId="1A1C4F56" w14:textId="77777777" w:rsidR="00F702FF" w:rsidRPr="00F702FF" w:rsidRDefault="00F702FF" w:rsidP="00F702F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Country-Level Breakdown: China, India, Malaysia, Rest of Asia-Pacific</w:t>
      </w:r>
    </w:p>
    <w:p w14:paraId="4B1C4539" w14:textId="77777777" w:rsidR="00F702FF" w:rsidRPr="00F702FF" w:rsidRDefault="00F702FF" w:rsidP="00F702FF">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F702FF">
        <w:rPr>
          <w:rFonts w:ascii="Times New Roman" w:eastAsia="Times New Roman" w:hAnsi="Times New Roman" w:cs="Times New Roman"/>
          <w:b/>
          <w:bCs/>
          <w:sz w:val="24"/>
          <w:szCs w:val="24"/>
          <w:lang w:eastAsia="en-IN"/>
        </w:rPr>
        <w:t>Latin America Oilfield Communications Market</w:t>
      </w:r>
    </w:p>
    <w:p w14:paraId="16987147" w14:textId="77777777" w:rsidR="00F702FF" w:rsidRPr="00F702FF" w:rsidRDefault="00F702FF" w:rsidP="00F702F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Country-Level Breakdown: Brazil, Argentina, Rest of Latin America</w:t>
      </w:r>
    </w:p>
    <w:p w14:paraId="713E74E6" w14:textId="77777777" w:rsidR="00F702FF" w:rsidRPr="00F702FF" w:rsidRDefault="00F702FF" w:rsidP="00F702FF">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F702FF">
        <w:rPr>
          <w:rFonts w:ascii="Times New Roman" w:eastAsia="Times New Roman" w:hAnsi="Times New Roman" w:cs="Times New Roman"/>
          <w:b/>
          <w:bCs/>
          <w:sz w:val="24"/>
          <w:szCs w:val="24"/>
          <w:lang w:eastAsia="en-IN"/>
        </w:rPr>
        <w:t>Middle East &amp; Africa Oilfield Communications Market</w:t>
      </w:r>
    </w:p>
    <w:p w14:paraId="0417A008" w14:textId="77777777" w:rsidR="00F702FF" w:rsidRPr="00F702FF" w:rsidRDefault="00F702FF" w:rsidP="00F702F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Country-Level Breakdown: Saudi Arabia, UAE, Nigeria, Rest of MEA</w:t>
      </w:r>
    </w:p>
    <w:p w14:paraId="19630BC8"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Key Players and Competitive Analysis</w:t>
      </w:r>
    </w:p>
    <w:p w14:paraId="07C7A5F7" w14:textId="77777777" w:rsidR="00F702FF" w:rsidRPr="00F702FF" w:rsidRDefault="00F702FF" w:rsidP="00F702F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Schlumberger</w:t>
      </w:r>
    </w:p>
    <w:p w14:paraId="1136B1F3" w14:textId="77777777" w:rsidR="00F702FF" w:rsidRPr="00F702FF" w:rsidRDefault="00F702FF" w:rsidP="00F702F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Halliburton</w:t>
      </w:r>
    </w:p>
    <w:p w14:paraId="7A557A1C" w14:textId="77777777" w:rsidR="00F702FF" w:rsidRPr="00F702FF" w:rsidRDefault="00F702FF" w:rsidP="00F702F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ABB Group</w:t>
      </w:r>
    </w:p>
    <w:p w14:paraId="3C3A8546" w14:textId="77777777" w:rsidR="00F702FF" w:rsidRPr="00F702FF" w:rsidRDefault="00F702FF" w:rsidP="00F702F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Huawei Technologies</w:t>
      </w:r>
    </w:p>
    <w:p w14:paraId="2C17A712" w14:textId="77777777" w:rsidR="00F702FF" w:rsidRPr="00F702FF" w:rsidRDefault="00F702FF" w:rsidP="00F702F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Cisco Systems</w:t>
      </w:r>
    </w:p>
    <w:p w14:paraId="227132CF"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Appendix</w:t>
      </w:r>
    </w:p>
    <w:p w14:paraId="6BB6FDCC" w14:textId="77777777" w:rsidR="00F702FF" w:rsidRPr="00F702FF" w:rsidRDefault="00F702FF" w:rsidP="00F702F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Abbreviations and Terminologies Used in the Report</w:t>
      </w:r>
    </w:p>
    <w:p w14:paraId="663369B4" w14:textId="77777777" w:rsidR="00F702FF" w:rsidRPr="00F702FF" w:rsidRDefault="00F702FF" w:rsidP="00F702F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lastRenderedPageBreak/>
        <w:t>References and Sources</w:t>
      </w:r>
    </w:p>
    <w:p w14:paraId="5D6AFC20"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List of Tables</w:t>
      </w:r>
    </w:p>
    <w:p w14:paraId="6C573A61" w14:textId="77777777" w:rsidR="00F702FF" w:rsidRPr="00F702FF" w:rsidRDefault="00F702FF" w:rsidP="00F702F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Size by Technology, Application, End User, and Region (2024–2030)</w:t>
      </w:r>
    </w:p>
    <w:p w14:paraId="69678483" w14:textId="77777777" w:rsidR="00F702FF" w:rsidRPr="00F702FF" w:rsidRDefault="00F702FF" w:rsidP="00F702F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Regional Market Breakdown by Segment Type (2024–2030)</w:t>
      </w:r>
    </w:p>
    <w:p w14:paraId="4353775F" w14:textId="77777777" w:rsidR="00F702FF" w:rsidRPr="00F702FF" w:rsidRDefault="00F702FF" w:rsidP="00F702FF">
      <w:p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b/>
          <w:bCs/>
          <w:sz w:val="24"/>
          <w:szCs w:val="24"/>
          <w:lang w:eastAsia="en-IN"/>
        </w:rPr>
        <w:t>List of Figures</w:t>
      </w:r>
    </w:p>
    <w:p w14:paraId="741752EC" w14:textId="77777777" w:rsidR="00F702FF" w:rsidRPr="00F702FF" w:rsidRDefault="00F702FF" w:rsidP="00F702F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Drivers, Challenges, and Opportunities</w:t>
      </w:r>
    </w:p>
    <w:p w14:paraId="3DD518A7" w14:textId="77777777" w:rsidR="00F702FF" w:rsidRPr="00F702FF" w:rsidRDefault="00F702FF" w:rsidP="00F702F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Regional Market Snapshot</w:t>
      </w:r>
    </w:p>
    <w:p w14:paraId="331F8E51" w14:textId="77777777" w:rsidR="00F702FF" w:rsidRPr="00F702FF" w:rsidRDefault="00F702FF" w:rsidP="00F702F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Competitive Landscape by Market Share</w:t>
      </w:r>
    </w:p>
    <w:p w14:paraId="5CA3967C" w14:textId="77777777" w:rsidR="00F702FF" w:rsidRPr="00F702FF" w:rsidRDefault="00F702FF" w:rsidP="00F702F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Growth Strategies Adopted by Key Players</w:t>
      </w:r>
    </w:p>
    <w:p w14:paraId="0AD103D1" w14:textId="77777777" w:rsidR="00F702FF" w:rsidRPr="00F702FF" w:rsidRDefault="00F702FF" w:rsidP="00F702F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702FF">
        <w:rPr>
          <w:rFonts w:ascii="Times New Roman" w:eastAsia="Times New Roman" w:hAnsi="Times New Roman" w:cs="Times New Roman"/>
          <w:sz w:val="24"/>
          <w:szCs w:val="24"/>
          <w:lang w:eastAsia="en-IN"/>
        </w:rPr>
        <w:t>Market Share by Technology and Application (2024 vs. 2030)</w:t>
      </w:r>
    </w:p>
    <w:p w14:paraId="40FF9A0A" w14:textId="3EED6BA8"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137C"/>
    <w:multiLevelType w:val="multilevel"/>
    <w:tmpl w:val="412A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97A32"/>
    <w:multiLevelType w:val="multilevel"/>
    <w:tmpl w:val="3E1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926B6"/>
    <w:multiLevelType w:val="multilevel"/>
    <w:tmpl w:val="79DE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B34D5"/>
    <w:multiLevelType w:val="multilevel"/>
    <w:tmpl w:val="0B4E0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A2EBD"/>
    <w:multiLevelType w:val="multilevel"/>
    <w:tmpl w:val="8830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A2F59"/>
    <w:multiLevelType w:val="multilevel"/>
    <w:tmpl w:val="4648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12194"/>
    <w:multiLevelType w:val="multilevel"/>
    <w:tmpl w:val="D42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D1E5D"/>
    <w:multiLevelType w:val="multilevel"/>
    <w:tmpl w:val="3CB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25E4E"/>
    <w:multiLevelType w:val="multilevel"/>
    <w:tmpl w:val="5EC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566CB"/>
    <w:multiLevelType w:val="multilevel"/>
    <w:tmpl w:val="AD5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D43DC"/>
    <w:multiLevelType w:val="multilevel"/>
    <w:tmpl w:val="05F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C64DE"/>
    <w:multiLevelType w:val="multilevel"/>
    <w:tmpl w:val="ABDA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45D83"/>
    <w:multiLevelType w:val="multilevel"/>
    <w:tmpl w:val="470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E3EE0"/>
    <w:multiLevelType w:val="multilevel"/>
    <w:tmpl w:val="B66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3707F"/>
    <w:multiLevelType w:val="multilevel"/>
    <w:tmpl w:val="05F4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F5545"/>
    <w:multiLevelType w:val="multilevel"/>
    <w:tmpl w:val="F81E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85980"/>
    <w:multiLevelType w:val="multilevel"/>
    <w:tmpl w:val="8C04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637B5"/>
    <w:multiLevelType w:val="multilevel"/>
    <w:tmpl w:val="9E7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7493E"/>
    <w:multiLevelType w:val="multilevel"/>
    <w:tmpl w:val="4644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F52DE"/>
    <w:multiLevelType w:val="multilevel"/>
    <w:tmpl w:val="A202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5650D"/>
    <w:multiLevelType w:val="multilevel"/>
    <w:tmpl w:val="0142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E1129"/>
    <w:multiLevelType w:val="multilevel"/>
    <w:tmpl w:val="F7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4"/>
  </w:num>
  <w:num w:numId="4">
    <w:abstractNumId w:val="12"/>
  </w:num>
  <w:num w:numId="5">
    <w:abstractNumId w:val="9"/>
  </w:num>
  <w:num w:numId="6">
    <w:abstractNumId w:val="6"/>
  </w:num>
  <w:num w:numId="7">
    <w:abstractNumId w:val="19"/>
  </w:num>
  <w:num w:numId="8">
    <w:abstractNumId w:val="17"/>
  </w:num>
  <w:num w:numId="9">
    <w:abstractNumId w:val="21"/>
  </w:num>
  <w:num w:numId="10">
    <w:abstractNumId w:val="16"/>
  </w:num>
  <w:num w:numId="11">
    <w:abstractNumId w:val="20"/>
  </w:num>
  <w:num w:numId="12">
    <w:abstractNumId w:val="7"/>
  </w:num>
  <w:num w:numId="13">
    <w:abstractNumId w:val="13"/>
  </w:num>
  <w:num w:numId="14">
    <w:abstractNumId w:val="14"/>
  </w:num>
  <w:num w:numId="15">
    <w:abstractNumId w:val="5"/>
  </w:num>
  <w:num w:numId="16">
    <w:abstractNumId w:val="2"/>
  </w:num>
  <w:num w:numId="17">
    <w:abstractNumId w:val="0"/>
  </w:num>
  <w:num w:numId="18">
    <w:abstractNumId w:val="3"/>
  </w:num>
  <w:num w:numId="19">
    <w:abstractNumId w:val="18"/>
  </w:num>
  <w:num w:numId="20">
    <w:abstractNumId w:val="8"/>
  </w:num>
  <w:num w:numId="21">
    <w:abstractNumId w:val="10"/>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2FF"/>
    <w:rsid w:val="0038114E"/>
    <w:rsid w:val="00A11F02"/>
    <w:rsid w:val="00A42EF4"/>
    <w:rsid w:val="00F70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17D3C"/>
  <w15:chartTrackingRefBased/>
  <w15:docId w15:val="{A6292ED0-9BE3-48F5-9350-DB77DE73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2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702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702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2FF"/>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F702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F702F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702F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66336">
      <w:bodyDiv w:val="1"/>
      <w:marLeft w:val="0"/>
      <w:marRight w:val="0"/>
      <w:marTop w:val="0"/>
      <w:marBottom w:val="0"/>
      <w:divBdr>
        <w:top w:val="none" w:sz="0" w:space="0" w:color="auto"/>
        <w:left w:val="none" w:sz="0" w:space="0" w:color="auto"/>
        <w:bottom w:val="none" w:sz="0" w:space="0" w:color="auto"/>
        <w:right w:val="none" w:sz="0" w:space="0" w:color="auto"/>
      </w:divBdr>
    </w:div>
    <w:div w:id="468592571">
      <w:bodyDiv w:val="1"/>
      <w:marLeft w:val="0"/>
      <w:marRight w:val="0"/>
      <w:marTop w:val="0"/>
      <w:marBottom w:val="0"/>
      <w:divBdr>
        <w:top w:val="none" w:sz="0" w:space="0" w:color="auto"/>
        <w:left w:val="none" w:sz="0" w:space="0" w:color="auto"/>
        <w:bottom w:val="none" w:sz="0" w:space="0" w:color="auto"/>
        <w:right w:val="none" w:sz="0" w:space="0" w:color="auto"/>
      </w:divBdr>
    </w:div>
    <w:div w:id="538708176">
      <w:bodyDiv w:val="1"/>
      <w:marLeft w:val="0"/>
      <w:marRight w:val="0"/>
      <w:marTop w:val="0"/>
      <w:marBottom w:val="0"/>
      <w:divBdr>
        <w:top w:val="none" w:sz="0" w:space="0" w:color="auto"/>
        <w:left w:val="none" w:sz="0" w:space="0" w:color="auto"/>
        <w:bottom w:val="none" w:sz="0" w:space="0" w:color="auto"/>
        <w:right w:val="none" w:sz="0" w:space="0" w:color="auto"/>
      </w:divBdr>
    </w:div>
    <w:div w:id="763572655">
      <w:bodyDiv w:val="1"/>
      <w:marLeft w:val="0"/>
      <w:marRight w:val="0"/>
      <w:marTop w:val="0"/>
      <w:marBottom w:val="0"/>
      <w:divBdr>
        <w:top w:val="none" w:sz="0" w:space="0" w:color="auto"/>
        <w:left w:val="none" w:sz="0" w:space="0" w:color="auto"/>
        <w:bottom w:val="none" w:sz="0" w:space="0" w:color="auto"/>
        <w:right w:val="none" w:sz="0" w:space="0" w:color="auto"/>
      </w:divBdr>
    </w:div>
    <w:div w:id="782916902">
      <w:bodyDiv w:val="1"/>
      <w:marLeft w:val="0"/>
      <w:marRight w:val="0"/>
      <w:marTop w:val="0"/>
      <w:marBottom w:val="0"/>
      <w:divBdr>
        <w:top w:val="none" w:sz="0" w:space="0" w:color="auto"/>
        <w:left w:val="none" w:sz="0" w:space="0" w:color="auto"/>
        <w:bottom w:val="none" w:sz="0" w:space="0" w:color="auto"/>
        <w:right w:val="none" w:sz="0" w:space="0" w:color="auto"/>
      </w:divBdr>
      <w:divsChild>
        <w:div w:id="1667392688">
          <w:marLeft w:val="0"/>
          <w:marRight w:val="0"/>
          <w:marTop w:val="0"/>
          <w:marBottom w:val="0"/>
          <w:divBdr>
            <w:top w:val="none" w:sz="0" w:space="0" w:color="auto"/>
            <w:left w:val="none" w:sz="0" w:space="0" w:color="auto"/>
            <w:bottom w:val="none" w:sz="0" w:space="0" w:color="auto"/>
            <w:right w:val="none" w:sz="0" w:space="0" w:color="auto"/>
          </w:divBdr>
          <w:divsChild>
            <w:div w:id="1582711054">
              <w:marLeft w:val="0"/>
              <w:marRight w:val="0"/>
              <w:marTop w:val="0"/>
              <w:marBottom w:val="0"/>
              <w:divBdr>
                <w:top w:val="none" w:sz="0" w:space="0" w:color="auto"/>
                <w:left w:val="none" w:sz="0" w:space="0" w:color="auto"/>
                <w:bottom w:val="none" w:sz="0" w:space="0" w:color="auto"/>
                <w:right w:val="none" w:sz="0" w:space="0" w:color="auto"/>
              </w:divBdr>
            </w:div>
          </w:divsChild>
        </w:div>
        <w:div w:id="1969047702">
          <w:marLeft w:val="0"/>
          <w:marRight w:val="0"/>
          <w:marTop w:val="0"/>
          <w:marBottom w:val="0"/>
          <w:divBdr>
            <w:top w:val="none" w:sz="0" w:space="0" w:color="auto"/>
            <w:left w:val="none" w:sz="0" w:space="0" w:color="auto"/>
            <w:bottom w:val="none" w:sz="0" w:space="0" w:color="auto"/>
            <w:right w:val="none" w:sz="0" w:space="0" w:color="auto"/>
          </w:divBdr>
          <w:divsChild>
            <w:div w:id="17514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98727">
      <w:bodyDiv w:val="1"/>
      <w:marLeft w:val="0"/>
      <w:marRight w:val="0"/>
      <w:marTop w:val="0"/>
      <w:marBottom w:val="0"/>
      <w:divBdr>
        <w:top w:val="none" w:sz="0" w:space="0" w:color="auto"/>
        <w:left w:val="none" w:sz="0" w:space="0" w:color="auto"/>
        <w:bottom w:val="none" w:sz="0" w:space="0" w:color="auto"/>
        <w:right w:val="none" w:sz="0" w:space="0" w:color="auto"/>
      </w:divBdr>
    </w:div>
    <w:div w:id="1380128707">
      <w:bodyDiv w:val="1"/>
      <w:marLeft w:val="0"/>
      <w:marRight w:val="0"/>
      <w:marTop w:val="0"/>
      <w:marBottom w:val="0"/>
      <w:divBdr>
        <w:top w:val="none" w:sz="0" w:space="0" w:color="auto"/>
        <w:left w:val="none" w:sz="0" w:space="0" w:color="auto"/>
        <w:bottom w:val="none" w:sz="0" w:space="0" w:color="auto"/>
        <w:right w:val="none" w:sz="0" w:space="0" w:color="auto"/>
      </w:divBdr>
    </w:div>
    <w:div w:id="1596129394">
      <w:bodyDiv w:val="1"/>
      <w:marLeft w:val="0"/>
      <w:marRight w:val="0"/>
      <w:marTop w:val="0"/>
      <w:marBottom w:val="0"/>
      <w:divBdr>
        <w:top w:val="none" w:sz="0" w:space="0" w:color="auto"/>
        <w:left w:val="none" w:sz="0" w:space="0" w:color="auto"/>
        <w:bottom w:val="none" w:sz="0" w:space="0" w:color="auto"/>
        <w:right w:val="none" w:sz="0" w:space="0" w:color="auto"/>
      </w:divBdr>
    </w:div>
    <w:div w:id="1669822641">
      <w:bodyDiv w:val="1"/>
      <w:marLeft w:val="0"/>
      <w:marRight w:val="0"/>
      <w:marTop w:val="0"/>
      <w:marBottom w:val="0"/>
      <w:divBdr>
        <w:top w:val="none" w:sz="0" w:space="0" w:color="auto"/>
        <w:left w:val="none" w:sz="0" w:space="0" w:color="auto"/>
        <w:bottom w:val="none" w:sz="0" w:space="0" w:color="auto"/>
        <w:right w:val="none" w:sz="0" w:space="0" w:color="auto"/>
      </w:divBdr>
      <w:divsChild>
        <w:div w:id="1675523316">
          <w:marLeft w:val="0"/>
          <w:marRight w:val="0"/>
          <w:marTop w:val="0"/>
          <w:marBottom w:val="0"/>
          <w:divBdr>
            <w:top w:val="none" w:sz="0" w:space="0" w:color="auto"/>
            <w:left w:val="none" w:sz="0" w:space="0" w:color="auto"/>
            <w:bottom w:val="none" w:sz="0" w:space="0" w:color="auto"/>
            <w:right w:val="none" w:sz="0" w:space="0" w:color="auto"/>
          </w:divBdr>
          <w:divsChild>
            <w:div w:id="851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7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4990</Words>
  <Characters>28449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2025-10-14T10:02:00Z</dcterms:created>
  <dcterms:modified xsi:type="dcterms:W3CDTF">2025-10-14T10:16:00Z</dcterms:modified>
</cp:coreProperties>
</file>