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F657E" w14:textId="77777777" w:rsidR="006D5039" w:rsidRPr="006D5039" w:rsidRDefault="006D5039" w:rsidP="006D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5039">
        <w:rPr>
          <w:rFonts w:ascii="Times New Roman" w:eastAsia="Times New Roman" w:hAnsi="Times New Roman" w:cs="Times New Roman"/>
          <w:b/>
          <w:bCs/>
          <w:kern w:val="36"/>
          <w:sz w:val="48"/>
          <w:szCs w:val="48"/>
          <w:lang w:eastAsia="en-IN"/>
        </w:rPr>
        <w:t>1. Introduction and Strategic Context</w:t>
      </w:r>
    </w:p>
    <w:p w14:paraId="30B58EDB" w14:textId="2E733BFC"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 xml:space="preserve">The </w:t>
      </w:r>
      <w:r w:rsidRPr="006D5039">
        <w:rPr>
          <w:rFonts w:ascii="Times New Roman" w:eastAsia="Times New Roman" w:hAnsi="Times New Roman" w:cs="Times New Roman"/>
          <w:b/>
          <w:bCs/>
          <w:sz w:val="24"/>
          <w:szCs w:val="24"/>
          <w:lang w:eastAsia="en-IN"/>
        </w:rPr>
        <w:t>Global Smart Furniture Market</w:t>
      </w:r>
      <w:r w:rsidRPr="006D5039">
        <w:rPr>
          <w:rFonts w:ascii="Times New Roman" w:eastAsia="Times New Roman" w:hAnsi="Times New Roman" w:cs="Times New Roman"/>
          <w:sz w:val="24"/>
          <w:szCs w:val="24"/>
          <w:lang w:eastAsia="en-IN"/>
        </w:rPr>
        <w:t xml:space="preserve"> </w:t>
      </w:r>
      <w:r w:rsidRPr="006D5039">
        <w:rPr>
          <w:rFonts w:ascii="Times New Roman" w:eastAsia="Times New Roman" w:hAnsi="Times New Roman" w:cs="Times New Roman"/>
          <w:sz w:val="24"/>
          <w:szCs w:val="24"/>
          <w:lang w:eastAsia="en-IN"/>
        </w:rPr>
        <w:t xml:space="preserve">is projected to witness a robust </w:t>
      </w:r>
      <w:r w:rsidRPr="006D5039">
        <w:rPr>
          <w:rFonts w:ascii="Times New Roman" w:eastAsia="Times New Roman" w:hAnsi="Times New Roman" w:cs="Times New Roman"/>
          <w:b/>
          <w:bCs/>
          <w:sz w:val="24"/>
          <w:szCs w:val="24"/>
          <w:lang w:eastAsia="en-IN"/>
        </w:rPr>
        <w:t xml:space="preserve">CAGR of </w:t>
      </w:r>
      <w:r>
        <w:rPr>
          <w:rFonts w:ascii="Times New Roman" w:eastAsia="Times New Roman" w:hAnsi="Times New Roman" w:cs="Times New Roman"/>
          <w:b/>
          <w:bCs/>
          <w:sz w:val="24"/>
          <w:szCs w:val="24"/>
          <w:lang w:eastAsia="en-IN"/>
        </w:rPr>
        <w:t>12.1</w:t>
      </w:r>
      <w:r w:rsidRPr="006D5039">
        <w:rPr>
          <w:rFonts w:ascii="Times New Roman" w:eastAsia="Times New Roman" w:hAnsi="Times New Roman" w:cs="Times New Roman"/>
          <w:b/>
          <w:bCs/>
          <w:sz w:val="24"/>
          <w:szCs w:val="24"/>
          <w:lang w:eastAsia="en-IN"/>
        </w:rPr>
        <w:t>%,</w:t>
      </w:r>
      <w:r w:rsidRPr="006D5039">
        <w:rPr>
          <w:rFonts w:ascii="Times New Roman" w:eastAsia="Times New Roman" w:hAnsi="Times New Roman" w:cs="Times New Roman"/>
          <w:sz w:val="24"/>
          <w:szCs w:val="24"/>
          <w:lang w:eastAsia="en-IN"/>
        </w:rPr>
        <w:t xml:space="preserve"> valued at around </w:t>
      </w:r>
      <w:r w:rsidRPr="006D5039">
        <w:rPr>
          <w:rFonts w:ascii="Times New Roman" w:eastAsia="Times New Roman" w:hAnsi="Times New Roman" w:cs="Times New Roman"/>
          <w:b/>
          <w:bCs/>
          <w:sz w:val="24"/>
          <w:szCs w:val="24"/>
          <w:lang w:eastAsia="en-IN"/>
        </w:rPr>
        <w:t>USD 6.8 billion in 2024</w:t>
      </w:r>
      <w:r w:rsidRPr="006D5039">
        <w:rPr>
          <w:rFonts w:ascii="Times New Roman" w:eastAsia="Times New Roman" w:hAnsi="Times New Roman" w:cs="Times New Roman"/>
          <w:sz w:val="24"/>
          <w:szCs w:val="24"/>
          <w:lang w:eastAsia="en-IN"/>
        </w:rPr>
        <w:t xml:space="preserve"> and expected to reach </w:t>
      </w:r>
      <w:r w:rsidRPr="006D5039">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13.5</w:t>
      </w:r>
      <w:r w:rsidRPr="006D5039">
        <w:rPr>
          <w:rFonts w:ascii="Times New Roman" w:eastAsia="Times New Roman" w:hAnsi="Times New Roman" w:cs="Times New Roman"/>
          <w:b/>
          <w:bCs/>
          <w:sz w:val="24"/>
          <w:szCs w:val="24"/>
          <w:lang w:eastAsia="en-IN"/>
        </w:rPr>
        <w:t xml:space="preserve"> billion by 2030,</w:t>
      </w:r>
      <w:r w:rsidRPr="006D5039">
        <w:rPr>
          <w:rFonts w:ascii="Times New Roman" w:eastAsia="Times New Roman" w:hAnsi="Times New Roman" w:cs="Times New Roman"/>
          <w:sz w:val="24"/>
          <w:szCs w:val="24"/>
          <w:lang w:eastAsia="en-IN"/>
        </w:rPr>
        <w:t xml:space="preserve"> according to </w:t>
      </w:r>
      <w:r w:rsidRPr="006D5039">
        <w:rPr>
          <w:rFonts w:ascii="Times New Roman" w:eastAsia="Times New Roman" w:hAnsi="Times New Roman" w:cs="Times New Roman"/>
          <w:b/>
          <w:bCs/>
          <w:sz w:val="24"/>
          <w:szCs w:val="24"/>
          <w:lang w:eastAsia="en-IN"/>
        </w:rPr>
        <w:t>Strategic Market Research.</w:t>
      </w:r>
      <w:r w:rsidRPr="006D5039">
        <w:rPr>
          <w:rFonts w:ascii="Times New Roman" w:eastAsia="Times New Roman" w:hAnsi="Times New Roman" w:cs="Times New Roman"/>
          <w:sz w:val="24"/>
          <w:szCs w:val="24"/>
          <w:lang w:eastAsia="en-IN"/>
        </w:rPr>
        <w:t xml:space="preserve"> Smart furniture integrates technology into traditional furniture designs, offering features such as wireless charging, embedded speakers, modular IoT connectivity, ergonomic adjustments, and app-driven controls. In 2024, it is emerging as a strategic investment sector due to the convergence of technological adoption, lifestyle evolution, and increased emphasis on smart homes and workplaces.</w:t>
      </w:r>
    </w:p>
    <w:p w14:paraId="4036399B"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Macro factors are driving this market at multiple levels. On the technology front, innovations in IoT, AI integration, and embedded sensors are transforming everyday furniture into multifunctional hubs. Regulatory frameworks in developed regions are also evolving, promoting energy-efficient designs, sustainable materials, and ergonomic safety standards. Meanwhile, lifestyle changes—accelerated by remote work, digital entertainment, and urban housing trends—are boosting consumer demand for multifunctional furniture that saves space while offering advanced features.</w:t>
      </w:r>
    </w:p>
    <w:p w14:paraId="7B4CC52C"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Demographics and socio-economic shifts play a critical role. Younger, tech-savvy consumers, especially in North America, Europe, and Asia-Pacific, are seeking furniture that aligns with connected lifestyles. Urbanization trends and smaller living spaces in cities like New York, Tokyo, and Shanghai have heightened the need for modular and convertible smart furniture solutions. In parallel, corporate investments in smart office setups—featuring adjustable desks, sensor-based seating, and connected meeting spaces—are expanding the enterprise segment of this market.</w:t>
      </w:r>
    </w:p>
    <w:p w14:paraId="4B352F55"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 xml:space="preserve">Key stakeholders span across the ecosystem. Original equipment manufacturers (OEMs) are innovating with sensor-enabled desks, chairs, and storage solutions. Furniture retailers and e-commerce platforms are integrating smart offerings into their </w:t>
      </w:r>
      <w:proofErr w:type="spellStart"/>
      <w:r w:rsidRPr="006D5039">
        <w:rPr>
          <w:rFonts w:ascii="Times New Roman" w:eastAsia="Times New Roman" w:hAnsi="Times New Roman" w:cs="Times New Roman"/>
          <w:sz w:val="24"/>
          <w:szCs w:val="24"/>
          <w:lang w:eastAsia="en-IN"/>
        </w:rPr>
        <w:t>catalogs</w:t>
      </w:r>
      <w:proofErr w:type="spellEnd"/>
      <w:r w:rsidRPr="006D5039">
        <w:rPr>
          <w:rFonts w:ascii="Times New Roman" w:eastAsia="Times New Roman" w:hAnsi="Times New Roman" w:cs="Times New Roman"/>
          <w:sz w:val="24"/>
          <w:szCs w:val="24"/>
          <w:lang w:eastAsia="en-IN"/>
        </w:rPr>
        <w:t>. Technology providers supply AI, IoT platforms, and connectivity modules that enhance furniture functionality. At the same time, investors are eyeing this sector due to high adoption potential, scalable solutions, and steady consumer demand in both residential and commercial spaces.</w:t>
      </w:r>
    </w:p>
    <w:p w14:paraId="52659D94"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Strategically, smart furniture is transitioning from a niche, luxury segment to mainstream adoption. Advances in materials, lower IoT module costs, and plug-and-play connectivity solutions are enabling broader deployment. According to analysts, the market is expected to witness a blend of premium high-tech products and affordable smart modular solutions by 2030, addressing both lifestyle-focused consumers and enterprise clients. The combination of functionality, aesthetics, and digital interactivity positions smart furniture as a growth engine in the next wave of connected living.</w:t>
      </w:r>
    </w:p>
    <w:p w14:paraId="636C919A" w14:textId="77777777" w:rsidR="006D5039" w:rsidRPr="006D5039" w:rsidRDefault="006D5039" w:rsidP="006D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5039">
        <w:rPr>
          <w:rFonts w:ascii="Times New Roman" w:eastAsia="Times New Roman" w:hAnsi="Times New Roman" w:cs="Times New Roman"/>
          <w:b/>
          <w:bCs/>
          <w:kern w:val="36"/>
          <w:sz w:val="48"/>
          <w:szCs w:val="48"/>
          <w:lang w:eastAsia="en-IN"/>
        </w:rPr>
        <w:t>2. Market Segmentation and Forecast Scope</w:t>
      </w:r>
    </w:p>
    <w:p w14:paraId="571AA041"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 xml:space="preserve">The smart furniture market can be dissected across multiple dimensions, reflecting how technology integration, user preferences, and application environments shape adoption. </w:t>
      </w:r>
      <w:r w:rsidRPr="006D5039">
        <w:rPr>
          <w:rFonts w:ascii="Times New Roman" w:eastAsia="Times New Roman" w:hAnsi="Times New Roman" w:cs="Times New Roman"/>
          <w:sz w:val="24"/>
          <w:szCs w:val="24"/>
          <w:lang w:eastAsia="en-IN"/>
        </w:rPr>
        <w:lastRenderedPageBreak/>
        <w:t>Segmenting the market helps identify strategic growth pockets and tailor offerings for both residential and commercial end users.</w:t>
      </w:r>
    </w:p>
    <w:p w14:paraId="3382B940"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By Product Type</w:t>
      </w:r>
      <w:r w:rsidRPr="006D5039">
        <w:rPr>
          <w:rFonts w:ascii="Times New Roman" w:eastAsia="Times New Roman" w:hAnsi="Times New Roman" w:cs="Times New Roman"/>
          <w:sz w:val="24"/>
          <w:szCs w:val="24"/>
          <w:lang w:eastAsia="en-IN"/>
        </w:rPr>
        <w:br/>
        <w:t xml:space="preserve">Smart desks and workstations are emerging as the largest segment, driven by the surge in remote and hybrid working setups. These products often integrate height-adjustable mechanisms, wireless charging pads, and built-in USB/IoT hubs. Smart beds and sleep-focused furniture represent a rapidly growing niche, </w:t>
      </w:r>
      <w:proofErr w:type="spellStart"/>
      <w:r w:rsidRPr="006D5039">
        <w:rPr>
          <w:rFonts w:ascii="Times New Roman" w:eastAsia="Times New Roman" w:hAnsi="Times New Roman" w:cs="Times New Roman"/>
          <w:sz w:val="24"/>
          <w:szCs w:val="24"/>
          <w:lang w:eastAsia="en-IN"/>
        </w:rPr>
        <w:t>fueled</w:t>
      </w:r>
      <w:proofErr w:type="spellEnd"/>
      <w:r w:rsidRPr="006D5039">
        <w:rPr>
          <w:rFonts w:ascii="Times New Roman" w:eastAsia="Times New Roman" w:hAnsi="Times New Roman" w:cs="Times New Roman"/>
          <w:sz w:val="24"/>
          <w:szCs w:val="24"/>
          <w:lang w:eastAsia="en-IN"/>
        </w:rPr>
        <w:t xml:space="preserve"> by increasing health awareness, sleep tracking technologies, and connected wellness ecosystems. Smart seating—ranging from chairs to recliners—offers ergonomic support combined with connectivity features like embedded speakers or haptic feedback, catering to home offices and entertainment setups. Modular smart storage units and tables with app-controlled adjustments are also expanding, particularly in compact urban dwellings where multifunctional furniture is essential.</w:t>
      </w:r>
    </w:p>
    <w:p w14:paraId="3909ABB6"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By Application</w:t>
      </w:r>
      <w:r w:rsidRPr="006D5039">
        <w:rPr>
          <w:rFonts w:ascii="Times New Roman" w:eastAsia="Times New Roman" w:hAnsi="Times New Roman" w:cs="Times New Roman"/>
          <w:sz w:val="24"/>
          <w:szCs w:val="24"/>
          <w:lang w:eastAsia="en-IN"/>
        </w:rPr>
        <w:br/>
        <w:t>Residential applications dominate, accounting for roughly 58% of the market in 2024. Growing interest in smart homes, IoT integration, and lifestyle-oriented living solutions is driving uptake. Within residential, multifunctional furniture for apartments and small homes is the fastest-growing sub-segment. Commercial applications, including offices, co-working spaces, and hospitality, are capturing increasing attention as enterprises seek ergonomic and connected furniture solutions to boost employee productivity and enhance customer experiences. Health and wellness facilities are also integrating smart furniture, particularly adjustable seating and sleep-monitoring beds, though this remains a smaller portion of the overall market.</w:t>
      </w:r>
    </w:p>
    <w:p w14:paraId="430D2854"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By End User</w:t>
      </w:r>
      <w:r w:rsidRPr="006D5039">
        <w:rPr>
          <w:rFonts w:ascii="Times New Roman" w:eastAsia="Times New Roman" w:hAnsi="Times New Roman" w:cs="Times New Roman"/>
          <w:sz w:val="24"/>
          <w:szCs w:val="24"/>
          <w:lang w:eastAsia="en-IN"/>
        </w:rPr>
        <w:br/>
        <w:t>Consumers are the primary end users, led by urban millennials and Gen Z households prioritizing convenience, aesthetics, and connectivity. Enterprises constitute a growing share, with offices, co-working spaces, and smart hotels adopting IoT-enabled furniture to improve operational efficiency and user experience. Educational institutions are beginning to experiment with smart desks and chairs that track posture and facilitate interactive learning, representing an emerging opportunity for vendors.</w:t>
      </w:r>
    </w:p>
    <w:p w14:paraId="6AD0F5BB"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By Region</w:t>
      </w:r>
      <w:r w:rsidRPr="006D5039">
        <w:rPr>
          <w:rFonts w:ascii="Times New Roman" w:eastAsia="Times New Roman" w:hAnsi="Times New Roman" w:cs="Times New Roman"/>
          <w:sz w:val="24"/>
          <w:szCs w:val="24"/>
          <w:lang w:eastAsia="en-IN"/>
        </w:rPr>
        <w:br/>
        <w:t xml:space="preserve">North America leads in market adoption, owing to high disposable incomes, rapid technology penetration, and widespread awareness of smart home solutions. Europe is following closely, driven by urbanization, energy-efficient design mandates, and government-backed smart building initiatives. Asia-Pacific is projected to register the fastest growth, </w:t>
      </w:r>
      <w:proofErr w:type="spellStart"/>
      <w:r w:rsidRPr="006D5039">
        <w:rPr>
          <w:rFonts w:ascii="Times New Roman" w:eastAsia="Times New Roman" w:hAnsi="Times New Roman" w:cs="Times New Roman"/>
          <w:sz w:val="24"/>
          <w:szCs w:val="24"/>
          <w:lang w:eastAsia="en-IN"/>
        </w:rPr>
        <w:t>fueled</w:t>
      </w:r>
      <w:proofErr w:type="spellEnd"/>
      <w:r w:rsidRPr="006D5039">
        <w:rPr>
          <w:rFonts w:ascii="Times New Roman" w:eastAsia="Times New Roman" w:hAnsi="Times New Roman" w:cs="Times New Roman"/>
          <w:sz w:val="24"/>
          <w:szCs w:val="24"/>
          <w:lang w:eastAsia="en-IN"/>
        </w:rPr>
        <w:t xml:space="preserve"> by increasing urban populations, rising tech-savvy middle-class consumers, and expansions in smart office infrastructure in countries like China, India, and Japan. LAMEA (Latin America, Middle East &amp; Africa) remains underpenetrated but presents significant future potential, particularly in urban residential developments and premium commercial projects.</w:t>
      </w:r>
    </w:p>
    <w:p w14:paraId="6D6FF141"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Overall, the segmentation highlights both established and emerging growth avenues, emphasizing smart desks, residential applications, and the North American and Asia-Pacific regions as strategic focal points for vendors seeking sustainable expansion in the 2024–2030 horizon.</w:t>
      </w:r>
    </w:p>
    <w:p w14:paraId="0C956328" w14:textId="77777777" w:rsidR="006D5039" w:rsidRPr="006D5039" w:rsidRDefault="006D5039" w:rsidP="006D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5039">
        <w:rPr>
          <w:rFonts w:ascii="Times New Roman" w:eastAsia="Times New Roman" w:hAnsi="Times New Roman" w:cs="Times New Roman"/>
          <w:b/>
          <w:bCs/>
          <w:kern w:val="36"/>
          <w:sz w:val="48"/>
          <w:szCs w:val="48"/>
          <w:lang w:eastAsia="en-IN"/>
        </w:rPr>
        <w:lastRenderedPageBreak/>
        <w:t>3. Market Trends and Innovation Landscape</w:t>
      </w:r>
    </w:p>
    <w:p w14:paraId="5A09A5B5"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The smart furniture market is at the intersection of traditional craftsmanship and cutting-edge technology. Innovations over the past few years have transformed furniture from static objects into interactive, multifunctional assets that cater to modern lifestyles. Key trends shaping the market revolve around IoT integration, sustainability, AI-driven personalization, and ergonomic optimization.</w:t>
      </w:r>
    </w:p>
    <w:p w14:paraId="3F270917"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IoT and Connectivity</w:t>
      </w:r>
      <w:r w:rsidRPr="006D5039">
        <w:rPr>
          <w:rFonts w:ascii="Times New Roman" w:eastAsia="Times New Roman" w:hAnsi="Times New Roman" w:cs="Times New Roman"/>
          <w:sz w:val="24"/>
          <w:szCs w:val="24"/>
          <w:lang w:eastAsia="en-IN"/>
        </w:rPr>
        <w:br/>
        <w:t>Embedded sensors, wireless charging, and app-controlled adjustments are becoming standard in smart furniture. IoT-enabled desks can monitor usage patterns, adjust height automatically, and even communicate with smart lighting or HVAC systems. AI-driven sleep beds track heart rate, breathing, and sleep cycles, offering actionable insights through connected apps. Connectivity not only enhances convenience but also provides data analytics for enterprises seeking productivity optimization or wellness insights in commercial setups.</w:t>
      </w:r>
    </w:p>
    <w:p w14:paraId="57948641"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Sustainability and Advanced Materials</w:t>
      </w:r>
      <w:r w:rsidRPr="006D5039">
        <w:rPr>
          <w:rFonts w:ascii="Times New Roman" w:eastAsia="Times New Roman" w:hAnsi="Times New Roman" w:cs="Times New Roman"/>
          <w:sz w:val="24"/>
          <w:szCs w:val="24"/>
          <w:lang w:eastAsia="en-IN"/>
        </w:rPr>
        <w:br/>
        <w:t>Vendors are increasingly incorporating eco-friendly and durable materials in smart furniture. Recycled plastics, responsibly sourced wood, and lightweight metal alloys are becoming more prevalent. These materials not only reduce the environmental footprint but also allow for more modular and mobile designs. For instance, modular smart storage units often employ lightweight composite materials that enable easy reconfiguration in urban apartments or offices.</w:t>
      </w:r>
    </w:p>
    <w:p w14:paraId="77EF4FB7"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Ergonomics and Personalized Experiences</w:t>
      </w:r>
      <w:r w:rsidRPr="006D5039">
        <w:rPr>
          <w:rFonts w:ascii="Times New Roman" w:eastAsia="Times New Roman" w:hAnsi="Times New Roman" w:cs="Times New Roman"/>
          <w:sz w:val="24"/>
          <w:szCs w:val="24"/>
          <w:lang w:eastAsia="en-IN"/>
        </w:rPr>
        <w:br/>
        <w:t>Smart furniture now addresses health and comfort more proactively. AI-enabled ergonomic chairs adjust lumbar support based on user posture. Height-adjustable desks can remember individual user preferences across multiple users in shared workspaces. Sleep-tracking beds adjust firmness or temperature automatically to improve rest quality. In corporate environments, connected seating and workstations help reduce musculoskeletal strain, enhance productivity, and provide wellness data for human resource programs.</w:t>
      </w:r>
    </w:p>
    <w:p w14:paraId="32D21319"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AI and Predictive Features</w:t>
      </w:r>
      <w:r w:rsidRPr="006D5039">
        <w:rPr>
          <w:rFonts w:ascii="Times New Roman" w:eastAsia="Times New Roman" w:hAnsi="Times New Roman" w:cs="Times New Roman"/>
          <w:sz w:val="24"/>
          <w:szCs w:val="24"/>
          <w:lang w:eastAsia="en-IN"/>
        </w:rPr>
        <w:br/>
        <w:t xml:space="preserve">Artificial intelligence is increasingly integrated into smart furniture, not just for personalization but also predictive maintenance and optimization. For example, smart desks can anticipate usage patterns and suggest posture adjustments or alert users when breaks are needed. In the home segment, smart beds or sofas can provide insights on sleep quality and recommend adjustments to optimize comfort. AI algorithms are also being used to predict furniture wear and performance, enabling </w:t>
      </w:r>
      <w:proofErr w:type="spellStart"/>
      <w:r w:rsidRPr="006D5039">
        <w:rPr>
          <w:rFonts w:ascii="Times New Roman" w:eastAsia="Times New Roman" w:hAnsi="Times New Roman" w:cs="Times New Roman"/>
          <w:sz w:val="24"/>
          <w:szCs w:val="24"/>
          <w:lang w:eastAsia="en-IN"/>
        </w:rPr>
        <w:t>preemptive</w:t>
      </w:r>
      <w:proofErr w:type="spellEnd"/>
      <w:r w:rsidRPr="006D5039">
        <w:rPr>
          <w:rFonts w:ascii="Times New Roman" w:eastAsia="Times New Roman" w:hAnsi="Times New Roman" w:cs="Times New Roman"/>
          <w:sz w:val="24"/>
          <w:szCs w:val="24"/>
          <w:lang w:eastAsia="en-IN"/>
        </w:rPr>
        <w:t xml:space="preserve"> service and enhancing product longevity.</w:t>
      </w:r>
    </w:p>
    <w:p w14:paraId="4033640C"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Collaboration and Partnerships</w:t>
      </w:r>
      <w:r w:rsidRPr="006D5039">
        <w:rPr>
          <w:rFonts w:ascii="Times New Roman" w:eastAsia="Times New Roman" w:hAnsi="Times New Roman" w:cs="Times New Roman"/>
          <w:sz w:val="24"/>
          <w:szCs w:val="24"/>
          <w:lang w:eastAsia="en-IN"/>
        </w:rPr>
        <w:br/>
        <w:t>Innovation is often accelerated through partnerships. Furniture OEMs are collaborating with IoT solution providers, AI developers, and lifestyle tech companies to create holistic smart furniture ecosystems. For example, some smart furniture lines now integrate with voice assistants, home automation platforms, and wellness apps, providing seamless user experiences.</w:t>
      </w:r>
    </w:p>
    <w:p w14:paraId="0E920285"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lastRenderedPageBreak/>
        <w:t>Emerging Design Trends</w:t>
      </w:r>
      <w:r w:rsidRPr="006D5039">
        <w:rPr>
          <w:rFonts w:ascii="Times New Roman" w:eastAsia="Times New Roman" w:hAnsi="Times New Roman" w:cs="Times New Roman"/>
          <w:sz w:val="24"/>
          <w:szCs w:val="24"/>
          <w:lang w:eastAsia="en-IN"/>
        </w:rPr>
        <w:br/>
        <w:t xml:space="preserve">Compact, multifunctional furniture is increasingly in demand due to urbanization and smaller living spaces. Foldable smart desks, convertible seating, and storage-integrated tables are gaining popularity. Additionally, aesthetics </w:t>
      </w:r>
      <w:proofErr w:type="gramStart"/>
      <w:r w:rsidRPr="006D5039">
        <w:rPr>
          <w:rFonts w:ascii="Times New Roman" w:eastAsia="Times New Roman" w:hAnsi="Times New Roman" w:cs="Times New Roman"/>
          <w:sz w:val="24"/>
          <w:szCs w:val="24"/>
          <w:lang w:eastAsia="en-IN"/>
        </w:rPr>
        <w:t>are</w:t>
      </w:r>
      <w:proofErr w:type="gramEnd"/>
      <w:r w:rsidRPr="006D5039">
        <w:rPr>
          <w:rFonts w:ascii="Times New Roman" w:eastAsia="Times New Roman" w:hAnsi="Times New Roman" w:cs="Times New Roman"/>
          <w:sz w:val="24"/>
          <w:szCs w:val="24"/>
          <w:lang w:eastAsia="en-IN"/>
        </w:rPr>
        <w:t xml:space="preserve"> no longer secondary; modern consumers expect technology-enabled furniture to complement interior design seamlessly. Transparent materials, sleek finishes, and minimalistic designs are now paired with advanced functionality.</w:t>
      </w:r>
    </w:p>
    <w:p w14:paraId="127759D9"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In summary, the innovation landscape of smart furniture is dynamic and multidimensional. Success in this market depends on blending advanced technology, sustainable design, ergonomic principles, and aesthetic appeal. According to industry observers, the next wave will see furniture fully integrated into connected homes and offices, offering predictive, personalized, and adaptive functionalities that enhance both comfort and productivity.</w:t>
      </w:r>
    </w:p>
    <w:p w14:paraId="50C441DB" w14:textId="77777777" w:rsidR="006D5039" w:rsidRPr="006D5039" w:rsidRDefault="006D5039" w:rsidP="006D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5039">
        <w:rPr>
          <w:rFonts w:ascii="Times New Roman" w:eastAsia="Times New Roman" w:hAnsi="Times New Roman" w:cs="Times New Roman"/>
          <w:b/>
          <w:bCs/>
          <w:kern w:val="36"/>
          <w:sz w:val="48"/>
          <w:szCs w:val="48"/>
          <w:lang w:eastAsia="en-IN"/>
        </w:rPr>
        <w:t>4. Competitive Intelligence and Benchmarking</w:t>
      </w:r>
    </w:p>
    <w:p w14:paraId="141F5C68"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 xml:space="preserve">The smart furniture market is moderately consolidated, with a mix of traditional furniture manufacturers, tech-forward </w:t>
      </w:r>
      <w:proofErr w:type="spellStart"/>
      <w:r w:rsidRPr="006D5039">
        <w:rPr>
          <w:rFonts w:ascii="Times New Roman" w:eastAsia="Times New Roman" w:hAnsi="Times New Roman" w:cs="Times New Roman"/>
          <w:sz w:val="24"/>
          <w:szCs w:val="24"/>
          <w:lang w:eastAsia="en-IN"/>
        </w:rPr>
        <w:t>startups</w:t>
      </w:r>
      <w:proofErr w:type="spellEnd"/>
      <w:r w:rsidRPr="006D5039">
        <w:rPr>
          <w:rFonts w:ascii="Times New Roman" w:eastAsia="Times New Roman" w:hAnsi="Times New Roman" w:cs="Times New Roman"/>
          <w:sz w:val="24"/>
          <w:szCs w:val="24"/>
          <w:lang w:eastAsia="en-IN"/>
        </w:rPr>
        <w:t>, and integrated lifestyle solution providers competing for market share. The competitive landscape is shaped by innovation, ecosystem integration, pricing strategies, and regional presence.</w:t>
      </w:r>
    </w:p>
    <w:p w14:paraId="1228C033"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Herman Miller</w:t>
      </w:r>
      <w:r w:rsidRPr="006D5039">
        <w:rPr>
          <w:rFonts w:ascii="Times New Roman" w:eastAsia="Times New Roman" w:hAnsi="Times New Roman" w:cs="Times New Roman"/>
          <w:sz w:val="24"/>
          <w:szCs w:val="24"/>
          <w:lang w:eastAsia="en-IN"/>
        </w:rPr>
        <w:br/>
        <w:t xml:space="preserve">Herman Miller continues to lead in the premium segment with ergonomically advanced smart office furniture. The company leverages AI and IoT to create responsive workstations that adapt to user </w:t>
      </w:r>
      <w:proofErr w:type="spellStart"/>
      <w:r w:rsidRPr="006D5039">
        <w:rPr>
          <w:rFonts w:ascii="Times New Roman" w:eastAsia="Times New Roman" w:hAnsi="Times New Roman" w:cs="Times New Roman"/>
          <w:sz w:val="24"/>
          <w:szCs w:val="24"/>
          <w:lang w:eastAsia="en-IN"/>
        </w:rPr>
        <w:t>behavior</w:t>
      </w:r>
      <w:proofErr w:type="spellEnd"/>
      <w:r w:rsidRPr="006D5039">
        <w:rPr>
          <w:rFonts w:ascii="Times New Roman" w:eastAsia="Times New Roman" w:hAnsi="Times New Roman" w:cs="Times New Roman"/>
          <w:sz w:val="24"/>
          <w:szCs w:val="24"/>
          <w:lang w:eastAsia="en-IN"/>
        </w:rPr>
        <w:t>. Their strategy combines high-end design with predictive analytics, targeting corporate offices and co-working spaces in North America and Europe. Strategic partnerships with technology companies have strengthened their portfolio in connected office solutions.</w:t>
      </w:r>
    </w:p>
    <w:p w14:paraId="406223C4"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Steelcase</w:t>
      </w:r>
      <w:r w:rsidRPr="006D5039">
        <w:rPr>
          <w:rFonts w:ascii="Times New Roman" w:eastAsia="Times New Roman" w:hAnsi="Times New Roman" w:cs="Times New Roman"/>
          <w:sz w:val="24"/>
          <w:szCs w:val="24"/>
          <w:lang w:eastAsia="en-IN"/>
        </w:rPr>
        <w:br/>
      </w:r>
      <w:proofErr w:type="spellStart"/>
      <w:r w:rsidRPr="006D5039">
        <w:rPr>
          <w:rFonts w:ascii="Times New Roman" w:eastAsia="Times New Roman" w:hAnsi="Times New Roman" w:cs="Times New Roman"/>
          <w:sz w:val="24"/>
          <w:szCs w:val="24"/>
          <w:lang w:eastAsia="en-IN"/>
        </w:rPr>
        <w:t>Steelcase</w:t>
      </w:r>
      <w:proofErr w:type="spellEnd"/>
      <w:r w:rsidRPr="006D5039">
        <w:rPr>
          <w:rFonts w:ascii="Times New Roman" w:eastAsia="Times New Roman" w:hAnsi="Times New Roman" w:cs="Times New Roman"/>
          <w:sz w:val="24"/>
          <w:szCs w:val="24"/>
          <w:lang w:eastAsia="en-IN"/>
        </w:rPr>
        <w:t xml:space="preserve"> emphasizes smart office solutions with a focus on wellness and productivity. Their furniture integrates sensors and analytics to optimize workspace usage, providing insights on employee engagement and ergonomics. Steelcase has expanded in Europe and Asia-Pacific through collaborations with technology partners, positioning itself as a leader in enterprise-focused smart furniture.</w:t>
      </w:r>
    </w:p>
    <w:p w14:paraId="1002FBBC"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IKEA</w:t>
      </w:r>
      <w:r w:rsidRPr="006D5039">
        <w:rPr>
          <w:rFonts w:ascii="Times New Roman" w:eastAsia="Times New Roman" w:hAnsi="Times New Roman" w:cs="Times New Roman"/>
          <w:sz w:val="24"/>
          <w:szCs w:val="24"/>
          <w:lang w:eastAsia="en-IN"/>
        </w:rPr>
        <w:br/>
      </w:r>
      <w:proofErr w:type="spellStart"/>
      <w:r w:rsidRPr="006D5039">
        <w:rPr>
          <w:rFonts w:ascii="Times New Roman" w:eastAsia="Times New Roman" w:hAnsi="Times New Roman" w:cs="Times New Roman"/>
          <w:sz w:val="24"/>
          <w:szCs w:val="24"/>
          <w:lang w:eastAsia="en-IN"/>
        </w:rPr>
        <w:t>IKEA</w:t>
      </w:r>
      <w:proofErr w:type="spellEnd"/>
      <w:r w:rsidRPr="006D5039">
        <w:rPr>
          <w:rFonts w:ascii="Times New Roman" w:eastAsia="Times New Roman" w:hAnsi="Times New Roman" w:cs="Times New Roman"/>
          <w:sz w:val="24"/>
          <w:szCs w:val="24"/>
          <w:lang w:eastAsia="en-IN"/>
        </w:rPr>
        <w:t xml:space="preserve">, traditionally a mass-market furniture provider, is entering the smart furniture space through modular and app-enabled offerings. Their strategy focuses on affordability and accessibility, appealing to residential users globally. Innovations include smart storage systems, desks with wireless charging, and modular seating solutions. Collaborations with tech </w:t>
      </w:r>
      <w:proofErr w:type="spellStart"/>
      <w:r w:rsidRPr="006D5039">
        <w:rPr>
          <w:rFonts w:ascii="Times New Roman" w:eastAsia="Times New Roman" w:hAnsi="Times New Roman" w:cs="Times New Roman"/>
          <w:sz w:val="24"/>
          <w:szCs w:val="24"/>
          <w:lang w:eastAsia="en-IN"/>
        </w:rPr>
        <w:t>startups</w:t>
      </w:r>
      <w:proofErr w:type="spellEnd"/>
      <w:r w:rsidRPr="006D5039">
        <w:rPr>
          <w:rFonts w:ascii="Times New Roman" w:eastAsia="Times New Roman" w:hAnsi="Times New Roman" w:cs="Times New Roman"/>
          <w:sz w:val="24"/>
          <w:szCs w:val="24"/>
          <w:lang w:eastAsia="en-IN"/>
        </w:rPr>
        <w:t xml:space="preserve"> enhance their connectivity and functionality offerings, particularly in urban and compact living segments.</w:t>
      </w:r>
    </w:p>
    <w:p w14:paraId="5D80137E"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Haworth</w:t>
      </w:r>
      <w:r w:rsidRPr="006D5039">
        <w:rPr>
          <w:rFonts w:ascii="Times New Roman" w:eastAsia="Times New Roman" w:hAnsi="Times New Roman" w:cs="Times New Roman"/>
          <w:sz w:val="24"/>
          <w:szCs w:val="24"/>
          <w:lang w:eastAsia="en-IN"/>
        </w:rPr>
        <w:br/>
      </w:r>
      <w:proofErr w:type="spellStart"/>
      <w:r w:rsidRPr="006D5039">
        <w:rPr>
          <w:rFonts w:ascii="Times New Roman" w:eastAsia="Times New Roman" w:hAnsi="Times New Roman" w:cs="Times New Roman"/>
          <w:sz w:val="24"/>
          <w:szCs w:val="24"/>
          <w:lang w:eastAsia="en-IN"/>
        </w:rPr>
        <w:t>Haworth</w:t>
      </w:r>
      <w:proofErr w:type="spellEnd"/>
      <w:r w:rsidRPr="006D5039">
        <w:rPr>
          <w:rFonts w:ascii="Times New Roman" w:eastAsia="Times New Roman" w:hAnsi="Times New Roman" w:cs="Times New Roman"/>
          <w:sz w:val="24"/>
          <w:szCs w:val="24"/>
          <w:lang w:eastAsia="en-IN"/>
        </w:rPr>
        <w:t xml:space="preserve"> targets both commercial and residential markets with adaptive workspaces and multi-functional furniture. They prioritize sustainable materials and integrate smart sensors </w:t>
      </w:r>
      <w:r w:rsidRPr="006D5039">
        <w:rPr>
          <w:rFonts w:ascii="Times New Roman" w:eastAsia="Times New Roman" w:hAnsi="Times New Roman" w:cs="Times New Roman"/>
          <w:sz w:val="24"/>
          <w:szCs w:val="24"/>
          <w:lang w:eastAsia="en-IN"/>
        </w:rPr>
        <w:lastRenderedPageBreak/>
        <w:t>for activity tracking, height adjustments, and environmental monitoring. Their approach emphasizes corporate wellness programs and connected office ecosystems, especially in North America and Europe.</w:t>
      </w:r>
    </w:p>
    <w:p w14:paraId="1578AB75"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Xiaomi</w:t>
      </w:r>
      <w:r w:rsidRPr="006D5039">
        <w:rPr>
          <w:rFonts w:ascii="Times New Roman" w:eastAsia="Times New Roman" w:hAnsi="Times New Roman" w:cs="Times New Roman"/>
          <w:sz w:val="24"/>
          <w:szCs w:val="24"/>
          <w:lang w:eastAsia="en-IN"/>
        </w:rPr>
        <w:br/>
      </w:r>
      <w:proofErr w:type="spellStart"/>
      <w:r w:rsidRPr="006D5039">
        <w:rPr>
          <w:rFonts w:ascii="Times New Roman" w:eastAsia="Times New Roman" w:hAnsi="Times New Roman" w:cs="Times New Roman"/>
          <w:sz w:val="24"/>
          <w:szCs w:val="24"/>
          <w:lang w:eastAsia="en-IN"/>
        </w:rPr>
        <w:t>Xiaomi</w:t>
      </w:r>
      <w:proofErr w:type="spellEnd"/>
      <w:r w:rsidRPr="006D5039">
        <w:rPr>
          <w:rFonts w:ascii="Times New Roman" w:eastAsia="Times New Roman" w:hAnsi="Times New Roman" w:cs="Times New Roman"/>
          <w:sz w:val="24"/>
          <w:szCs w:val="24"/>
          <w:lang w:eastAsia="en-IN"/>
        </w:rPr>
        <w:t xml:space="preserve"> has entered the smart furniture market primarily in the Asia-Pacific region, leveraging its IoT ecosystem. Their furniture includes smart beds, tables, and storage units that connect with smartphones and home automation platforms. Xiaomi’s competitive edge lies in affordability combined with robust digital integration, appealing to tech-savvy younger consumers in urban </w:t>
      </w:r>
      <w:proofErr w:type="spellStart"/>
      <w:r w:rsidRPr="006D5039">
        <w:rPr>
          <w:rFonts w:ascii="Times New Roman" w:eastAsia="Times New Roman" w:hAnsi="Times New Roman" w:cs="Times New Roman"/>
          <w:sz w:val="24"/>
          <w:szCs w:val="24"/>
          <w:lang w:eastAsia="en-IN"/>
        </w:rPr>
        <w:t>centers</w:t>
      </w:r>
      <w:proofErr w:type="spellEnd"/>
      <w:r w:rsidRPr="006D5039">
        <w:rPr>
          <w:rFonts w:ascii="Times New Roman" w:eastAsia="Times New Roman" w:hAnsi="Times New Roman" w:cs="Times New Roman"/>
          <w:sz w:val="24"/>
          <w:szCs w:val="24"/>
          <w:lang w:eastAsia="en-IN"/>
        </w:rPr>
        <w:t>.</w:t>
      </w:r>
    </w:p>
    <w:p w14:paraId="51566372"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FLEXISPOT</w:t>
      </w:r>
      <w:r w:rsidRPr="006D5039">
        <w:rPr>
          <w:rFonts w:ascii="Times New Roman" w:eastAsia="Times New Roman" w:hAnsi="Times New Roman" w:cs="Times New Roman"/>
          <w:sz w:val="24"/>
          <w:szCs w:val="24"/>
          <w:lang w:eastAsia="en-IN"/>
        </w:rPr>
        <w:br/>
      </w:r>
      <w:proofErr w:type="spellStart"/>
      <w:r w:rsidRPr="006D5039">
        <w:rPr>
          <w:rFonts w:ascii="Times New Roman" w:eastAsia="Times New Roman" w:hAnsi="Times New Roman" w:cs="Times New Roman"/>
          <w:sz w:val="24"/>
          <w:szCs w:val="24"/>
          <w:lang w:eastAsia="en-IN"/>
        </w:rPr>
        <w:t>FLEXISPOT</w:t>
      </w:r>
      <w:proofErr w:type="spellEnd"/>
      <w:r w:rsidRPr="006D5039">
        <w:rPr>
          <w:rFonts w:ascii="Times New Roman" w:eastAsia="Times New Roman" w:hAnsi="Times New Roman" w:cs="Times New Roman"/>
          <w:sz w:val="24"/>
          <w:szCs w:val="24"/>
          <w:lang w:eastAsia="en-IN"/>
        </w:rPr>
        <w:t xml:space="preserve"> focuses on ergonomic, connected furniture for home offices and small enterprises. Their adjustable desks and smart seating incorporate height sensors, wireless charging, and AI-driven posture recommendations. FLEXISPOT’s competitive strategy is affordability, modularity, and direct-to-consumer online distribution, allowing rapid scaling in North America and Asia.</w:t>
      </w:r>
    </w:p>
    <w:p w14:paraId="7A31F23D"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Key Competitive Dynamics</w:t>
      </w:r>
      <w:r w:rsidRPr="006D5039">
        <w:rPr>
          <w:rFonts w:ascii="Times New Roman" w:eastAsia="Times New Roman" w:hAnsi="Times New Roman" w:cs="Times New Roman"/>
          <w:sz w:val="24"/>
          <w:szCs w:val="24"/>
          <w:lang w:eastAsia="en-IN"/>
        </w:rPr>
        <w:br/>
        <w:t>The market is increasingly driven by ecosystem integration rather than individual product features. Companies that combine ergonomic design, IoT connectivity, AI-driven personalization, and aesthetic appeal hold the competitive edge. Premium players dominate corporate and high-income residential segments, while tech-integrated, affordable solutions are growing rapidly in emerging markets. Strategic alliances with AI and IoT firms are critical for long-term differentiation.</w:t>
      </w:r>
    </w:p>
    <w:p w14:paraId="69270897"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To summarize, smart furniture competition is a balance of design, technology, and consumer experience. Leaders are those who can seamlessly blend functionality with style while leveraging digital tools for predictive, connected, and adaptive furniture solutions.</w:t>
      </w:r>
    </w:p>
    <w:p w14:paraId="33B00BCB" w14:textId="77777777" w:rsidR="006D5039" w:rsidRPr="006D5039" w:rsidRDefault="006D5039" w:rsidP="006D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5039">
        <w:rPr>
          <w:rFonts w:ascii="Times New Roman" w:eastAsia="Times New Roman" w:hAnsi="Times New Roman" w:cs="Times New Roman"/>
          <w:b/>
          <w:bCs/>
          <w:kern w:val="36"/>
          <w:sz w:val="48"/>
          <w:szCs w:val="48"/>
          <w:lang w:eastAsia="en-IN"/>
        </w:rPr>
        <w:t>5. Regional Landscape and Adoption Outlook</w:t>
      </w:r>
    </w:p>
    <w:p w14:paraId="03C13933"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The adoption and growth of smart furniture vary significantly across regions, influenced by technology penetration, urbanization, regulatory frameworks, and cultural acceptance of connected lifestyles. Regional trends reveal both mature markets with established infrastructure and emerging markets offering high growth potential.</w:t>
      </w:r>
    </w:p>
    <w:p w14:paraId="26BC13D3"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North America</w:t>
      </w:r>
      <w:r w:rsidRPr="006D5039">
        <w:rPr>
          <w:rFonts w:ascii="Times New Roman" w:eastAsia="Times New Roman" w:hAnsi="Times New Roman" w:cs="Times New Roman"/>
          <w:sz w:val="24"/>
          <w:szCs w:val="24"/>
          <w:lang w:eastAsia="en-IN"/>
        </w:rPr>
        <w:br/>
        <w:t>North America remains the most mature market for smart furniture. High disposable incomes, advanced IoT adoption, and a strong culture of ergonomic awareness drive residential and commercial demand. Offices and co-working spaces are leading adopters, integrating connected desks, sensor-based seating, and collaborative workstations. The U.S. is the primary hub, with Canada following closely. Government regulations promoting workplace wellness and safety standards further support adoption. Suburban residential markets are witnessing a surge in compact, multifunctional smart furniture as remote and hybrid work arrangements continue to grow.</w:t>
      </w:r>
    </w:p>
    <w:p w14:paraId="18514545"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lastRenderedPageBreak/>
        <w:t>Europe</w:t>
      </w:r>
      <w:r w:rsidRPr="006D5039">
        <w:rPr>
          <w:rFonts w:ascii="Times New Roman" w:eastAsia="Times New Roman" w:hAnsi="Times New Roman" w:cs="Times New Roman"/>
          <w:sz w:val="24"/>
          <w:szCs w:val="24"/>
          <w:lang w:eastAsia="en-IN"/>
        </w:rPr>
        <w:br/>
      </w:r>
      <w:proofErr w:type="spellStart"/>
      <w:r w:rsidRPr="006D5039">
        <w:rPr>
          <w:rFonts w:ascii="Times New Roman" w:eastAsia="Times New Roman" w:hAnsi="Times New Roman" w:cs="Times New Roman"/>
          <w:sz w:val="24"/>
          <w:szCs w:val="24"/>
          <w:lang w:eastAsia="en-IN"/>
        </w:rPr>
        <w:t>Europe</w:t>
      </w:r>
      <w:proofErr w:type="spellEnd"/>
      <w:r w:rsidRPr="006D5039">
        <w:rPr>
          <w:rFonts w:ascii="Times New Roman" w:eastAsia="Times New Roman" w:hAnsi="Times New Roman" w:cs="Times New Roman"/>
          <w:sz w:val="24"/>
          <w:szCs w:val="24"/>
          <w:lang w:eastAsia="en-IN"/>
        </w:rPr>
        <w:t xml:space="preserve"> reflects a balance between technology adoption and sustainability focus. Countries such as Germany, the UK, and France are spearheading office and residential smart furniture uptake. Regulatory mandates for energy efficiency, environmental sustainability, and ergonomic standards accelerate the adoption of smart solutions. Public awareness campaigns and initiatives promoting healthy workplaces further encourage enterprises to invest in connected furniture solutions. Eastern European markets are catching up, with urban residential developments driving the introduction of modular and multifunctional smart furniture.</w:t>
      </w:r>
    </w:p>
    <w:p w14:paraId="00DB23B7"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Asia-Pacific</w:t>
      </w:r>
      <w:r w:rsidRPr="006D5039">
        <w:rPr>
          <w:rFonts w:ascii="Times New Roman" w:eastAsia="Times New Roman" w:hAnsi="Times New Roman" w:cs="Times New Roman"/>
          <w:sz w:val="24"/>
          <w:szCs w:val="24"/>
          <w:lang w:eastAsia="en-IN"/>
        </w:rPr>
        <w:br/>
      </w:r>
      <w:proofErr w:type="spellStart"/>
      <w:r w:rsidRPr="006D5039">
        <w:rPr>
          <w:rFonts w:ascii="Times New Roman" w:eastAsia="Times New Roman" w:hAnsi="Times New Roman" w:cs="Times New Roman"/>
          <w:sz w:val="24"/>
          <w:szCs w:val="24"/>
          <w:lang w:eastAsia="en-IN"/>
        </w:rPr>
        <w:t>Asia-Pacific</w:t>
      </w:r>
      <w:proofErr w:type="spellEnd"/>
      <w:r w:rsidRPr="006D5039">
        <w:rPr>
          <w:rFonts w:ascii="Times New Roman" w:eastAsia="Times New Roman" w:hAnsi="Times New Roman" w:cs="Times New Roman"/>
          <w:sz w:val="24"/>
          <w:szCs w:val="24"/>
          <w:lang w:eastAsia="en-IN"/>
        </w:rPr>
        <w:t xml:space="preserve"> is the fastest-growing region in the smart furniture market. Rapid urbanization, increasing disposable incomes, and the rise of tech-savvy consumers are driving both residential and commercial adoption. China and India are witnessing extensive growth in smart office infrastructure and high-density urban housing projects, where space-saving multifunctional furniture is in high demand. Japan and South Korea are leading in technology-intensive designs, including AI-enabled beds and ergonomically optimized desks integrated into smart home ecosystems. However, adoption remains uneven, with tier-2 cities gradually catching up due to awareness and affordability challenges.</w:t>
      </w:r>
    </w:p>
    <w:p w14:paraId="71F5C712"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LAMEA (Latin America, Middle East, and Africa)</w:t>
      </w:r>
      <w:r w:rsidRPr="006D5039">
        <w:rPr>
          <w:rFonts w:ascii="Times New Roman" w:eastAsia="Times New Roman" w:hAnsi="Times New Roman" w:cs="Times New Roman"/>
          <w:sz w:val="24"/>
          <w:szCs w:val="24"/>
          <w:lang w:eastAsia="en-IN"/>
        </w:rPr>
        <w:br/>
        <w:t xml:space="preserve">LAMEA remains underpenetrated but is emerging as a promising frontier. Urban residential projects in Brazil and Mexico are introducing modular and connected furniture solutions to cater to the growing middle-class population. The Middle East, particularly the UAE and Saudi Arabia, is investing in smart office setups and luxury residential developments. Africa’s adoption is slower, primarily due to limited awareness, lower disposable income, and infrastructure constraints. However, select urban </w:t>
      </w:r>
      <w:proofErr w:type="spellStart"/>
      <w:r w:rsidRPr="006D5039">
        <w:rPr>
          <w:rFonts w:ascii="Times New Roman" w:eastAsia="Times New Roman" w:hAnsi="Times New Roman" w:cs="Times New Roman"/>
          <w:sz w:val="24"/>
          <w:szCs w:val="24"/>
          <w:lang w:eastAsia="en-IN"/>
        </w:rPr>
        <w:t>centers</w:t>
      </w:r>
      <w:proofErr w:type="spellEnd"/>
      <w:r w:rsidRPr="006D5039">
        <w:rPr>
          <w:rFonts w:ascii="Times New Roman" w:eastAsia="Times New Roman" w:hAnsi="Times New Roman" w:cs="Times New Roman"/>
          <w:sz w:val="24"/>
          <w:szCs w:val="24"/>
          <w:lang w:eastAsia="en-IN"/>
        </w:rPr>
        <w:t xml:space="preserve"> are beginning to embrace IoT-enabled furniture, supported by international retailers and niche </w:t>
      </w:r>
      <w:proofErr w:type="spellStart"/>
      <w:r w:rsidRPr="006D5039">
        <w:rPr>
          <w:rFonts w:ascii="Times New Roman" w:eastAsia="Times New Roman" w:hAnsi="Times New Roman" w:cs="Times New Roman"/>
          <w:sz w:val="24"/>
          <w:szCs w:val="24"/>
          <w:lang w:eastAsia="en-IN"/>
        </w:rPr>
        <w:t>startups</w:t>
      </w:r>
      <w:proofErr w:type="spellEnd"/>
      <w:r w:rsidRPr="006D5039">
        <w:rPr>
          <w:rFonts w:ascii="Times New Roman" w:eastAsia="Times New Roman" w:hAnsi="Times New Roman" w:cs="Times New Roman"/>
          <w:sz w:val="24"/>
          <w:szCs w:val="24"/>
          <w:lang w:eastAsia="en-IN"/>
        </w:rPr>
        <w:t>.</w:t>
      </w:r>
    </w:p>
    <w:p w14:paraId="7CE2E217"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Key Regional Insights</w:t>
      </w:r>
      <w:r w:rsidRPr="006D5039">
        <w:rPr>
          <w:rFonts w:ascii="Times New Roman" w:eastAsia="Times New Roman" w:hAnsi="Times New Roman" w:cs="Times New Roman"/>
          <w:sz w:val="24"/>
          <w:szCs w:val="24"/>
          <w:lang w:eastAsia="en-IN"/>
        </w:rPr>
        <w:br/>
        <w:t xml:space="preserve">North America and Europe remain innovation hubs, with strong adoption in corporate and high-income residential segments. Asia-Pacific drives volume growth, supported by urbanization and rising technology adoption. LAMEA offers untapped potential where affordability, scalability, and public-private collaborations can </w:t>
      </w:r>
      <w:proofErr w:type="spellStart"/>
      <w:r w:rsidRPr="006D5039">
        <w:rPr>
          <w:rFonts w:ascii="Times New Roman" w:eastAsia="Times New Roman" w:hAnsi="Times New Roman" w:cs="Times New Roman"/>
          <w:sz w:val="24"/>
          <w:szCs w:val="24"/>
          <w:lang w:eastAsia="en-IN"/>
        </w:rPr>
        <w:t>catalyze</w:t>
      </w:r>
      <w:proofErr w:type="spellEnd"/>
      <w:r w:rsidRPr="006D5039">
        <w:rPr>
          <w:rFonts w:ascii="Times New Roman" w:eastAsia="Times New Roman" w:hAnsi="Times New Roman" w:cs="Times New Roman"/>
          <w:sz w:val="24"/>
          <w:szCs w:val="24"/>
          <w:lang w:eastAsia="en-IN"/>
        </w:rPr>
        <w:t xml:space="preserve"> expansion. Across all regions, success depends on integrating functionality, connectivity, aesthetics, and adaptability to local needs. Vendors that can combine global technology standards with region-specific customization are positioned to capture substantial market share in the coming years.</w:t>
      </w:r>
    </w:p>
    <w:p w14:paraId="489A2BD9" w14:textId="77777777" w:rsidR="006D5039" w:rsidRPr="006D5039" w:rsidRDefault="006D5039" w:rsidP="006D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5039">
        <w:rPr>
          <w:rFonts w:ascii="Times New Roman" w:eastAsia="Times New Roman" w:hAnsi="Times New Roman" w:cs="Times New Roman"/>
          <w:b/>
          <w:bCs/>
          <w:kern w:val="36"/>
          <w:sz w:val="48"/>
          <w:szCs w:val="48"/>
          <w:lang w:eastAsia="en-IN"/>
        </w:rPr>
        <w:t>6. End-User Dynamics and Use Case</w:t>
      </w:r>
    </w:p>
    <w:p w14:paraId="5D90F414"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The adoption of smart furniture varies widely across end users, reflecting differences in usage patterns, priorities, and investment capacity. Understanding these dynamics is crucial for vendors seeking to align product offerings with end-user requirements.</w:t>
      </w:r>
    </w:p>
    <w:p w14:paraId="1CF091B6"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Residential Consumers</w:t>
      </w:r>
      <w:r w:rsidRPr="006D5039">
        <w:rPr>
          <w:rFonts w:ascii="Times New Roman" w:eastAsia="Times New Roman" w:hAnsi="Times New Roman" w:cs="Times New Roman"/>
          <w:sz w:val="24"/>
          <w:szCs w:val="24"/>
          <w:lang w:eastAsia="en-IN"/>
        </w:rPr>
        <w:br/>
        <w:t xml:space="preserve">Urban millennials and Gen Z households are the primary drivers of the residential segment. These consumers prioritize convenience, connectivity, and multifunctionality. Smart desks, beds, and seating solutions are adopted not only for comfort but also for lifestyle </w:t>
      </w:r>
      <w:r w:rsidRPr="006D5039">
        <w:rPr>
          <w:rFonts w:ascii="Times New Roman" w:eastAsia="Times New Roman" w:hAnsi="Times New Roman" w:cs="Times New Roman"/>
          <w:sz w:val="24"/>
          <w:szCs w:val="24"/>
          <w:lang w:eastAsia="en-IN"/>
        </w:rPr>
        <w:lastRenderedPageBreak/>
        <w:t>integration—linking furniture with smartphones, home assistants, and wellness apps. Space-saving designs such as foldable desks, modular storage units, and convertible sofas are particularly popular in high-density apartments and smaller homes. The adoption is further driven by increasing awareness of ergonomic health and the desire to integrate technology seamlessly into daily life.</w:t>
      </w:r>
    </w:p>
    <w:p w14:paraId="5412C2EA"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Enterprises and Offices</w:t>
      </w:r>
      <w:r w:rsidRPr="006D5039">
        <w:rPr>
          <w:rFonts w:ascii="Times New Roman" w:eastAsia="Times New Roman" w:hAnsi="Times New Roman" w:cs="Times New Roman"/>
          <w:sz w:val="24"/>
          <w:szCs w:val="24"/>
          <w:lang w:eastAsia="en-IN"/>
        </w:rPr>
        <w:br/>
        <w:t>Corporate clients are increasingly investing in smart office furniture to enhance employee productivity, wellness, and collaboration. IoT-enabled desks and chairs monitor posture, track usage patterns, and suggest adjustments to optimize comfort. Connected meeting tables and collaborative workstations are gaining traction in co-working spaces and corporate campuses. This segment is motivated by efficiency, employee satisfaction, and data-driven insights that can improve workspace utilization. The demand is strongest in North America and Europe, with Asia-Pacific catching up as multinational corporations establish modern office environments.</w:t>
      </w:r>
    </w:p>
    <w:p w14:paraId="6ECC7601"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Educational Institutions</w:t>
      </w:r>
      <w:r w:rsidRPr="006D5039">
        <w:rPr>
          <w:rFonts w:ascii="Times New Roman" w:eastAsia="Times New Roman" w:hAnsi="Times New Roman" w:cs="Times New Roman"/>
          <w:sz w:val="24"/>
          <w:szCs w:val="24"/>
          <w:lang w:eastAsia="en-IN"/>
        </w:rPr>
        <w:br/>
        <w:t>Schools and universities are experimenting with smart desks and chairs that incorporate posture monitoring, interactive displays, and digital learning integration. While adoption is currently limited, pilot programs in urban institutions indicate a growing interest in creating tech-enabled classrooms. Smart furniture in education improves engagement, provides ergonomic support, and introduces students to technology-integrated learning environments.</w:t>
      </w:r>
    </w:p>
    <w:p w14:paraId="34D7ECE4"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Hospitality and Healthcare</w:t>
      </w:r>
      <w:r w:rsidRPr="006D5039">
        <w:rPr>
          <w:rFonts w:ascii="Times New Roman" w:eastAsia="Times New Roman" w:hAnsi="Times New Roman" w:cs="Times New Roman"/>
          <w:sz w:val="24"/>
          <w:szCs w:val="24"/>
          <w:lang w:eastAsia="en-IN"/>
        </w:rPr>
        <w:br/>
        <w:t xml:space="preserve">Hotels, wellness </w:t>
      </w:r>
      <w:proofErr w:type="spellStart"/>
      <w:r w:rsidRPr="006D5039">
        <w:rPr>
          <w:rFonts w:ascii="Times New Roman" w:eastAsia="Times New Roman" w:hAnsi="Times New Roman" w:cs="Times New Roman"/>
          <w:sz w:val="24"/>
          <w:szCs w:val="24"/>
          <w:lang w:eastAsia="en-IN"/>
        </w:rPr>
        <w:t>centers</w:t>
      </w:r>
      <w:proofErr w:type="spellEnd"/>
      <w:r w:rsidRPr="006D5039">
        <w:rPr>
          <w:rFonts w:ascii="Times New Roman" w:eastAsia="Times New Roman" w:hAnsi="Times New Roman" w:cs="Times New Roman"/>
          <w:sz w:val="24"/>
          <w:szCs w:val="24"/>
          <w:lang w:eastAsia="en-IN"/>
        </w:rPr>
        <w:t xml:space="preserve">, and healthcare facilities are exploring smart furniture solutions for comfort, patient care, and operational efficiency. Adjustable beds, sensor-enabled seating, and modular storage solutions enhance guest or patient experience while offering data for maintenance and service optimization. Adoption is still nascent but poised for growth in premium establishments and urban </w:t>
      </w:r>
      <w:proofErr w:type="spellStart"/>
      <w:r w:rsidRPr="006D5039">
        <w:rPr>
          <w:rFonts w:ascii="Times New Roman" w:eastAsia="Times New Roman" w:hAnsi="Times New Roman" w:cs="Times New Roman"/>
          <w:sz w:val="24"/>
          <w:szCs w:val="24"/>
          <w:lang w:eastAsia="en-IN"/>
        </w:rPr>
        <w:t>centers</w:t>
      </w:r>
      <w:proofErr w:type="spellEnd"/>
      <w:r w:rsidRPr="006D5039">
        <w:rPr>
          <w:rFonts w:ascii="Times New Roman" w:eastAsia="Times New Roman" w:hAnsi="Times New Roman" w:cs="Times New Roman"/>
          <w:sz w:val="24"/>
          <w:szCs w:val="24"/>
          <w:lang w:eastAsia="en-IN"/>
        </w:rPr>
        <w:t>.</w:t>
      </w:r>
    </w:p>
    <w:p w14:paraId="5AA7A94A"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Use Case Highlight</w:t>
      </w:r>
      <w:r w:rsidRPr="006D5039">
        <w:rPr>
          <w:rFonts w:ascii="Times New Roman" w:eastAsia="Times New Roman" w:hAnsi="Times New Roman" w:cs="Times New Roman"/>
          <w:sz w:val="24"/>
          <w:szCs w:val="24"/>
          <w:lang w:eastAsia="en-IN"/>
        </w:rPr>
        <w:br/>
        <w:t>A leading technology firm in San Francisco faced challenges in optimizing its hybrid office setup for employee wellness and productivity. The company implemented smart desks and ergonomic chairs integrated with IoT sensors to monitor posture, track activity, and provide personalized recommendations through a mobile app. Within six months, employees reported a 25% improvement in comfort and reduced fatigue during work hours. Space utilization analytics enabled better allocation of desks and meeting rooms, reducing operational inefficiencies by 15%. This example illustrates how smart furniture can deliver measurable benefits in both employee well-being and organizational productivity.</w:t>
      </w:r>
    </w:p>
    <w:p w14:paraId="6D165A24"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In conclusion, end-user adoption is diverse but driven by a combination of functionality, connectivity, and wellness. Residential consumers seek lifestyle integration, enterprises focus on productivity and efficiency, and niche adoption in education and hospitality highlights emerging opportunities. Successful vendors tailor solutions to meet these unique end-user needs while maintaining scalability and ease of use.</w:t>
      </w:r>
    </w:p>
    <w:p w14:paraId="6EFAE932" w14:textId="77777777" w:rsidR="006D5039" w:rsidRPr="006D5039" w:rsidRDefault="006D5039" w:rsidP="006D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5039">
        <w:rPr>
          <w:rFonts w:ascii="Times New Roman" w:eastAsia="Times New Roman" w:hAnsi="Times New Roman" w:cs="Times New Roman"/>
          <w:b/>
          <w:bCs/>
          <w:kern w:val="36"/>
          <w:sz w:val="48"/>
          <w:szCs w:val="48"/>
          <w:lang w:eastAsia="en-IN"/>
        </w:rPr>
        <w:t>7. Recent Developments + Opportunities &amp; Restraints</w:t>
      </w:r>
    </w:p>
    <w:p w14:paraId="2AD1174E"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lastRenderedPageBreak/>
        <w:t>Recent Developments (Last 2 Years)</w:t>
      </w:r>
    </w:p>
    <w:p w14:paraId="3277D3CB" w14:textId="77777777" w:rsidR="006D5039" w:rsidRPr="006D5039" w:rsidRDefault="006D5039" w:rsidP="006D50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IKEA</w:t>
      </w:r>
      <w:r w:rsidRPr="006D5039">
        <w:rPr>
          <w:rFonts w:ascii="Times New Roman" w:eastAsia="Times New Roman" w:hAnsi="Times New Roman" w:cs="Times New Roman"/>
          <w:sz w:val="24"/>
          <w:szCs w:val="24"/>
          <w:lang w:eastAsia="en-IN"/>
        </w:rPr>
        <w:t xml:space="preserve"> launched a modular smart desk system in 2024 with integrated wireless charging, app-based adjustments, and compact storage solutions for urban apartments.</w:t>
      </w:r>
    </w:p>
    <w:p w14:paraId="3A04DF06" w14:textId="77777777" w:rsidR="006D5039" w:rsidRPr="006D5039" w:rsidRDefault="006D5039" w:rsidP="006D50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Herman Miller</w:t>
      </w:r>
      <w:r w:rsidRPr="006D5039">
        <w:rPr>
          <w:rFonts w:ascii="Times New Roman" w:eastAsia="Times New Roman" w:hAnsi="Times New Roman" w:cs="Times New Roman"/>
          <w:sz w:val="24"/>
          <w:szCs w:val="24"/>
          <w:lang w:eastAsia="en-IN"/>
        </w:rPr>
        <w:t xml:space="preserve"> introduced AI-enabled ergonomic office chairs in 2023, capable of posture tracking and personalized adjustment recommendations via a connected platform.</w:t>
      </w:r>
    </w:p>
    <w:p w14:paraId="67ECBF92" w14:textId="77777777" w:rsidR="006D5039" w:rsidRPr="006D5039" w:rsidRDefault="006D5039" w:rsidP="006D50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Xiaomi</w:t>
      </w:r>
      <w:r w:rsidRPr="006D5039">
        <w:rPr>
          <w:rFonts w:ascii="Times New Roman" w:eastAsia="Times New Roman" w:hAnsi="Times New Roman" w:cs="Times New Roman"/>
          <w:sz w:val="24"/>
          <w:szCs w:val="24"/>
          <w:lang w:eastAsia="en-IN"/>
        </w:rPr>
        <w:t xml:space="preserve"> expanded its smart bedroom furniture line in 2024 across Asia-Pacific, featuring IoT-connected beds that monitor sleep cycles and provide app-driven wellness insights.</w:t>
      </w:r>
    </w:p>
    <w:p w14:paraId="007E2E71" w14:textId="77777777" w:rsidR="006D5039" w:rsidRPr="006D5039" w:rsidRDefault="006D5039" w:rsidP="006D50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FLEXISPOT</w:t>
      </w:r>
      <w:r w:rsidRPr="006D5039">
        <w:rPr>
          <w:rFonts w:ascii="Times New Roman" w:eastAsia="Times New Roman" w:hAnsi="Times New Roman" w:cs="Times New Roman"/>
          <w:sz w:val="24"/>
          <w:szCs w:val="24"/>
          <w:lang w:eastAsia="en-IN"/>
        </w:rPr>
        <w:t xml:space="preserve"> rolled out height-adjustable smart desks with IoT connectivity in 2023, targeting home office users in North America and Europe.</w:t>
      </w:r>
    </w:p>
    <w:p w14:paraId="03C855D5" w14:textId="77777777" w:rsidR="006D5039" w:rsidRPr="006D5039" w:rsidRDefault="006D5039" w:rsidP="006D50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Steelcase</w:t>
      </w:r>
      <w:r w:rsidRPr="006D5039">
        <w:rPr>
          <w:rFonts w:ascii="Times New Roman" w:eastAsia="Times New Roman" w:hAnsi="Times New Roman" w:cs="Times New Roman"/>
          <w:sz w:val="24"/>
          <w:szCs w:val="24"/>
          <w:lang w:eastAsia="en-IN"/>
        </w:rPr>
        <w:t xml:space="preserve"> partnered with a leading IoT platform in 2024 to integrate workspace analytics into connected furniture for enterprise clients, enabling real-time monitoring of employee comfort and desk utilization.</w:t>
      </w:r>
    </w:p>
    <w:p w14:paraId="3791895F"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Opportunities</w:t>
      </w:r>
    </w:p>
    <w:p w14:paraId="654FE14D" w14:textId="77777777" w:rsidR="006D5039" w:rsidRPr="006D5039" w:rsidRDefault="006D5039" w:rsidP="006D50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Expansion in Emerging Markets:</w:t>
      </w:r>
      <w:r w:rsidRPr="006D5039">
        <w:rPr>
          <w:rFonts w:ascii="Times New Roman" w:eastAsia="Times New Roman" w:hAnsi="Times New Roman" w:cs="Times New Roman"/>
          <w:sz w:val="24"/>
          <w:szCs w:val="24"/>
          <w:lang w:eastAsia="en-IN"/>
        </w:rPr>
        <w:t xml:space="preserve"> Rapid urbanization, rising disposable incomes, and growing technology adoption in Asia-Pacific and LAMEA offer untapped growth potential.</w:t>
      </w:r>
    </w:p>
    <w:p w14:paraId="4483351E" w14:textId="77777777" w:rsidR="006D5039" w:rsidRPr="006D5039" w:rsidRDefault="006D5039" w:rsidP="006D50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AI-Enhanced Personalization:</w:t>
      </w:r>
      <w:r w:rsidRPr="006D5039">
        <w:rPr>
          <w:rFonts w:ascii="Times New Roman" w:eastAsia="Times New Roman" w:hAnsi="Times New Roman" w:cs="Times New Roman"/>
          <w:sz w:val="24"/>
          <w:szCs w:val="24"/>
          <w:lang w:eastAsia="en-IN"/>
        </w:rPr>
        <w:t xml:space="preserve"> Integrating AI and predictive analytics into furniture for posture correction, sleep optimization, and workspace efficiency is an emerging growth driver.</w:t>
      </w:r>
    </w:p>
    <w:p w14:paraId="78999A2F" w14:textId="77777777" w:rsidR="006D5039" w:rsidRPr="006D5039" w:rsidRDefault="006D5039" w:rsidP="006D50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Residential Smart Home Integration:</w:t>
      </w:r>
      <w:r w:rsidRPr="006D5039">
        <w:rPr>
          <w:rFonts w:ascii="Times New Roman" w:eastAsia="Times New Roman" w:hAnsi="Times New Roman" w:cs="Times New Roman"/>
          <w:sz w:val="24"/>
          <w:szCs w:val="24"/>
          <w:lang w:eastAsia="en-IN"/>
        </w:rPr>
        <w:t xml:space="preserve"> Growing adoption of connected home ecosystems encourages cross-functional furniture solutions that seamlessly integrate with smart lighting, HVAC, and entertainment systems.</w:t>
      </w:r>
    </w:p>
    <w:p w14:paraId="37BCF88F"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Restraints</w:t>
      </w:r>
    </w:p>
    <w:p w14:paraId="6798469C" w14:textId="77777777" w:rsidR="006D5039" w:rsidRPr="006D5039" w:rsidRDefault="006D5039" w:rsidP="006D50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High Equipment and Technology Costs:</w:t>
      </w:r>
      <w:r w:rsidRPr="006D5039">
        <w:rPr>
          <w:rFonts w:ascii="Times New Roman" w:eastAsia="Times New Roman" w:hAnsi="Times New Roman" w:cs="Times New Roman"/>
          <w:sz w:val="24"/>
          <w:szCs w:val="24"/>
          <w:lang w:eastAsia="en-IN"/>
        </w:rPr>
        <w:t xml:space="preserve"> Advanced IoT-enabled and AI-integrated furniture often carry premium pricing, limiting adoption among price-sensitive segments.</w:t>
      </w:r>
    </w:p>
    <w:p w14:paraId="57D9C582" w14:textId="77777777" w:rsidR="006D5039" w:rsidRPr="006D5039" w:rsidRDefault="006D5039" w:rsidP="006D50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Skilled Workforce Gap for Installation and Support:</w:t>
      </w:r>
      <w:r w:rsidRPr="006D5039">
        <w:rPr>
          <w:rFonts w:ascii="Times New Roman" w:eastAsia="Times New Roman" w:hAnsi="Times New Roman" w:cs="Times New Roman"/>
          <w:sz w:val="24"/>
          <w:szCs w:val="24"/>
          <w:lang w:eastAsia="en-IN"/>
        </w:rPr>
        <w:t xml:space="preserve"> Technical expertise required for setup, maintenance, and integration of smart furniture is limited, especially in emerging regions, slowing adoption rates.</w:t>
      </w:r>
    </w:p>
    <w:p w14:paraId="2F30666F" w14:textId="77777777" w:rsidR="006D5039" w:rsidRDefault="006D5039" w:rsidP="006D5039">
      <w:pPr>
        <w:pStyle w:val="Heading1"/>
        <w:rPr>
          <w:rFonts w:ascii="Times New Roman" w:eastAsia="Times New Roman" w:hAnsi="Times New Roman" w:cs="Times New Roman"/>
          <w:b/>
          <w:bCs/>
          <w:color w:val="auto"/>
          <w:kern w:val="36"/>
          <w:sz w:val="48"/>
          <w:szCs w:val="48"/>
          <w:lang w:eastAsia="en-IN"/>
        </w:rPr>
      </w:pPr>
      <w:r>
        <w:br/>
      </w:r>
    </w:p>
    <w:p w14:paraId="37CFBB4F" w14:textId="77777777" w:rsidR="006D5039" w:rsidRDefault="006D5039">
      <w:pP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14:paraId="3AD5C532" w14:textId="6ED68C42" w:rsidR="006D5039" w:rsidRPr="006D5039" w:rsidRDefault="006D5039" w:rsidP="006D5039">
      <w:pPr>
        <w:pStyle w:val="Heading1"/>
        <w:rPr>
          <w:rFonts w:ascii="Times New Roman" w:eastAsia="Times New Roman" w:hAnsi="Times New Roman" w:cs="Times New Roman"/>
          <w:b/>
          <w:bCs/>
          <w:color w:val="auto"/>
          <w:kern w:val="36"/>
          <w:sz w:val="48"/>
          <w:szCs w:val="48"/>
          <w:lang w:eastAsia="en-IN"/>
        </w:rPr>
      </w:pPr>
      <w:r w:rsidRPr="006D5039">
        <w:rPr>
          <w:rFonts w:ascii="Times New Roman" w:eastAsia="Times New Roman" w:hAnsi="Times New Roman" w:cs="Times New Roman"/>
          <w:b/>
          <w:bCs/>
          <w:color w:val="auto"/>
          <w:kern w:val="36"/>
          <w:sz w:val="48"/>
          <w:szCs w:val="48"/>
          <w:lang w:eastAsia="en-IN"/>
        </w:rPr>
        <w:lastRenderedPageBreak/>
        <w:t>7.1. Report Coverage Table</w:t>
      </w:r>
    </w:p>
    <w:tbl>
      <w:tblPr>
        <w:tblStyle w:val="PlainTable1"/>
        <w:tblW w:w="0" w:type="auto"/>
        <w:tblLook w:val="04A0" w:firstRow="1" w:lastRow="0" w:firstColumn="1" w:lastColumn="0" w:noHBand="0" w:noVBand="1"/>
      </w:tblPr>
      <w:tblGrid>
        <w:gridCol w:w="2504"/>
        <w:gridCol w:w="6512"/>
      </w:tblGrid>
      <w:tr w:rsidR="006D5039" w:rsidRPr="006D5039" w14:paraId="5C5AEA31" w14:textId="77777777" w:rsidTr="006D50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AECC0" w14:textId="77777777" w:rsidR="006D5039" w:rsidRPr="006D5039" w:rsidRDefault="006D5039" w:rsidP="006D5039">
            <w:pPr>
              <w:jc w:val="cente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Report Attribute</w:t>
            </w:r>
          </w:p>
        </w:tc>
        <w:tc>
          <w:tcPr>
            <w:tcW w:w="0" w:type="auto"/>
            <w:hideMark/>
          </w:tcPr>
          <w:p w14:paraId="76595691" w14:textId="77777777" w:rsidR="006D5039" w:rsidRPr="006D5039" w:rsidRDefault="006D5039" w:rsidP="006D50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Details</w:t>
            </w:r>
          </w:p>
        </w:tc>
      </w:tr>
      <w:tr w:rsidR="006D5039" w:rsidRPr="006D5039" w14:paraId="4BAFE225" w14:textId="77777777" w:rsidTr="006D5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73AD6"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Forecast Period</w:t>
            </w:r>
          </w:p>
        </w:tc>
        <w:tc>
          <w:tcPr>
            <w:tcW w:w="0" w:type="auto"/>
            <w:hideMark/>
          </w:tcPr>
          <w:p w14:paraId="29F8DFD6" w14:textId="77777777" w:rsidR="006D5039" w:rsidRPr="006D5039" w:rsidRDefault="006D5039" w:rsidP="006D50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2024 – 2030</w:t>
            </w:r>
          </w:p>
        </w:tc>
      </w:tr>
      <w:tr w:rsidR="006D5039" w:rsidRPr="006D5039" w14:paraId="40544ADA" w14:textId="77777777" w:rsidTr="006D5039">
        <w:tc>
          <w:tcPr>
            <w:cnfStyle w:val="001000000000" w:firstRow="0" w:lastRow="0" w:firstColumn="1" w:lastColumn="0" w:oddVBand="0" w:evenVBand="0" w:oddHBand="0" w:evenHBand="0" w:firstRowFirstColumn="0" w:firstRowLastColumn="0" w:lastRowFirstColumn="0" w:lastRowLastColumn="0"/>
            <w:tcW w:w="0" w:type="auto"/>
            <w:hideMark/>
          </w:tcPr>
          <w:p w14:paraId="35837145"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Size Value in 2024</w:t>
            </w:r>
          </w:p>
        </w:tc>
        <w:tc>
          <w:tcPr>
            <w:tcW w:w="0" w:type="auto"/>
            <w:hideMark/>
          </w:tcPr>
          <w:p w14:paraId="0E9D3704" w14:textId="762D0138" w:rsidR="006D5039" w:rsidRPr="006D5039" w:rsidRDefault="006D5039" w:rsidP="006D50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 xml:space="preserve">USD 6.8 Billion </w:t>
            </w:r>
          </w:p>
        </w:tc>
      </w:tr>
      <w:tr w:rsidR="006D5039" w:rsidRPr="006D5039" w14:paraId="61CECB28" w14:textId="77777777" w:rsidTr="006D5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86216"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Revenue Forecast in 2030</w:t>
            </w:r>
          </w:p>
        </w:tc>
        <w:tc>
          <w:tcPr>
            <w:tcW w:w="0" w:type="auto"/>
            <w:hideMark/>
          </w:tcPr>
          <w:p w14:paraId="2E67DE7A" w14:textId="2C5D0C44" w:rsidR="006D5039" w:rsidRPr="006D5039" w:rsidRDefault="006D5039" w:rsidP="006D50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13.5</w:t>
            </w:r>
            <w:r w:rsidRPr="006D5039">
              <w:rPr>
                <w:rFonts w:ascii="Times New Roman" w:eastAsia="Times New Roman" w:hAnsi="Times New Roman" w:cs="Times New Roman"/>
                <w:sz w:val="24"/>
                <w:szCs w:val="24"/>
                <w:lang w:eastAsia="en-IN"/>
              </w:rPr>
              <w:t xml:space="preserve"> Billion </w:t>
            </w:r>
          </w:p>
        </w:tc>
      </w:tr>
      <w:tr w:rsidR="006D5039" w:rsidRPr="006D5039" w14:paraId="354EB483" w14:textId="77777777" w:rsidTr="006D5039">
        <w:tc>
          <w:tcPr>
            <w:cnfStyle w:val="001000000000" w:firstRow="0" w:lastRow="0" w:firstColumn="1" w:lastColumn="0" w:oddVBand="0" w:evenVBand="0" w:oddHBand="0" w:evenHBand="0" w:firstRowFirstColumn="0" w:firstRowLastColumn="0" w:lastRowFirstColumn="0" w:lastRowLastColumn="0"/>
            <w:tcW w:w="0" w:type="auto"/>
            <w:hideMark/>
          </w:tcPr>
          <w:p w14:paraId="55549964"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Overall Growth Rate</w:t>
            </w:r>
          </w:p>
        </w:tc>
        <w:tc>
          <w:tcPr>
            <w:tcW w:w="0" w:type="auto"/>
            <w:hideMark/>
          </w:tcPr>
          <w:p w14:paraId="298D85B2" w14:textId="2F6980B7" w:rsidR="006D5039" w:rsidRPr="006D5039" w:rsidRDefault="006D5039" w:rsidP="006D50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 xml:space="preserve">CAGR of </w:t>
            </w:r>
            <w:r>
              <w:rPr>
                <w:rFonts w:ascii="Times New Roman" w:eastAsia="Times New Roman" w:hAnsi="Times New Roman" w:cs="Times New Roman"/>
                <w:sz w:val="24"/>
                <w:szCs w:val="24"/>
                <w:lang w:eastAsia="en-IN"/>
              </w:rPr>
              <w:t>12.1</w:t>
            </w:r>
            <w:r w:rsidRPr="006D5039">
              <w:rPr>
                <w:rFonts w:ascii="Times New Roman" w:eastAsia="Times New Roman" w:hAnsi="Times New Roman" w:cs="Times New Roman"/>
                <w:sz w:val="24"/>
                <w:szCs w:val="24"/>
                <w:lang w:eastAsia="en-IN"/>
              </w:rPr>
              <w:t>% (2024 – 2030)</w:t>
            </w:r>
          </w:p>
        </w:tc>
      </w:tr>
      <w:tr w:rsidR="006D5039" w:rsidRPr="006D5039" w14:paraId="2030EA6E" w14:textId="77777777" w:rsidTr="006D5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FDDEF"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Base Year for Estimation</w:t>
            </w:r>
          </w:p>
        </w:tc>
        <w:tc>
          <w:tcPr>
            <w:tcW w:w="0" w:type="auto"/>
            <w:hideMark/>
          </w:tcPr>
          <w:p w14:paraId="09A1D339" w14:textId="77777777" w:rsidR="006D5039" w:rsidRPr="006D5039" w:rsidRDefault="006D5039" w:rsidP="006D50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2024</w:t>
            </w:r>
          </w:p>
        </w:tc>
      </w:tr>
      <w:tr w:rsidR="006D5039" w:rsidRPr="006D5039" w14:paraId="2AC95BB7" w14:textId="77777777" w:rsidTr="006D5039">
        <w:tc>
          <w:tcPr>
            <w:cnfStyle w:val="001000000000" w:firstRow="0" w:lastRow="0" w:firstColumn="1" w:lastColumn="0" w:oddVBand="0" w:evenVBand="0" w:oddHBand="0" w:evenHBand="0" w:firstRowFirstColumn="0" w:firstRowLastColumn="0" w:lastRowFirstColumn="0" w:lastRowLastColumn="0"/>
            <w:tcW w:w="0" w:type="auto"/>
            <w:hideMark/>
          </w:tcPr>
          <w:p w14:paraId="0F9E44B2"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Historical Data</w:t>
            </w:r>
          </w:p>
        </w:tc>
        <w:tc>
          <w:tcPr>
            <w:tcW w:w="0" w:type="auto"/>
            <w:hideMark/>
          </w:tcPr>
          <w:p w14:paraId="45BE261F" w14:textId="77777777" w:rsidR="006D5039" w:rsidRPr="006D5039" w:rsidRDefault="006D5039" w:rsidP="006D50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2019 – 2023</w:t>
            </w:r>
          </w:p>
        </w:tc>
      </w:tr>
      <w:tr w:rsidR="006D5039" w:rsidRPr="006D5039" w14:paraId="37E724A6" w14:textId="77777777" w:rsidTr="006D5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036E7"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Unit</w:t>
            </w:r>
          </w:p>
        </w:tc>
        <w:tc>
          <w:tcPr>
            <w:tcW w:w="0" w:type="auto"/>
            <w:hideMark/>
          </w:tcPr>
          <w:p w14:paraId="13D6F0F8" w14:textId="77777777" w:rsidR="006D5039" w:rsidRPr="006D5039" w:rsidRDefault="006D5039" w:rsidP="006D50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USD Million, CAGR (2024 – 2030)</w:t>
            </w:r>
          </w:p>
        </w:tc>
      </w:tr>
      <w:tr w:rsidR="006D5039" w:rsidRPr="006D5039" w14:paraId="6F710DE7" w14:textId="77777777" w:rsidTr="006D5039">
        <w:tc>
          <w:tcPr>
            <w:cnfStyle w:val="001000000000" w:firstRow="0" w:lastRow="0" w:firstColumn="1" w:lastColumn="0" w:oddVBand="0" w:evenVBand="0" w:oddHBand="0" w:evenHBand="0" w:firstRowFirstColumn="0" w:firstRowLastColumn="0" w:lastRowFirstColumn="0" w:lastRowLastColumn="0"/>
            <w:tcW w:w="0" w:type="auto"/>
            <w:hideMark/>
          </w:tcPr>
          <w:p w14:paraId="3975C3E1"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Segmentation</w:t>
            </w:r>
          </w:p>
        </w:tc>
        <w:tc>
          <w:tcPr>
            <w:tcW w:w="0" w:type="auto"/>
            <w:hideMark/>
          </w:tcPr>
          <w:p w14:paraId="75E864D4" w14:textId="77777777" w:rsidR="006D5039" w:rsidRPr="006D5039" w:rsidRDefault="006D5039" w:rsidP="006D50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By Product Type, By Application, By End User, By Geography</w:t>
            </w:r>
          </w:p>
        </w:tc>
      </w:tr>
      <w:tr w:rsidR="006D5039" w:rsidRPr="006D5039" w14:paraId="563E0AF2" w14:textId="77777777" w:rsidTr="006D5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F3E8B"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By Product Type</w:t>
            </w:r>
          </w:p>
        </w:tc>
        <w:tc>
          <w:tcPr>
            <w:tcW w:w="0" w:type="auto"/>
            <w:hideMark/>
          </w:tcPr>
          <w:p w14:paraId="327F3C6E" w14:textId="77777777" w:rsidR="006D5039" w:rsidRPr="006D5039" w:rsidRDefault="006D5039" w:rsidP="006D50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Smart Desks &amp; Workstations, Smart Beds, Smart Seating, Modular Smart Storage &amp; Tables</w:t>
            </w:r>
          </w:p>
        </w:tc>
      </w:tr>
      <w:tr w:rsidR="006D5039" w:rsidRPr="006D5039" w14:paraId="19D77EC3" w14:textId="77777777" w:rsidTr="006D5039">
        <w:tc>
          <w:tcPr>
            <w:cnfStyle w:val="001000000000" w:firstRow="0" w:lastRow="0" w:firstColumn="1" w:lastColumn="0" w:oddVBand="0" w:evenVBand="0" w:oddHBand="0" w:evenHBand="0" w:firstRowFirstColumn="0" w:firstRowLastColumn="0" w:lastRowFirstColumn="0" w:lastRowLastColumn="0"/>
            <w:tcW w:w="0" w:type="auto"/>
            <w:hideMark/>
          </w:tcPr>
          <w:p w14:paraId="2536CE97"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By Application</w:t>
            </w:r>
          </w:p>
        </w:tc>
        <w:tc>
          <w:tcPr>
            <w:tcW w:w="0" w:type="auto"/>
            <w:hideMark/>
          </w:tcPr>
          <w:p w14:paraId="42A0472E" w14:textId="77777777" w:rsidR="006D5039" w:rsidRPr="006D5039" w:rsidRDefault="006D5039" w:rsidP="006D50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Residential, Commercial, Education, Hospitality &amp; Healthcare</w:t>
            </w:r>
          </w:p>
        </w:tc>
      </w:tr>
      <w:tr w:rsidR="006D5039" w:rsidRPr="006D5039" w14:paraId="5B22F63B" w14:textId="77777777" w:rsidTr="006D5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6CA84"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By End User</w:t>
            </w:r>
          </w:p>
        </w:tc>
        <w:tc>
          <w:tcPr>
            <w:tcW w:w="0" w:type="auto"/>
            <w:hideMark/>
          </w:tcPr>
          <w:p w14:paraId="1A341554" w14:textId="77777777" w:rsidR="006D5039" w:rsidRPr="006D5039" w:rsidRDefault="006D5039" w:rsidP="006D50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Consumers, Enterprises, Educational Institutions, Hospitality &amp; Healthcare</w:t>
            </w:r>
          </w:p>
        </w:tc>
      </w:tr>
      <w:tr w:rsidR="006D5039" w:rsidRPr="006D5039" w14:paraId="6B8340F9" w14:textId="77777777" w:rsidTr="006D5039">
        <w:tc>
          <w:tcPr>
            <w:cnfStyle w:val="001000000000" w:firstRow="0" w:lastRow="0" w:firstColumn="1" w:lastColumn="0" w:oddVBand="0" w:evenVBand="0" w:oddHBand="0" w:evenHBand="0" w:firstRowFirstColumn="0" w:firstRowLastColumn="0" w:lastRowFirstColumn="0" w:lastRowLastColumn="0"/>
            <w:tcW w:w="0" w:type="auto"/>
            <w:hideMark/>
          </w:tcPr>
          <w:p w14:paraId="674D108B"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By Region</w:t>
            </w:r>
          </w:p>
        </w:tc>
        <w:tc>
          <w:tcPr>
            <w:tcW w:w="0" w:type="auto"/>
            <w:hideMark/>
          </w:tcPr>
          <w:p w14:paraId="12809FE8" w14:textId="77777777" w:rsidR="006D5039" w:rsidRPr="006D5039" w:rsidRDefault="006D5039" w:rsidP="006D50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North America, Europe, Asia-Pacific, Latin America, Middle East &amp; Africa</w:t>
            </w:r>
          </w:p>
        </w:tc>
      </w:tr>
      <w:tr w:rsidR="006D5039" w:rsidRPr="006D5039" w14:paraId="0D4BD218" w14:textId="77777777" w:rsidTr="006D5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08B6B"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Country Scope</w:t>
            </w:r>
          </w:p>
        </w:tc>
        <w:tc>
          <w:tcPr>
            <w:tcW w:w="0" w:type="auto"/>
            <w:hideMark/>
          </w:tcPr>
          <w:p w14:paraId="03D13E33" w14:textId="77777777" w:rsidR="006D5039" w:rsidRPr="006D5039" w:rsidRDefault="006D5039" w:rsidP="006D50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U.S., Canada, UK, Germany, France, China, India, Japan, Brazil, UAE, South Africa</w:t>
            </w:r>
          </w:p>
        </w:tc>
      </w:tr>
      <w:tr w:rsidR="006D5039" w:rsidRPr="006D5039" w14:paraId="58868961" w14:textId="77777777" w:rsidTr="006D5039">
        <w:tc>
          <w:tcPr>
            <w:cnfStyle w:val="001000000000" w:firstRow="0" w:lastRow="0" w:firstColumn="1" w:lastColumn="0" w:oddVBand="0" w:evenVBand="0" w:oddHBand="0" w:evenHBand="0" w:firstRowFirstColumn="0" w:firstRowLastColumn="0" w:lastRowFirstColumn="0" w:lastRowLastColumn="0"/>
            <w:tcW w:w="0" w:type="auto"/>
            <w:hideMark/>
          </w:tcPr>
          <w:p w14:paraId="30C79299"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Drivers</w:t>
            </w:r>
          </w:p>
        </w:tc>
        <w:tc>
          <w:tcPr>
            <w:tcW w:w="0" w:type="auto"/>
            <w:hideMark/>
          </w:tcPr>
          <w:p w14:paraId="734FD40A" w14:textId="77777777" w:rsidR="006D5039" w:rsidRPr="006D5039" w:rsidRDefault="006D5039" w:rsidP="006D50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 Rising adoption of IoT-enabled and multifunctional furniture</w:t>
            </w:r>
            <w:r w:rsidRPr="006D5039">
              <w:rPr>
                <w:rFonts w:ascii="Times New Roman" w:eastAsia="Times New Roman" w:hAnsi="Times New Roman" w:cs="Times New Roman"/>
                <w:sz w:val="24"/>
                <w:szCs w:val="24"/>
                <w:lang w:eastAsia="en-IN"/>
              </w:rPr>
              <w:br/>
              <w:t>- Growing demand for ergonomic and wellness-focused solutions</w:t>
            </w:r>
            <w:r w:rsidRPr="006D5039">
              <w:rPr>
                <w:rFonts w:ascii="Times New Roman" w:eastAsia="Times New Roman" w:hAnsi="Times New Roman" w:cs="Times New Roman"/>
                <w:sz w:val="24"/>
                <w:szCs w:val="24"/>
                <w:lang w:eastAsia="en-IN"/>
              </w:rPr>
              <w:br/>
              <w:t>- Increased investment in smart homes and connected offices</w:t>
            </w:r>
          </w:p>
        </w:tc>
      </w:tr>
      <w:tr w:rsidR="006D5039" w:rsidRPr="006D5039" w14:paraId="3B8497AD" w14:textId="77777777" w:rsidTr="006D5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130EB" w14:textId="77777777" w:rsidR="006D5039" w:rsidRPr="006D5039" w:rsidRDefault="006D5039" w:rsidP="006D5039">
            <w:pPr>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Customization Option</w:t>
            </w:r>
          </w:p>
        </w:tc>
        <w:tc>
          <w:tcPr>
            <w:tcW w:w="0" w:type="auto"/>
            <w:hideMark/>
          </w:tcPr>
          <w:p w14:paraId="11CE89AE" w14:textId="77777777" w:rsidR="006D5039" w:rsidRPr="006D5039" w:rsidRDefault="006D5039" w:rsidP="006D50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Available upon request</w:t>
            </w:r>
          </w:p>
        </w:tc>
      </w:tr>
    </w:tbl>
    <w:p w14:paraId="30FEF771" w14:textId="77777777" w:rsidR="006D5039" w:rsidRPr="006D5039" w:rsidRDefault="006D5039" w:rsidP="006D5039">
      <w:pPr>
        <w:pStyle w:val="Heading1"/>
        <w:rPr>
          <w:rFonts w:ascii="Times New Roman" w:eastAsia="Times New Roman" w:hAnsi="Times New Roman" w:cs="Times New Roman"/>
          <w:b/>
          <w:bCs/>
          <w:color w:val="auto"/>
          <w:kern w:val="36"/>
          <w:sz w:val="48"/>
          <w:szCs w:val="48"/>
          <w:lang w:eastAsia="en-IN"/>
        </w:rPr>
      </w:pPr>
      <w:r>
        <w:br/>
      </w:r>
      <w:r>
        <w:br/>
      </w:r>
      <w:r w:rsidRPr="006D5039">
        <w:rPr>
          <w:rFonts w:ascii="Times New Roman" w:eastAsia="Times New Roman" w:hAnsi="Times New Roman" w:cs="Times New Roman"/>
          <w:b/>
          <w:bCs/>
          <w:color w:val="auto"/>
          <w:kern w:val="36"/>
          <w:sz w:val="48"/>
          <w:szCs w:val="48"/>
          <w:lang w:eastAsia="en-IN"/>
        </w:rPr>
        <w:t>8. Report Summary, FAQs, and SEO Schema</w:t>
      </w:r>
    </w:p>
    <w:p w14:paraId="406770B5"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A.1. Report Title (Long-Form)</w:t>
      </w:r>
      <w:r w:rsidRPr="006D5039">
        <w:rPr>
          <w:rFonts w:ascii="Times New Roman" w:eastAsia="Times New Roman" w:hAnsi="Times New Roman" w:cs="Times New Roman"/>
          <w:sz w:val="24"/>
          <w:szCs w:val="24"/>
          <w:lang w:eastAsia="en-IN"/>
        </w:rPr>
        <w:br/>
        <w:t xml:space="preserve">Smart Furniture Market </w:t>
      </w:r>
      <w:proofErr w:type="gramStart"/>
      <w:r w:rsidRPr="006D5039">
        <w:rPr>
          <w:rFonts w:ascii="Times New Roman" w:eastAsia="Times New Roman" w:hAnsi="Times New Roman" w:cs="Times New Roman"/>
          <w:sz w:val="24"/>
          <w:szCs w:val="24"/>
          <w:lang w:eastAsia="en-IN"/>
        </w:rPr>
        <w:t>By</w:t>
      </w:r>
      <w:proofErr w:type="gramEnd"/>
      <w:r w:rsidRPr="006D5039">
        <w:rPr>
          <w:rFonts w:ascii="Times New Roman" w:eastAsia="Times New Roman" w:hAnsi="Times New Roman" w:cs="Times New Roman"/>
          <w:sz w:val="24"/>
          <w:szCs w:val="24"/>
          <w:lang w:eastAsia="en-IN"/>
        </w:rPr>
        <w:t xml:space="preserve"> Product Type (Smart Desks &amp; Workstations, Smart Beds, Smart Seating, Modular Smart Storage &amp; Tables); By Application (Residential, Commercial, Education, Hospitality &amp; Healthcare); By End User (Consumers, Enterprises, Educational Institutions, Hospitality &amp; Healthcare); By Geography, Segment Revenue Estimation, Forecast, 2024–2030</w:t>
      </w:r>
    </w:p>
    <w:p w14:paraId="5B5BB49B"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A.2. Lowercase Market Name</w:t>
      </w:r>
      <w:r w:rsidRPr="006D5039">
        <w:rPr>
          <w:rFonts w:ascii="Times New Roman" w:eastAsia="Times New Roman" w:hAnsi="Times New Roman" w:cs="Times New Roman"/>
          <w:sz w:val="24"/>
          <w:szCs w:val="24"/>
          <w:lang w:eastAsia="en-IN"/>
        </w:rPr>
        <w:br/>
        <w:t>smart furniture market</w:t>
      </w:r>
    </w:p>
    <w:p w14:paraId="682C8AE1" w14:textId="578DC3B0"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A.3. SEO-Friendly Market Size Tagline</w:t>
      </w:r>
      <w:r w:rsidRPr="006D5039">
        <w:rPr>
          <w:rFonts w:ascii="Times New Roman" w:eastAsia="Times New Roman" w:hAnsi="Times New Roman" w:cs="Times New Roman"/>
          <w:sz w:val="24"/>
          <w:szCs w:val="24"/>
          <w:lang w:eastAsia="en-IN"/>
        </w:rPr>
        <w:br/>
        <w:t>Smart Furniture Market Size ($</w:t>
      </w:r>
      <w:r>
        <w:rPr>
          <w:rFonts w:ascii="Times New Roman" w:eastAsia="Times New Roman" w:hAnsi="Times New Roman" w:cs="Times New Roman"/>
          <w:sz w:val="24"/>
          <w:szCs w:val="24"/>
          <w:lang w:eastAsia="en-IN"/>
        </w:rPr>
        <w:t>13.5</w:t>
      </w:r>
      <w:r w:rsidRPr="006D5039">
        <w:rPr>
          <w:rFonts w:ascii="Times New Roman" w:eastAsia="Times New Roman" w:hAnsi="Times New Roman" w:cs="Times New Roman"/>
          <w:sz w:val="24"/>
          <w:szCs w:val="24"/>
          <w:lang w:eastAsia="en-IN"/>
        </w:rPr>
        <w:t xml:space="preserve"> Billion) 2030</w:t>
      </w:r>
    </w:p>
    <w:p w14:paraId="0FD8BB26"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lastRenderedPageBreak/>
        <w:t xml:space="preserve">A.4. SEO-Friendly Market Size Tagline </w:t>
      </w:r>
      <w:proofErr w:type="spellStart"/>
      <w:r w:rsidRPr="006D5039">
        <w:rPr>
          <w:rFonts w:ascii="Times New Roman" w:eastAsia="Times New Roman" w:hAnsi="Times New Roman" w:cs="Times New Roman"/>
          <w:b/>
          <w:bCs/>
          <w:sz w:val="24"/>
          <w:szCs w:val="24"/>
          <w:lang w:eastAsia="en-IN"/>
        </w:rPr>
        <w:t>BreadCrumb</w:t>
      </w:r>
      <w:proofErr w:type="spellEnd"/>
      <w:r w:rsidRPr="006D5039">
        <w:rPr>
          <w:rFonts w:ascii="Times New Roman" w:eastAsia="Times New Roman" w:hAnsi="Times New Roman" w:cs="Times New Roman"/>
          <w:sz w:val="24"/>
          <w:szCs w:val="24"/>
          <w:lang w:eastAsia="en-IN"/>
        </w:rPr>
        <w:br/>
        <w:t>Smart Furniture Market Report 2030</w:t>
      </w:r>
    </w:p>
    <w:p w14:paraId="08905961" w14:textId="77777777" w:rsidR="006D5039" w:rsidRPr="006D5039" w:rsidRDefault="006D5039" w:rsidP="006D5039">
      <w:pPr>
        <w:spacing w:after="0"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pict w14:anchorId="1BBD3AE4">
          <v:rect id="_x0000_i1025" style="width:0;height:1.5pt" o:hralign="center" o:hrstd="t" o:hr="t" fillcolor="#a0a0a0" stroked="f"/>
        </w:pict>
      </w:r>
    </w:p>
    <w:p w14:paraId="24C19709"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B. Top 5 FAQs</w:t>
      </w:r>
    </w:p>
    <w:p w14:paraId="31CC01F9"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Q1. How big is the smart furniture market?</w:t>
      </w:r>
      <w:r w:rsidRPr="006D5039">
        <w:rPr>
          <w:rFonts w:ascii="Times New Roman" w:eastAsia="Times New Roman" w:hAnsi="Times New Roman" w:cs="Times New Roman"/>
          <w:sz w:val="24"/>
          <w:szCs w:val="24"/>
          <w:lang w:eastAsia="en-IN"/>
        </w:rPr>
        <w:br/>
      </w:r>
      <w:r w:rsidRPr="006D5039">
        <w:rPr>
          <w:rFonts w:ascii="Times New Roman" w:eastAsia="Times New Roman" w:hAnsi="Times New Roman" w:cs="Times New Roman"/>
          <w:b/>
          <w:bCs/>
          <w:sz w:val="24"/>
          <w:szCs w:val="24"/>
          <w:lang w:eastAsia="en-IN"/>
        </w:rPr>
        <w:t>A1.</w:t>
      </w:r>
      <w:r w:rsidRPr="006D5039">
        <w:rPr>
          <w:rFonts w:ascii="Times New Roman" w:eastAsia="Times New Roman" w:hAnsi="Times New Roman" w:cs="Times New Roman"/>
          <w:sz w:val="24"/>
          <w:szCs w:val="24"/>
          <w:lang w:eastAsia="en-IN"/>
        </w:rPr>
        <w:t xml:space="preserve"> The global smart furniture market was valued at USD 6.8 billion in 2024.</w:t>
      </w:r>
    </w:p>
    <w:p w14:paraId="7A746ECB" w14:textId="0E604164"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Q2. What is the CAGR for the forecast period?</w:t>
      </w:r>
      <w:r w:rsidRPr="006D5039">
        <w:rPr>
          <w:rFonts w:ascii="Times New Roman" w:eastAsia="Times New Roman" w:hAnsi="Times New Roman" w:cs="Times New Roman"/>
          <w:sz w:val="24"/>
          <w:szCs w:val="24"/>
          <w:lang w:eastAsia="en-IN"/>
        </w:rPr>
        <w:br/>
      </w:r>
      <w:r w:rsidRPr="006D5039">
        <w:rPr>
          <w:rFonts w:ascii="Times New Roman" w:eastAsia="Times New Roman" w:hAnsi="Times New Roman" w:cs="Times New Roman"/>
          <w:b/>
          <w:bCs/>
          <w:sz w:val="24"/>
          <w:szCs w:val="24"/>
          <w:lang w:eastAsia="en-IN"/>
        </w:rPr>
        <w:t>A2.</w:t>
      </w:r>
      <w:r w:rsidRPr="006D5039">
        <w:rPr>
          <w:rFonts w:ascii="Times New Roman" w:eastAsia="Times New Roman" w:hAnsi="Times New Roman" w:cs="Times New Roman"/>
          <w:sz w:val="24"/>
          <w:szCs w:val="24"/>
          <w:lang w:eastAsia="en-IN"/>
        </w:rPr>
        <w:t xml:space="preserve"> The market is expected to grow at a CAGR of </w:t>
      </w:r>
      <w:r>
        <w:rPr>
          <w:rFonts w:ascii="Times New Roman" w:eastAsia="Times New Roman" w:hAnsi="Times New Roman" w:cs="Times New Roman"/>
          <w:sz w:val="24"/>
          <w:szCs w:val="24"/>
          <w:lang w:eastAsia="en-IN"/>
        </w:rPr>
        <w:t>12.1</w:t>
      </w:r>
      <w:r w:rsidRPr="006D5039">
        <w:rPr>
          <w:rFonts w:ascii="Times New Roman" w:eastAsia="Times New Roman" w:hAnsi="Times New Roman" w:cs="Times New Roman"/>
          <w:sz w:val="24"/>
          <w:szCs w:val="24"/>
          <w:lang w:eastAsia="en-IN"/>
        </w:rPr>
        <w:t>% from 2024 to 2030.</w:t>
      </w:r>
    </w:p>
    <w:p w14:paraId="5FCB4A92"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Q3. Who are the major players in this market?</w:t>
      </w:r>
      <w:r w:rsidRPr="006D5039">
        <w:rPr>
          <w:rFonts w:ascii="Times New Roman" w:eastAsia="Times New Roman" w:hAnsi="Times New Roman" w:cs="Times New Roman"/>
          <w:sz w:val="24"/>
          <w:szCs w:val="24"/>
          <w:lang w:eastAsia="en-IN"/>
        </w:rPr>
        <w:br/>
      </w:r>
      <w:r w:rsidRPr="006D5039">
        <w:rPr>
          <w:rFonts w:ascii="Times New Roman" w:eastAsia="Times New Roman" w:hAnsi="Times New Roman" w:cs="Times New Roman"/>
          <w:b/>
          <w:bCs/>
          <w:sz w:val="24"/>
          <w:szCs w:val="24"/>
          <w:lang w:eastAsia="en-IN"/>
        </w:rPr>
        <w:t>A3.</w:t>
      </w:r>
      <w:r w:rsidRPr="006D5039">
        <w:rPr>
          <w:rFonts w:ascii="Times New Roman" w:eastAsia="Times New Roman" w:hAnsi="Times New Roman" w:cs="Times New Roman"/>
          <w:sz w:val="24"/>
          <w:szCs w:val="24"/>
          <w:lang w:eastAsia="en-IN"/>
        </w:rPr>
        <w:t xml:space="preserve"> Leading players include Herman Miller, Steelcase, IKEA, FLEXISPOT, and Xiaomi.</w:t>
      </w:r>
    </w:p>
    <w:p w14:paraId="14F8A160"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Q4. Which region dominates the market share?</w:t>
      </w:r>
      <w:r w:rsidRPr="006D5039">
        <w:rPr>
          <w:rFonts w:ascii="Times New Roman" w:eastAsia="Times New Roman" w:hAnsi="Times New Roman" w:cs="Times New Roman"/>
          <w:sz w:val="24"/>
          <w:szCs w:val="24"/>
          <w:lang w:eastAsia="en-IN"/>
        </w:rPr>
        <w:br/>
      </w:r>
      <w:r w:rsidRPr="006D5039">
        <w:rPr>
          <w:rFonts w:ascii="Times New Roman" w:eastAsia="Times New Roman" w:hAnsi="Times New Roman" w:cs="Times New Roman"/>
          <w:b/>
          <w:bCs/>
          <w:sz w:val="24"/>
          <w:szCs w:val="24"/>
          <w:lang w:eastAsia="en-IN"/>
        </w:rPr>
        <w:t>A4.</w:t>
      </w:r>
      <w:r w:rsidRPr="006D5039">
        <w:rPr>
          <w:rFonts w:ascii="Times New Roman" w:eastAsia="Times New Roman" w:hAnsi="Times New Roman" w:cs="Times New Roman"/>
          <w:sz w:val="24"/>
          <w:szCs w:val="24"/>
          <w:lang w:eastAsia="en-IN"/>
        </w:rPr>
        <w:t xml:space="preserve"> North America leads due to high disposable income, advanced technology adoption, and strong awareness of ergonomic and smart living solutions.</w:t>
      </w:r>
    </w:p>
    <w:p w14:paraId="2153ADA7"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Q5. What factors are driving growth in the smart furniture market?</w:t>
      </w:r>
      <w:r w:rsidRPr="006D5039">
        <w:rPr>
          <w:rFonts w:ascii="Times New Roman" w:eastAsia="Times New Roman" w:hAnsi="Times New Roman" w:cs="Times New Roman"/>
          <w:sz w:val="24"/>
          <w:szCs w:val="24"/>
          <w:lang w:eastAsia="en-IN"/>
        </w:rPr>
        <w:br/>
      </w:r>
      <w:r w:rsidRPr="006D5039">
        <w:rPr>
          <w:rFonts w:ascii="Times New Roman" w:eastAsia="Times New Roman" w:hAnsi="Times New Roman" w:cs="Times New Roman"/>
          <w:b/>
          <w:bCs/>
          <w:sz w:val="24"/>
          <w:szCs w:val="24"/>
          <w:lang w:eastAsia="en-IN"/>
        </w:rPr>
        <w:t>A5.</w:t>
      </w:r>
      <w:r w:rsidRPr="006D5039">
        <w:rPr>
          <w:rFonts w:ascii="Times New Roman" w:eastAsia="Times New Roman" w:hAnsi="Times New Roman" w:cs="Times New Roman"/>
          <w:sz w:val="24"/>
          <w:szCs w:val="24"/>
          <w:lang w:eastAsia="en-IN"/>
        </w:rPr>
        <w:t xml:space="preserve"> Growth is </w:t>
      </w:r>
      <w:proofErr w:type="spellStart"/>
      <w:r w:rsidRPr="006D5039">
        <w:rPr>
          <w:rFonts w:ascii="Times New Roman" w:eastAsia="Times New Roman" w:hAnsi="Times New Roman" w:cs="Times New Roman"/>
          <w:sz w:val="24"/>
          <w:szCs w:val="24"/>
          <w:lang w:eastAsia="en-IN"/>
        </w:rPr>
        <w:t>fueled</w:t>
      </w:r>
      <w:proofErr w:type="spellEnd"/>
      <w:r w:rsidRPr="006D5039">
        <w:rPr>
          <w:rFonts w:ascii="Times New Roman" w:eastAsia="Times New Roman" w:hAnsi="Times New Roman" w:cs="Times New Roman"/>
          <w:sz w:val="24"/>
          <w:szCs w:val="24"/>
          <w:lang w:eastAsia="en-IN"/>
        </w:rPr>
        <w:t xml:space="preserve"> by IoT integration, rising adoption of smart homes and connected offices, and increasing demand for ergonomic and multifunctional furniture.</w:t>
      </w:r>
    </w:p>
    <w:p w14:paraId="2239A7FA" w14:textId="77777777" w:rsidR="006D5039" w:rsidRPr="006D5039" w:rsidRDefault="006D5039" w:rsidP="006D5039">
      <w:pPr>
        <w:spacing w:after="0"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pict w14:anchorId="4588ED28">
          <v:rect id="_x0000_i1026" style="width:0;height:1.5pt" o:hralign="center" o:hrstd="t" o:hr="t" fillcolor="#a0a0a0" stroked="f"/>
        </w:pict>
      </w:r>
    </w:p>
    <w:p w14:paraId="18EDE02A"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C. JSON-LD SEO Schema</w:t>
      </w:r>
    </w:p>
    <w:p w14:paraId="78BD6387"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Breadcrumb Schema</w:t>
      </w:r>
    </w:p>
    <w:p w14:paraId="14A01BB2"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w:t>
      </w:r>
    </w:p>
    <w:p w14:paraId="5D5333A2"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"@context": "https://schema.org",</w:t>
      </w:r>
    </w:p>
    <w:p w14:paraId="5BF0C1FD"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w:t>
      </w:r>
      <w:proofErr w:type="spellStart"/>
      <w:r w:rsidRPr="006D5039">
        <w:rPr>
          <w:rFonts w:ascii="Courier New" w:eastAsia="Times New Roman" w:hAnsi="Courier New" w:cs="Courier New"/>
          <w:sz w:val="20"/>
          <w:szCs w:val="20"/>
          <w:lang w:eastAsia="en-IN"/>
        </w:rPr>
        <w:t>BreadcrumbList</w:t>
      </w:r>
      <w:proofErr w:type="spellEnd"/>
      <w:r w:rsidRPr="006D5039">
        <w:rPr>
          <w:rFonts w:ascii="Courier New" w:eastAsia="Times New Roman" w:hAnsi="Courier New" w:cs="Courier New"/>
          <w:sz w:val="20"/>
          <w:szCs w:val="20"/>
          <w:lang w:eastAsia="en-IN"/>
        </w:rPr>
        <w:t>",</w:t>
      </w:r>
    </w:p>
    <w:p w14:paraId="3E4EF594"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roofErr w:type="spellStart"/>
      <w:r w:rsidRPr="006D5039">
        <w:rPr>
          <w:rFonts w:ascii="Courier New" w:eastAsia="Times New Roman" w:hAnsi="Courier New" w:cs="Courier New"/>
          <w:sz w:val="20"/>
          <w:szCs w:val="20"/>
          <w:lang w:eastAsia="en-IN"/>
        </w:rPr>
        <w:t>itemListElement</w:t>
      </w:r>
      <w:proofErr w:type="spellEnd"/>
      <w:r w:rsidRPr="006D5039">
        <w:rPr>
          <w:rFonts w:ascii="Courier New" w:eastAsia="Times New Roman" w:hAnsi="Courier New" w:cs="Courier New"/>
          <w:sz w:val="20"/>
          <w:szCs w:val="20"/>
          <w:lang w:eastAsia="en-IN"/>
        </w:rPr>
        <w:t>": [</w:t>
      </w:r>
    </w:p>
    <w:p w14:paraId="76301377"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2D67C13B"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w:t>
      </w:r>
      <w:proofErr w:type="spellStart"/>
      <w:r w:rsidRPr="006D5039">
        <w:rPr>
          <w:rFonts w:ascii="Courier New" w:eastAsia="Times New Roman" w:hAnsi="Courier New" w:cs="Courier New"/>
          <w:sz w:val="20"/>
          <w:szCs w:val="20"/>
          <w:lang w:eastAsia="en-IN"/>
        </w:rPr>
        <w:t>ListItem</w:t>
      </w:r>
      <w:proofErr w:type="spellEnd"/>
      <w:r w:rsidRPr="006D5039">
        <w:rPr>
          <w:rFonts w:ascii="Courier New" w:eastAsia="Times New Roman" w:hAnsi="Courier New" w:cs="Courier New"/>
          <w:sz w:val="20"/>
          <w:szCs w:val="20"/>
          <w:lang w:eastAsia="en-IN"/>
        </w:rPr>
        <w:t>",</w:t>
      </w:r>
    </w:p>
    <w:p w14:paraId="006CB7CC"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"position": 1,</w:t>
      </w:r>
    </w:p>
    <w:p w14:paraId="65D3CBE6"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"name": "Home",</w:t>
      </w:r>
    </w:p>
    <w:p w14:paraId="094218A4"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"item": "https://www.strategicmarketresearch.com/"</w:t>
      </w:r>
    </w:p>
    <w:p w14:paraId="47B8019A"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7922495C"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33653526"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w:t>
      </w:r>
      <w:proofErr w:type="spellStart"/>
      <w:r w:rsidRPr="006D5039">
        <w:rPr>
          <w:rFonts w:ascii="Courier New" w:eastAsia="Times New Roman" w:hAnsi="Courier New" w:cs="Courier New"/>
          <w:sz w:val="20"/>
          <w:szCs w:val="20"/>
          <w:lang w:eastAsia="en-IN"/>
        </w:rPr>
        <w:t>ListItem</w:t>
      </w:r>
      <w:proofErr w:type="spellEnd"/>
      <w:r w:rsidRPr="006D5039">
        <w:rPr>
          <w:rFonts w:ascii="Courier New" w:eastAsia="Times New Roman" w:hAnsi="Courier New" w:cs="Courier New"/>
          <w:sz w:val="20"/>
          <w:szCs w:val="20"/>
          <w:lang w:eastAsia="en-IN"/>
        </w:rPr>
        <w:t>",</w:t>
      </w:r>
    </w:p>
    <w:p w14:paraId="4CB4CDD8"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"position": 2,</w:t>
      </w:r>
    </w:p>
    <w:p w14:paraId="4F49A58B" w14:textId="15AE91EE"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"name": "Homecare </w:t>
      </w:r>
      <w:proofErr w:type="gramStart"/>
      <w:r w:rsidRPr="006D5039">
        <w:rPr>
          <w:rFonts w:ascii="Courier New" w:eastAsia="Times New Roman" w:hAnsi="Courier New" w:cs="Courier New"/>
          <w:sz w:val="20"/>
          <w:szCs w:val="20"/>
          <w:lang w:eastAsia="en-IN"/>
        </w:rPr>
        <w:t>And</w:t>
      </w:r>
      <w:proofErr w:type="gramEnd"/>
      <w:r w:rsidRPr="006D5039">
        <w:rPr>
          <w:rFonts w:ascii="Courier New" w:eastAsia="Times New Roman" w:hAnsi="Courier New" w:cs="Courier New"/>
          <w:sz w:val="20"/>
          <w:szCs w:val="20"/>
          <w:lang w:eastAsia="en-IN"/>
        </w:rPr>
        <w:t xml:space="preserve"> Decor",</w:t>
      </w:r>
    </w:p>
    <w:p w14:paraId="5760A9AD" w14:textId="2FDACE61"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"item": "https://www.strategicmarketresearch.com/report/homecare-and-decor"</w:t>
      </w:r>
    </w:p>
    <w:p w14:paraId="325A2611"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47733A4F"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2A90C443"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w:t>
      </w:r>
      <w:proofErr w:type="spellStart"/>
      <w:r w:rsidRPr="006D5039">
        <w:rPr>
          <w:rFonts w:ascii="Courier New" w:eastAsia="Times New Roman" w:hAnsi="Courier New" w:cs="Courier New"/>
          <w:sz w:val="20"/>
          <w:szCs w:val="20"/>
          <w:lang w:eastAsia="en-IN"/>
        </w:rPr>
        <w:t>ListItem</w:t>
      </w:r>
      <w:proofErr w:type="spellEnd"/>
      <w:r w:rsidRPr="006D5039">
        <w:rPr>
          <w:rFonts w:ascii="Courier New" w:eastAsia="Times New Roman" w:hAnsi="Courier New" w:cs="Courier New"/>
          <w:sz w:val="20"/>
          <w:szCs w:val="20"/>
          <w:lang w:eastAsia="en-IN"/>
        </w:rPr>
        <w:t>",</w:t>
      </w:r>
    </w:p>
    <w:p w14:paraId="0EC616D5"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"position": 3,</w:t>
      </w:r>
    </w:p>
    <w:p w14:paraId="6066B0B6"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"name": "Smart Furniture Market Report 2030",</w:t>
      </w:r>
    </w:p>
    <w:p w14:paraId="5E960CF5"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"item": "https://www.strategicmarketresearch.com/market-report/smart-furniture-market"</w:t>
      </w:r>
    </w:p>
    <w:p w14:paraId="3D7C00D9"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5939699C"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lastRenderedPageBreak/>
        <w:t xml:space="preserve">  ]</w:t>
      </w:r>
    </w:p>
    <w:p w14:paraId="0A956B47"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w:t>
      </w:r>
    </w:p>
    <w:p w14:paraId="214141F6"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FAQ Schema</w:t>
      </w:r>
    </w:p>
    <w:p w14:paraId="5F8C3290"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w:t>
      </w:r>
    </w:p>
    <w:p w14:paraId="207CA0FF"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"@context": "https://schema.org",</w:t>
      </w:r>
    </w:p>
    <w:p w14:paraId="68391294"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w:t>
      </w:r>
      <w:proofErr w:type="spellStart"/>
      <w:r w:rsidRPr="006D5039">
        <w:rPr>
          <w:rFonts w:ascii="Courier New" w:eastAsia="Times New Roman" w:hAnsi="Courier New" w:cs="Courier New"/>
          <w:sz w:val="20"/>
          <w:szCs w:val="20"/>
          <w:lang w:eastAsia="en-IN"/>
        </w:rPr>
        <w:t>FAQPage</w:t>
      </w:r>
      <w:proofErr w:type="spellEnd"/>
      <w:r w:rsidRPr="006D5039">
        <w:rPr>
          <w:rFonts w:ascii="Courier New" w:eastAsia="Times New Roman" w:hAnsi="Courier New" w:cs="Courier New"/>
          <w:sz w:val="20"/>
          <w:szCs w:val="20"/>
          <w:lang w:eastAsia="en-IN"/>
        </w:rPr>
        <w:t>",</w:t>
      </w:r>
    </w:p>
    <w:p w14:paraId="708A9D97"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roofErr w:type="spellStart"/>
      <w:r w:rsidRPr="006D5039">
        <w:rPr>
          <w:rFonts w:ascii="Courier New" w:eastAsia="Times New Roman" w:hAnsi="Courier New" w:cs="Courier New"/>
          <w:sz w:val="20"/>
          <w:szCs w:val="20"/>
          <w:lang w:eastAsia="en-IN"/>
        </w:rPr>
        <w:t>mainEntity</w:t>
      </w:r>
      <w:proofErr w:type="spellEnd"/>
      <w:r w:rsidRPr="006D5039">
        <w:rPr>
          <w:rFonts w:ascii="Courier New" w:eastAsia="Times New Roman" w:hAnsi="Courier New" w:cs="Courier New"/>
          <w:sz w:val="20"/>
          <w:szCs w:val="20"/>
          <w:lang w:eastAsia="en-IN"/>
        </w:rPr>
        <w:t>": [</w:t>
      </w:r>
    </w:p>
    <w:p w14:paraId="10CCA44B"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15C77D3B"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"Question",</w:t>
      </w:r>
    </w:p>
    <w:p w14:paraId="211C0BD0"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"name": "How big is the smart furniture market?",</w:t>
      </w:r>
    </w:p>
    <w:p w14:paraId="4BFDFA10"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roofErr w:type="spellStart"/>
      <w:r w:rsidRPr="006D5039">
        <w:rPr>
          <w:rFonts w:ascii="Courier New" w:eastAsia="Times New Roman" w:hAnsi="Courier New" w:cs="Courier New"/>
          <w:sz w:val="20"/>
          <w:szCs w:val="20"/>
          <w:lang w:eastAsia="en-IN"/>
        </w:rPr>
        <w:t>acceptedAnswer</w:t>
      </w:r>
      <w:proofErr w:type="spellEnd"/>
      <w:r w:rsidRPr="006D5039">
        <w:rPr>
          <w:rFonts w:ascii="Courier New" w:eastAsia="Times New Roman" w:hAnsi="Courier New" w:cs="Courier New"/>
          <w:sz w:val="20"/>
          <w:szCs w:val="20"/>
          <w:lang w:eastAsia="en-IN"/>
        </w:rPr>
        <w:t>": {</w:t>
      </w:r>
    </w:p>
    <w:p w14:paraId="696F06EF"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"Answer",</w:t>
      </w:r>
    </w:p>
    <w:p w14:paraId="6369F7D5"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"text": "The global smart furniture market was valued at USD 6.8 billion in 2024."</w:t>
      </w:r>
    </w:p>
    <w:p w14:paraId="73558DA1"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34273EDE"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60A39B58"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7F8B70DB"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"Question",</w:t>
      </w:r>
    </w:p>
    <w:p w14:paraId="2375855C"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"name": "What is the CAGR for the forecast period?",</w:t>
      </w:r>
    </w:p>
    <w:p w14:paraId="6E89E160"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roofErr w:type="spellStart"/>
      <w:r w:rsidRPr="006D5039">
        <w:rPr>
          <w:rFonts w:ascii="Courier New" w:eastAsia="Times New Roman" w:hAnsi="Courier New" w:cs="Courier New"/>
          <w:sz w:val="20"/>
          <w:szCs w:val="20"/>
          <w:lang w:eastAsia="en-IN"/>
        </w:rPr>
        <w:t>acceptedAnswer</w:t>
      </w:r>
      <w:proofErr w:type="spellEnd"/>
      <w:r w:rsidRPr="006D5039">
        <w:rPr>
          <w:rFonts w:ascii="Courier New" w:eastAsia="Times New Roman" w:hAnsi="Courier New" w:cs="Courier New"/>
          <w:sz w:val="20"/>
          <w:szCs w:val="20"/>
          <w:lang w:eastAsia="en-IN"/>
        </w:rPr>
        <w:t>": {</w:t>
      </w:r>
    </w:p>
    <w:p w14:paraId="3A98209A"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"Answer",</w:t>
      </w:r>
    </w:p>
    <w:p w14:paraId="7927902E" w14:textId="67FB158F"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"text": "The market is expected to grow at a CAGR of </w:t>
      </w:r>
      <w:r>
        <w:rPr>
          <w:rFonts w:ascii="Courier New" w:eastAsia="Times New Roman" w:hAnsi="Courier New" w:cs="Courier New"/>
          <w:sz w:val="20"/>
          <w:szCs w:val="20"/>
          <w:lang w:eastAsia="en-IN"/>
        </w:rPr>
        <w:t>12.1</w:t>
      </w:r>
      <w:r w:rsidRPr="006D5039">
        <w:rPr>
          <w:rFonts w:ascii="Courier New" w:eastAsia="Times New Roman" w:hAnsi="Courier New" w:cs="Courier New"/>
          <w:sz w:val="20"/>
          <w:szCs w:val="20"/>
          <w:lang w:eastAsia="en-IN"/>
        </w:rPr>
        <w:t>% from 2024 to 2030."</w:t>
      </w:r>
    </w:p>
    <w:p w14:paraId="7DD3258D"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28548158"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4CF2CED5"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19F58E42"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"Question",</w:t>
      </w:r>
    </w:p>
    <w:p w14:paraId="7C5F3B63"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"name": "Who are the major players in this market?",</w:t>
      </w:r>
    </w:p>
    <w:p w14:paraId="6C7634C1"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roofErr w:type="spellStart"/>
      <w:r w:rsidRPr="006D5039">
        <w:rPr>
          <w:rFonts w:ascii="Courier New" w:eastAsia="Times New Roman" w:hAnsi="Courier New" w:cs="Courier New"/>
          <w:sz w:val="20"/>
          <w:szCs w:val="20"/>
          <w:lang w:eastAsia="en-IN"/>
        </w:rPr>
        <w:t>acceptedAnswer</w:t>
      </w:r>
      <w:proofErr w:type="spellEnd"/>
      <w:r w:rsidRPr="006D5039">
        <w:rPr>
          <w:rFonts w:ascii="Courier New" w:eastAsia="Times New Roman" w:hAnsi="Courier New" w:cs="Courier New"/>
          <w:sz w:val="20"/>
          <w:szCs w:val="20"/>
          <w:lang w:eastAsia="en-IN"/>
        </w:rPr>
        <w:t>": {</w:t>
      </w:r>
    </w:p>
    <w:p w14:paraId="0DD2D09E"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"Answer",</w:t>
      </w:r>
    </w:p>
    <w:p w14:paraId="6B9A04A7"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"text": "Leading players include Herman Miller, Steelcase, IKEA, FLEXISPOT, and Xiaomi."</w:t>
      </w:r>
    </w:p>
    <w:p w14:paraId="0EB170E8"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48454009"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23B66540"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275702C5"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"Question",</w:t>
      </w:r>
    </w:p>
    <w:p w14:paraId="50121416"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"name": "Which region dominates the market share?",</w:t>
      </w:r>
    </w:p>
    <w:p w14:paraId="609965A2"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roofErr w:type="spellStart"/>
      <w:r w:rsidRPr="006D5039">
        <w:rPr>
          <w:rFonts w:ascii="Courier New" w:eastAsia="Times New Roman" w:hAnsi="Courier New" w:cs="Courier New"/>
          <w:sz w:val="20"/>
          <w:szCs w:val="20"/>
          <w:lang w:eastAsia="en-IN"/>
        </w:rPr>
        <w:t>acceptedAnswer</w:t>
      </w:r>
      <w:proofErr w:type="spellEnd"/>
      <w:r w:rsidRPr="006D5039">
        <w:rPr>
          <w:rFonts w:ascii="Courier New" w:eastAsia="Times New Roman" w:hAnsi="Courier New" w:cs="Courier New"/>
          <w:sz w:val="20"/>
          <w:szCs w:val="20"/>
          <w:lang w:eastAsia="en-IN"/>
        </w:rPr>
        <w:t>": {</w:t>
      </w:r>
    </w:p>
    <w:p w14:paraId="77DCE94A"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"Answer",</w:t>
      </w:r>
    </w:p>
    <w:p w14:paraId="70EEBC3B"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"text": "North America leads due to high disposable income, advanced technology adoption, and strong awareness of ergonomic and smart living solutions."</w:t>
      </w:r>
    </w:p>
    <w:p w14:paraId="11B8297C"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611C2BDF"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10CC0233"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7D7D1F7D"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"Question",</w:t>
      </w:r>
    </w:p>
    <w:p w14:paraId="442DEAC2"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"name": "What factors are driving growth in the smart furniture market?",</w:t>
      </w:r>
    </w:p>
    <w:p w14:paraId="3093E121"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roofErr w:type="spellStart"/>
      <w:r w:rsidRPr="006D5039">
        <w:rPr>
          <w:rFonts w:ascii="Courier New" w:eastAsia="Times New Roman" w:hAnsi="Courier New" w:cs="Courier New"/>
          <w:sz w:val="20"/>
          <w:szCs w:val="20"/>
          <w:lang w:eastAsia="en-IN"/>
        </w:rPr>
        <w:t>acceptedAnswer</w:t>
      </w:r>
      <w:proofErr w:type="spellEnd"/>
      <w:r w:rsidRPr="006D5039">
        <w:rPr>
          <w:rFonts w:ascii="Courier New" w:eastAsia="Times New Roman" w:hAnsi="Courier New" w:cs="Courier New"/>
          <w:sz w:val="20"/>
          <w:szCs w:val="20"/>
          <w:lang w:eastAsia="en-IN"/>
        </w:rPr>
        <w:t>": {</w:t>
      </w:r>
    </w:p>
    <w:p w14:paraId="343081DC"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"@type": "Answer",</w:t>
      </w:r>
    </w:p>
    <w:p w14:paraId="43F2AAB7"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"text": "Growth is </w:t>
      </w:r>
      <w:proofErr w:type="spellStart"/>
      <w:r w:rsidRPr="006D5039">
        <w:rPr>
          <w:rFonts w:ascii="Courier New" w:eastAsia="Times New Roman" w:hAnsi="Courier New" w:cs="Courier New"/>
          <w:sz w:val="20"/>
          <w:szCs w:val="20"/>
          <w:lang w:eastAsia="en-IN"/>
        </w:rPr>
        <w:t>fueled</w:t>
      </w:r>
      <w:proofErr w:type="spellEnd"/>
      <w:r w:rsidRPr="006D5039">
        <w:rPr>
          <w:rFonts w:ascii="Courier New" w:eastAsia="Times New Roman" w:hAnsi="Courier New" w:cs="Courier New"/>
          <w:sz w:val="20"/>
          <w:szCs w:val="20"/>
          <w:lang w:eastAsia="en-IN"/>
        </w:rPr>
        <w:t xml:space="preserve"> by IoT integration, rising adoption of smart homes and connected offices, and increasing demand for ergonomic and multifunctional furniture."</w:t>
      </w:r>
    </w:p>
    <w:p w14:paraId="4F8C077F"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4A0864E2"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3F131276"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 xml:space="preserve">  ]</w:t>
      </w:r>
    </w:p>
    <w:p w14:paraId="59B802F8" w14:textId="77777777" w:rsidR="006D5039" w:rsidRPr="006D5039" w:rsidRDefault="006D5039" w:rsidP="006D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039">
        <w:rPr>
          <w:rFonts w:ascii="Courier New" w:eastAsia="Times New Roman" w:hAnsi="Courier New" w:cs="Courier New"/>
          <w:sz w:val="20"/>
          <w:szCs w:val="20"/>
          <w:lang w:eastAsia="en-IN"/>
        </w:rPr>
        <w:t>}</w:t>
      </w:r>
    </w:p>
    <w:p w14:paraId="6A9DCF88" w14:textId="77777777" w:rsidR="006D5039" w:rsidRPr="006D5039" w:rsidRDefault="006D5039" w:rsidP="006D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5039">
        <w:rPr>
          <w:rFonts w:ascii="Times New Roman" w:eastAsia="Times New Roman" w:hAnsi="Times New Roman" w:cs="Times New Roman"/>
          <w:b/>
          <w:bCs/>
          <w:kern w:val="36"/>
          <w:sz w:val="48"/>
          <w:szCs w:val="48"/>
          <w:lang w:eastAsia="en-IN"/>
        </w:rPr>
        <w:lastRenderedPageBreak/>
        <w:t>9. Table of Contents</w:t>
      </w:r>
    </w:p>
    <w:p w14:paraId="432F80D4"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Executive Summary</w:t>
      </w:r>
    </w:p>
    <w:p w14:paraId="106E187D" w14:textId="77777777" w:rsidR="006D5039" w:rsidRPr="006D5039" w:rsidRDefault="006D5039" w:rsidP="006D50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Overview</w:t>
      </w:r>
    </w:p>
    <w:p w14:paraId="6AAE3439" w14:textId="77777777" w:rsidR="006D5039" w:rsidRPr="006D5039" w:rsidRDefault="006D5039" w:rsidP="006D50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Attractiveness by Product Type, Application, End User, and Region</w:t>
      </w:r>
    </w:p>
    <w:p w14:paraId="38164D1E" w14:textId="77777777" w:rsidR="006D5039" w:rsidRPr="006D5039" w:rsidRDefault="006D5039" w:rsidP="006D50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Strategic Insights from Key Executives (CXO Perspective)</w:t>
      </w:r>
    </w:p>
    <w:p w14:paraId="4A994CA4" w14:textId="77777777" w:rsidR="006D5039" w:rsidRPr="006D5039" w:rsidRDefault="006D5039" w:rsidP="006D50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Historical Market Size and Future Projections (2022–2030)</w:t>
      </w:r>
    </w:p>
    <w:p w14:paraId="761E1A20" w14:textId="77777777" w:rsidR="006D5039" w:rsidRPr="006D5039" w:rsidRDefault="006D5039" w:rsidP="006D50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Summary of Market Segmentation by Product Type, Application, End User, and Region</w:t>
      </w:r>
    </w:p>
    <w:p w14:paraId="7BDD22B3"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Market Share Analysis</w:t>
      </w:r>
    </w:p>
    <w:p w14:paraId="6D892E93" w14:textId="77777777" w:rsidR="006D5039" w:rsidRPr="006D5039" w:rsidRDefault="006D5039" w:rsidP="006D503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Leading Players by Revenue and Market Share</w:t>
      </w:r>
    </w:p>
    <w:p w14:paraId="42CCBFDA" w14:textId="77777777" w:rsidR="006D5039" w:rsidRPr="006D5039" w:rsidRDefault="006D5039" w:rsidP="006D503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Share Analysis by Product Type, Application, and End User</w:t>
      </w:r>
    </w:p>
    <w:p w14:paraId="43E8F12D"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Investment Opportunities in the Smart Furniture Market</w:t>
      </w:r>
    </w:p>
    <w:p w14:paraId="5A79232A" w14:textId="77777777" w:rsidR="006D5039" w:rsidRPr="006D5039" w:rsidRDefault="006D5039" w:rsidP="006D50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Key Developments and Innovations</w:t>
      </w:r>
    </w:p>
    <w:p w14:paraId="7446D799" w14:textId="77777777" w:rsidR="006D5039" w:rsidRPr="006D5039" w:rsidRDefault="006D5039" w:rsidP="006D50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Mergers, Acquisitions, and Strategic Partnerships</w:t>
      </w:r>
    </w:p>
    <w:p w14:paraId="5CCA0483" w14:textId="77777777" w:rsidR="006D5039" w:rsidRPr="006D5039" w:rsidRDefault="006D5039" w:rsidP="006D50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High-Growth Segments for Investment</w:t>
      </w:r>
    </w:p>
    <w:p w14:paraId="4D1C0036"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Market Introduction</w:t>
      </w:r>
    </w:p>
    <w:p w14:paraId="464103AA" w14:textId="77777777" w:rsidR="006D5039" w:rsidRPr="006D5039" w:rsidRDefault="006D5039" w:rsidP="006D50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Definition and Scope of the Study</w:t>
      </w:r>
    </w:p>
    <w:p w14:paraId="473667C0" w14:textId="77777777" w:rsidR="006D5039" w:rsidRPr="006D5039" w:rsidRDefault="006D5039" w:rsidP="006D50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Structure and Key Findings</w:t>
      </w:r>
    </w:p>
    <w:p w14:paraId="0D37062C" w14:textId="77777777" w:rsidR="006D5039" w:rsidRPr="006D5039" w:rsidRDefault="006D5039" w:rsidP="006D50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Overview of Top Investment Pockets</w:t>
      </w:r>
    </w:p>
    <w:p w14:paraId="12F47C29"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Research Methodology</w:t>
      </w:r>
    </w:p>
    <w:p w14:paraId="484BF0E2" w14:textId="77777777" w:rsidR="006D5039" w:rsidRPr="006D5039" w:rsidRDefault="006D5039" w:rsidP="006D50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Research Process Overview</w:t>
      </w:r>
    </w:p>
    <w:p w14:paraId="2464EC97" w14:textId="77777777" w:rsidR="006D5039" w:rsidRPr="006D5039" w:rsidRDefault="006D5039" w:rsidP="006D50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Primary and Secondary Research Approaches</w:t>
      </w:r>
    </w:p>
    <w:p w14:paraId="4ED51234" w14:textId="77777777" w:rsidR="006D5039" w:rsidRPr="006D5039" w:rsidRDefault="006D5039" w:rsidP="006D50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Size Estimation and Forecasting Techniques</w:t>
      </w:r>
    </w:p>
    <w:p w14:paraId="5F283B51"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Market Dynamics</w:t>
      </w:r>
    </w:p>
    <w:p w14:paraId="257877E1" w14:textId="77777777" w:rsidR="006D5039" w:rsidRPr="006D5039" w:rsidRDefault="006D5039" w:rsidP="006D5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Key Market Drivers</w:t>
      </w:r>
    </w:p>
    <w:p w14:paraId="199BCA55" w14:textId="77777777" w:rsidR="006D5039" w:rsidRPr="006D5039" w:rsidRDefault="006D5039" w:rsidP="006D5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Challenges and Restraints Impacting Growth</w:t>
      </w:r>
    </w:p>
    <w:p w14:paraId="08ADDF52" w14:textId="77777777" w:rsidR="006D5039" w:rsidRPr="006D5039" w:rsidRDefault="006D5039" w:rsidP="006D5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Emerging Opportunities for Stakeholders</w:t>
      </w:r>
    </w:p>
    <w:p w14:paraId="115D085C" w14:textId="77777777" w:rsidR="006D5039" w:rsidRPr="006D5039" w:rsidRDefault="006D5039" w:rsidP="006D5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 xml:space="preserve">Impact of </w:t>
      </w:r>
      <w:proofErr w:type="spellStart"/>
      <w:r w:rsidRPr="006D5039">
        <w:rPr>
          <w:rFonts w:ascii="Times New Roman" w:eastAsia="Times New Roman" w:hAnsi="Times New Roman" w:cs="Times New Roman"/>
          <w:sz w:val="24"/>
          <w:szCs w:val="24"/>
          <w:lang w:eastAsia="en-IN"/>
        </w:rPr>
        <w:t>Behavioral</w:t>
      </w:r>
      <w:proofErr w:type="spellEnd"/>
      <w:r w:rsidRPr="006D5039">
        <w:rPr>
          <w:rFonts w:ascii="Times New Roman" w:eastAsia="Times New Roman" w:hAnsi="Times New Roman" w:cs="Times New Roman"/>
          <w:sz w:val="24"/>
          <w:szCs w:val="24"/>
          <w:lang w:eastAsia="en-IN"/>
        </w:rPr>
        <w:t xml:space="preserve"> and Regulatory Factors</w:t>
      </w:r>
    </w:p>
    <w:p w14:paraId="39167469" w14:textId="77777777" w:rsidR="006D5039" w:rsidRPr="006D5039" w:rsidRDefault="006D5039" w:rsidP="006D5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Technological Advances in Smart Furniture</w:t>
      </w:r>
    </w:p>
    <w:p w14:paraId="2D7CA275"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Global Smart Furniture Market Analysis</w:t>
      </w:r>
    </w:p>
    <w:p w14:paraId="217132D4" w14:textId="77777777" w:rsidR="006D5039" w:rsidRPr="006D5039" w:rsidRDefault="006D5039" w:rsidP="006D5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Historical Market Size and Volume (2022–2023)</w:t>
      </w:r>
    </w:p>
    <w:p w14:paraId="0EB7BE11" w14:textId="77777777" w:rsidR="006D5039" w:rsidRPr="006D5039" w:rsidRDefault="006D5039" w:rsidP="006D5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Size and Volume Forecasts (2024–2030)</w:t>
      </w:r>
    </w:p>
    <w:p w14:paraId="3A035DDB" w14:textId="77777777" w:rsidR="006D5039" w:rsidRPr="006D5039" w:rsidRDefault="006D5039" w:rsidP="006D5039">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6D5039">
        <w:rPr>
          <w:rFonts w:ascii="Times New Roman" w:eastAsia="Times New Roman" w:hAnsi="Times New Roman" w:cs="Times New Roman"/>
          <w:b/>
          <w:bCs/>
          <w:sz w:val="24"/>
          <w:szCs w:val="24"/>
          <w:lang w:eastAsia="en-IN"/>
        </w:rPr>
        <w:t>Market Analysis by Product Type:</w:t>
      </w:r>
    </w:p>
    <w:p w14:paraId="2E345F92"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Smart Desks &amp; Workstations</w:t>
      </w:r>
    </w:p>
    <w:p w14:paraId="2A4322AE"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Smart Beds</w:t>
      </w:r>
    </w:p>
    <w:p w14:paraId="6C96415A"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lastRenderedPageBreak/>
        <w:t>Smart Seating</w:t>
      </w:r>
    </w:p>
    <w:p w14:paraId="5B561939"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Modular Smart Storage &amp; Tables</w:t>
      </w:r>
    </w:p>
    <w:p w14:paraId="11127F8B" w14:textId="77777777" w:rsidR="006D5039" w:rsidRPr="006D5039" w:rsidRDefault="006D5039" w:rsidP="006D5039">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6D5039">
        <w:rPr>
          <w:rFonts w:ascii="Times New Roman" w:eastAsia="Times New Roman" w:hAnsi="Times New Roman" w:cs="Times New Roman"/>
          <w:b/>
          <w:bCs/>
          <w:sz w:val="24"/>
          <w:szCs w:val="24"/>
          <w:lang w:eastAsia="en-IN"/>
        </w:rPr>
        <w:t>Market Analysis by Application:</w:t>
      </w:r>
    </w:p>
    <w:p w14:paraId="0DB3B730"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Residential</w:t>
      </w:r>
    </w:p>
    <w:p w14:paraId="42876F0D"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Commercial</w:t>
      </w:r>
    </w:p>
    <w:p w14:paraId="60BC0B8E"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Education</w:t>
      </w:r>
    </w:p>
    <w:p w14:paraId="29142B84"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Hospitality &amp; Healthcare</w:t>
      </w:r>
    </w:p>
    <w:p w14:paraId="05D63422" w14:textId="77777777" w:rsidR="006D5039" w:rsidRPr="006D5039" w:rsidRDefault="006D5039" w:rsidP="006D5039">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6D5039">
        <w:rPr>
          <w:rFonts w:ascii="Times New Roman" w:eastAsia="Times New Roman" w:hAnsi="Times New Roman" w:cs="Times New Roman"/>
          <w:b/>
          <w:bCs/>
          <w:sz w:val="24"/>
          <w:szCs w:val="24"/>
          <w:lang w:eastAsia="en-IN"/>
        </w:rPr>
        <w:t>Market Analysis by End User:</w:t>
      </w:r>
    </w:p>
    <w:p w14:paraId="059AB347"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Consumers</w:t>
      </w:r>
    </w:p>
    <w:p w14:paraId="1ADC63BE"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Enterprises</w:t>
      </w:r>
    </w:p>
    <w:p w14:paraId="13EB254D"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Educational Institutions</w:t>
      </w:r>
    </w:p>
    <w:p w14:paraId="3F02B412"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Hospitality &amp; Healthcare</w:t>
      </w:r>
    </w:p>
    <w:p w14:paraId="65C2D9BF" w14:textId="77777777" w:rsidR="006D5039" w:rsidRPr="006D5039" w:rsidRDefault="006D5039" w:rsidP="006D5039">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6D5039">
        <w:rPr>
          <w:rFonts w:ascii="Times New Roman" w:eastAsia="Times New Roman" w:hAnsi="Times New Roman" w:cs="Times New Roman"/>
          <w:b/>
          <w:bCs/>
          <w:sz w:val="24"/>
          <w:szCs w:val="24"/>
          <w:lang w:eastAsia="en-IN"/>
        </w:rPr>
        <w:t>Market Analysis by Region:</w:t>
      </w:r>
    </w:p>
    <w:p w14:paraId="7F2871F7"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North America</w:t>
      </w:r>
    </w:p>
    <w:p w14:paraId="4DA8FB0E"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Europe</w:t>
      </w:r>
    </w:p>
    <w:p w14:paraId="66B41855"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Asia-Pacific</w:t>
      </w:r>
    </w:p>
    <w:p w14:paraId="26166353"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Latin America</w:t>
      </w:r>
    </w:p>
    <w:p w14:paraId="43ED36F3" w14:textId="77777777" w:rsidR="006D5039" w:rsidRPr="006D5039" w:rsidRDefault="006D5039" w:rsidP="006D50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Middle East &amp; Africa</w:t>
      </w:r>
    </w:p>
    <w:p w14:paraId="7E61F345"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Regional Market Analysis</w:t>
      </w:r>
    </w:p>
    <w:p w14:paraId="0EBEACF5" w14:textId="77777777" w:rsidR="006D5039" w:rsidRPr="006D5039" w:rsidRDefault="006D5039" w:rsidP="006D5039">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6D5039">
        <w:rPr>
          <w:rFonts w:ascii="Times New Roman" w:eastAsia="Times New Roman" w:hAnsi="Times New Roman" w:cs="Times New Roman"/>
          <w:b/>
          <w:bCs/>
          <w:sz w:val="24"/>
          <w:szCs w:val="24"/>
          <w:lang w:eastAsia="en-IN"/>
        </w:rPr>
        <w:t>North America Smart Furniture Market</w:t>
      </w:r>
    </w:p>
    <w:p w14:paraId="43FDF577" w14:textId="77777777" w:rsidR="006D5039" w:rsidRPr="006D5039" w:rsidRDefault="006D5039" w:rsidP="006D50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Historical Market Size and Volume (2022–2023)</w:t>
      </w:r>
    </w:p>
    <w:p w14:paraId="00BEB47F" w14:textId="77777777" w:rsidR="006D5039" w:rsidRPr="006D5039" w:rsidRDefault="006D5039" w:rsidP="006D50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Size and Volume Forecasts (2024–2030)</w:t>
      </w:r>
    </w:p>
    <w:p w14:paraId="2F1F0C95" w14:textId="77777777" w:rsidR="006D5039" w:rsidRPr="006D5039" w:rsidRDefault="006D5039" w:rsidP="006D50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Analysis by Product Type, Application, and End User</w:t>
      </w:r>
    </w:p>
    <w:p w14:paraId="55327C8E" w14:textId="77777777" w:rsidR="006D5039" w:rsidRPr="006D5039" w:rsidRDefault="006D5039" w:rsidP="006D50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Country-Level Breakdown: United States, Canada, Mexico</w:t>
      </w:r>
    </w:p>
    <w:p w14:paraId="0CE1436B" w14:textId="77777777" w:rsidR="006D5039" w:rsidRPr="006D5039" w:rsidRDefault="006D5039" w:rsidP="006D5039">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6D5039">
        <w:rPr>
          <w:rFonts w:ascii="Times New Roman" w:eastAsia="Times New Roman" w:hAnsi="Times New Roman" w:cs="Times New Roman"/>
          <w:b/>
          <w:bCs/>
          <w:sz w:val="24"/>
          <w:szCs w:val="24"/>
          <w:lang w:eastAsia="en-IN"/>
        </w:rPr>
        <w:t>Europe Smart Furniture Market</w:t>
      </w:r>
    </w:p>
    <w:p w14:paraId="38E42A5A" w14:textId="77777777" w:rsidR="006D5039" w:rsidRPr="006D5039" w:rsidRDefault="006D5039" w:rsidP="006D50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Country-Level Breakdown: Germany, United Kingdom, France, Italy, Spain, Rest of Europe</w:t>
      </w:r>
    </w:p>
    <w:p w14:paraId="2439874E" w14:textId="77777777" w:rsidR="006D5039" w:rsidRPr="006D5039" w:rsidRDefault="006D5039" w:rsidP="006D5039">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6D5039">
        <w:rPr>
          <w:rFonts w:ascii="Times New Roman" w:eastAsia="Times New Roman" w:hAnsi="Times New Roman" w:cs="Times New Roman"/>
          <w:b/>
          <w:bCs/>
          <w:sz w:val="24"/>
          <w:szCs w:val="24"/>
          <w:lang w:eastAsia="en-IN"/>
        </w:rPr>
        <w:t>Asia-Pacific Smart Furniture Market</w:t>
      </w:r>
    </w:p>
    <w:p w14:paraId="4E086F30" w14:textId="77777777" w:rsidR="006D5039" w:rsidRPr="006D5039" w:rsidRDefault="006D5039" w:rsidP="006D50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Country-Level Breakdown: China, India, Japan, South Korea, Rest of Asia-Pacific</w:t>
      </w:r>
    </w:p>
    <w:p w14:paraId="349E5297" w14:textId="77777777" w:rsidR="006D5039" w:rsidRPr="006D5039" w:rsidRDefault="006D5039" w:rsidP="006D5039">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6D5039">
        <w:rPr>
          <w:rFonts w:ascii="Times New Roman" w:eastAsia="Times New Roman" w:hAnsi="Times New Roman" w:cs="Times New Roman"/>
          <w:b/>
          <w:bCs/>
          <w:sz w:val="24"/>
          <w:szCs w:val="24"/>
          <w:lang w:eastAsia="en-IN"/>
        </w:rPr>
        <w:t>Latin America Smart Furniture Market</w:t>
      </w:r>
    </w:p>
    <w:p w14:paraId="38D32FA4" w14:textId="77777777" w:rsidR="006D5039" w:rsidRPr="006D5039" w:rsidRDefault="006D5039" w:rsidP="006D50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Country-Level Breakdown: Brazil, Argentina, Rest of Latin America</w:t>
      </w:r>
    </w:p>
    <w:p w14:paraId="18D776AE" w14:textId="77777777" w:rsidR="006D5039" w:rsidRPr="006D5039" w:rsidRDefault="006D5039" w:rsidP="006D5039">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6D5039">
        <w:rPr>
          <w:rFonts w:ascii="Times New Roman" w:eastAsia="Times New Roman" w:hAnsi="Times New Roman" w:cs="Times New Roman"/>
          <w:b/>
          <w:bCs/>
          <w:sz w:val="24"/>
          <w:szCs w:val="24"/>
          <w:lang w:eastAsia="en-IN"/>
        </w:rPr>
        <w:t>Middle East &amp; Africa Smart Furniture Market</w:t>
      </w:r>
    </w:p>
    <w:p w14:paraId="1CF0AB5C" w14:textId="77777777" w:rsidR="006D5039" w:rsidRPr="006D5039" w:rsidRDefault="006D5039" w:rsidP="006D50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Country-Level Breakdown: GCC Countries, South Africa, Rest of MEA</w:t>
      </w:r>
    </w:p>
    <w:p w14:paraId="57EA9A19"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Key Players and Competitive Analysis</w:t>
      </w:r>
    </w:p>
    <w:p w14:paraId="5E269B54" w14:textId="77777777" w:rsidR="006D5039" w:rsidRPr="006D5039" w:rsidRDefault="006D5039" w:rsidP="006D50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Herman Miller</w:t>
      </w:r>
    </w:p>
    <w:p w14:paraId="0A21D516" w14:textId="77777777" w:rsidR="006D5039" w:rsidRPr="006D5039" w:rsidRDefault="006D5039" w:rsidP="006D50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Steelcase</w:t>
      </w:r>
    </w:p>
    <w:p w14:paraId="4EF8723A" w14:textId="77777777" w:rsidR="006D5039" w:rsidRPr="006D5039" w:rsidRDefault="006D5039" w:rsidP="006D50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IKEA</w:t>
      </w:r>
    </w:p>
    <w:p w14:paraId="2C42EE9E" w14:textId="77777777" w:rsidR="006D5039" w:rsidRPr="006D5039" w:rsidRDefault="006D5039" w:rsidP="006D50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FLEXISPOT</w:t>
      </w:r>
    </w:p>
    <w:p w14:paraId="1EC8EB2F" w14:textId="77777777" w:rsidR="006D5039" w:rsidRPr="006D5039" w:rsidRDefault="006D5039" w:rsidP="006D50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Xiaomi</w:t>
      </w:r>
    </w:p>
    <w:p w14:paraId="1CF31E01"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Appendix</w:t>
      </w:r>
    </w:p>
    <w:p w14:paraId="35D2BB1F" w14:textId="77777777" w:rsidR="006D5039" w:rsidRPr="006D5039" w:rsidRDefault="006D5039" w:rsidP="006D503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Abbreviations and Terminologies Used in the Report</w:t>
      </w:r>
    </w:p>
    <w:p w14:paraId="706154EC" w14:textId="77777777" w:rsidR="006D5039" w:rsidRPr="006D5039" w:rsidRDefault="006D5039" w:rsidP="006D503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References and Sources</w:t>
      </w:r>
    </w:p>
    <w:p w14:paraId="6103D892"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lastRenderedPageBreak/>
        <w:t>List of Tables</w:t>
      </w:r>
    </w:p>
    <w:p w14:paraId="6B98362C" w14:textId="77777777" w:rsidR="006D5039" w:rsidRPr="006D5039" w:rsidRDefault="006D5039" w:rsidP="006D50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Size by Product Type, Application, End User, and Region (2024–2030)</w:t>
      </w:r>
    </w:p>
    <w:p w14:paraId="49632DB8" w14:textId="77777777" w:rsidR="006D5039" w:rsidRPr="006D5039" w:rsidRDefault="006D5039" w:rsidP="006D50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Regional Market Breakdown by Segment Type (2024–2030)</w:t>
      </w:r>
    </w:p>
    <w:p w14:paraId="7CDDCFDF" w14:textId="77777777" w:rsidR="006D5039" w:rsidRPr="006D5039" w:rsidRDefault="006D5039" w:rsidP="006D5039">
      <w:p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b/>
          <w:bCs/>
          <w:sz w:val="24"/>
          <w:szCs w:val="24"/>
          <w:lang w:eastAsia="en-IN"/>
        </w:rPr>
        <w:t>List of Figures</w:t>
      </w:r>
    </w:p>
    <w:p w14:paraId="647C8AA8" w14:textId="77777777" w:rsidR="006D5039" w:rsidRPr="006D5039" w:rsidRDefault="006D5039" w:rsidP="006D50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Drivers, Challenges, and Opportunities</w:t>
      </w:r>
    </w:p>
    <w:p w14:paraId="18E0378F" w14:textId="77777777" w:rsidR="006D5039" w:rsidRPr="006D5039" w:rsidRDefault="006D5039" w:rsidP="006D50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Regional Market Snapshot</w:t>
      </w:r>
    </w:p>
    <w:p w14:paraId="6CC02B55" w14:textId="77777777" w:rsidR="006D5039" w:rsidRPr="006D5039" w:rsidRDefault="006D5039" w:rsidP="006D50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Competitive Landscape by Market Share</w:t>
      </w:r>
    </w:p>
    <w:p w14:paraId="234B5989" w14:textId="77777777" w:rsidR="006D5039" w:rsidRPr="006D5039" w:rsidRDefault="006D5039" w:rsidP="006D50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Growth Strategies Adopted by Key Players</w:t>
      </w:r>
    </w:p>
    <w:p w14:paraId="1CB6A7C6" w14:textId="77777777" w:rsidR="006D5039" w:rsidRPr="006D5039" w:rsidRDefault="006D5039" w:rsidP="006D50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D5039">
        <w:rPr>
          <w:rFonts w:ascii="Times New Roman" w:eastAsia="Times New Roman" w:hAnsi="Times New Roman" w:cs="Times New Roman"/>
          <w:sz w:val="24"/>
          <w:szCs w:val="24"/>
          <w:lang w:eastAsia="en-IN"/>
        </w:rPr>
        <w:t>Market Share by Product Type and Application (2024 vs. 2030)</w:t>
      </w:r>
    </w:p>
    <w:p w14:paraId="6171D218" w14:textId="0356D69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D05"/>
    <w:multiLevelType w:val="multilevel"/>
    <w:tmpl w:val="6330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F4932"/>
    <w:multiLevelType w:val="multilevel"/>
    <w:tmpl w:val="88E8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7550"/>
    <w:multiLevelType w:val="multilevel"/>
    <w:tmpl w:val="79D6A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16EBE"/>
    <w:multiLevelType w:val="multilevel"/>
    <w:tmpl w:val="6216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F0059"/>
    <w:multiLevelType w:val="multilevel"/>
    <w:tmpl w:val="2B9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B2646"/>
    <w:multiLevelType w:val="multilevel"/>
    <w:tmpl w:val="2A3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162A4"/>
    <w:multiLevelType w:val="multilevel"/>
    <w:tmpl w:val="F604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C50BD"/>
    <w:multiLevelType w:val="multilevel"/>
    <w:tmpl w:val="32FE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86813"/>
    <w:multiLevelType w:val="multilevel"/>
    <w:tmpl w:val="FB5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D1995"/>
    <w:multiLevelType w:val="multilevel"/>
    <w:tmpl w:val="2D88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54D71"/>
    <w:multiLevelType w:val="multilevel"/>
    <w:tmpl w:val="512E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90EFB"/>
    <w:multiLevelType w:val="multilevel"/>
    <w:tmpl w:val="C3C03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C7510"/>
    <w:multiLevelType w:val="multilevel"/>
    <w:tmpl w:val="5494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2250F"/>
    <w:multiLevelType w:val="multilevel"/>
    <w:tmpl w:val="F00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83B88"/>
    <w:multiLevelType w:val="multilevel"/>
    <w:tmpl w:val="FFA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1"/>
  </w:num>
  <w:num w:numId="4">
    <w:abstractNumId w:val="6"/>
  </w:num>
  <w:num w:numId="5">
    <w:abstractNumId w:val="4"/>
  </w:num>
  <w:num w:numId="6">
    <w:abstractNumId w:val="9"/>
  </w:num>
  <w:num w:numId="7">
    <w:abstractNumId w:val="14"/>
  </w:num>
  <w:num w:numId="8">
    <w:abstractNumId w:val="5"/>
  </w:num>
  <w:num w:numId="9">
    <w:abstractNumId w:val="13"/>
  </w:num>
  <w:num w:numId="10">
    <w:abstractNumId w:val="2"/>
  </w:num>
  <w:num w:numId="11">
    <w:abstractNumId w:val="11"/>
  </w:num>
  <w:num w:numId="12">
    <w:abstractNumId w:val="3"/>
  </w:num>
  <w:num w:numId="13">
    <w:abstractNumId w:val="8"/>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39"/>
    <w:rsid w:val="0038114E"/>
    <w:rsid w:val="006D5039"/>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36441"/>
  <w15:chartTrackingRefBased/>
  <w15:docId w15:val="{7D5C8A59-7FEE-400A-9FB1-94C74CAB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0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039"/>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6D50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480114">
      <w:bodyDiv w:val="1"/>
      <w:marLeft w:val="0"/>
      <w:marRight w:val="0"/>
      <w:marTop w:val="0"/>
      <w:marBottom w:val="0"/>
      <w:divBdr>
        <w:top w:val="none" w:sz="0" w:space="0" w:color="auto"/>
        <w:left w:val="none" w:sz="0" w:space="0" w:color="auto"/>
        <w:bottom w:val="none" w:sz="0" w:space="0" w:color="auto"/>
        <w:right w:val="none" w:sz="0" w:space="0" w:color="auto"/>
      </w:divBdr>
    </w:div>
    <w:div w:id="657467108">
      <w:bodyDiv w:val="1"/>
      <w:marLeft w:val="0"/>
      <w:marRight w:val="0"/>
      <w:marTop w:val="0"/>
      <w:marBottom w:val="0"/>
      <w:divBdr>
        <w:top w:val="none" w:sz="0" w:space="0" w:color="auto"/>
        <w:left w:val="none" w:sz="0" w:space="0" w:color="auto"/>
        <w:bottom w:val="none" w:sz="0" w:space="0" w:color="auto"/>
        <w:right w:val="none" w:sz="0" w:space="0" w:color="auto"/>
      </w:divBdr>
    </w:div>
    <w:div w:id="805776297">
      <w:bodyDiv w:val="1"/>
      <w:marLeft w:val="0"/>
      <w:marRight w:val="0"/>
      <w:marTop w:val="0"/>
      <w:marBottom w:val="0"/>
      <w:divBdr>
        <w:top w:val="none" w:sz="0" w:space="0" w:color="auto"/>
        <w:left w:val="none" w:sz="0" w:space="0" w:color="auto"/>
        <w:bottom w:val="none" w:sz="0" w:space="0" w:color="auto"/>
        <w:right w:val="none" w:sz="0" w:space="0" w:color="auto"/>
      </w:divBdr>
    </w:div>
    <w:div w:id="877739876">
      <w:bodyDiv w:val="1"/>
      <w:marLeft w:val="0"/>
      <w:marRight w:val="0"/>
      <w:marTop w:val="0"/>
      <w:marBottom w:val="0"/>
      <w:divBdr>
        <w:top w:val="none" w:sz="0" w:space="0" w:color="auto"/>
        <w:left w:val="none" w:sz="0" w:space="0" w:color="auto"/>
        <w:bottom w:val="none" w:sz="0" w:space="0" w:color="auto"/>
        <w:right w:val="none" w:sz="0" w:space="0" w:color="auto"/>
      </w:divBdr>
    </w:div>
    <w:div w:id="923152965">
      <w:bodyDiv w:val="1"/>
      <w:marLeft w:val="0"/>
      <w:marRight w:val="0"/>
      <w:marTop w:val="0"/>
      <w:marBottom w:val="0"/>
      <w:divBdr>
        <w:top w:val="none" w:sz="0" w:space="0" w:color="auto"/>
        <w:left w:val="none" w:sz="0" w:space="0" w:color="auto"/>
        <w:bottom w:val="none" w:sz="0" w:space="0" w:color="auto"/>
        <w:right w:val="none" w:sz="0" w:space="0" w:color="auto"/>
      </w:divBdr>
      <w:divsChild>
        <w:div w:id="1490907112">
          <w:marLeft w:val="0"/>
          <w:marRight w:val="0"/>
          <w:marTop w:val="0"/>
          <w:marBottom w:val="0"/>
          <w:divBdr>
            <w:top w:val="none" w:sz="0" w:space="0" w:color="auto"/>
            <w:left w:val="none" w:sz="0" w:space="0" w:color="auto"/>
            <w:bottom w:val="none" w:sz="0" w:space="0" w:color="auto"/>
            <w:right w:val="none" w:sz="0" w:space="0" w:color="auto"/>
          </w:divBdr>
          <w:divsChild>
            <w:div w:id="7860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00439">
      <w:bodyDiv w:val="1"/>
      <w:marLeft w:val="0"/>
      <w:marRight w:val="0"/>
      <w:marTop w:val="0"/>
      <w:marBottom w:val="0"/>
      <w:divBdr>
        <w:top w:val="none" w:sz="0" w:space="0" w:color="auto"/>
        <w:left w:val="none" w:sz="0" w:space="0" w:color="auto"/>
        <w:bottom w:val="none" w:sz="0" w:space="0" w:color="auto"/>
        <w:right w:val="none" w:sz="0" w:space="0" w:color="auto"/>
      </w:divBdr>
      <w:divsChild>
        <w:div w:id="1628194356">
          <w:marLeft w:val="0"/>
          <w:marRight w:val="0"/>
          <w:marTop w:val="0"/>
          <w:marBottom w:val="0"/>
          <w:divBdr>
            <w:top w:val="none" w:sz="0" w:space="0" w:color="auto"/>
            <w:left w:val="none" w:sz="0" w:space="0" w:color="auto"/>
            <w:bottom w:val="none" w:sz="0" w:space="0" w:color="auto"/>
            <w:right w:val="none" w:sz="0" w:space="0" w:color="auto"/>
          </w:divBdr>
          <w:divsChild>
            <w:div w:id="1037392454">
              <w:marLeft w:val="0"/>
              <w:marRight w:val="0"/>
              <w:marTop w:val="0"/>
              <w:marBottom w:val="0"/>
              <w:divBdr>
                <w:top w:val="none" w:sz="0" w:space="0" w:color="auto"/>
                <w:left w:val="none" w:sz="0" w:space="0" w:color="auto"/>
                <w:bottom w:val="none" w:sz="0" w:space="0" w:color="auto"/>
                <w:right w:val="none" w:sz="0" w:space="0" w:color="auto"/>
              </w:divBdr>
            </w:div>
          </w:divsChild>
        </w:div>
        <w:div w:id="1031760942">
          <w:marLeft w:val="0"/>
          <w:marRight w:val="0"/>
          <w:marTop w:val="0"/>
          <w:marBottom w:val="0"/>
          <w:divBdr>
            <w:top w:val="none" w:sz="0" w:space="0" w:color="auto"/>
            <w:left w:val="none" w:sz="0" w:space="0" w:color="auto"/>
            <w:bottom w:val="none" w:sz="0" w:space="0" w:color="auto"/>
            <w:right w:val="none" w:sz="0" w:space="0" w:color="auto"/>
          </w:divBdr>
          <w:divsChild>
            <w:div w:id="11782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18677">
      <w:bodyDiv w:val="1"/>
      <w:marLeft w:val="0"/>
      <w:marRight w:val="0"/>
      <w:marTop w:val="0"/>
      <w:marBottom w:val="0"/>
      <w:divBdr>
        <w:top w:val="none" w:sz="0" w:space="0" w:color="auto"/>
        <w:left w:val="none" w:sz="0" w:space="0" w:color="auto"/>
        <w:bottom w:val="none" w:sz="0" w:space="0" w:color="auto"/>
        <w:right w:val="none" w:sz="0" w:space="0" w:color="auto"/>
      </w:divBdr>
    </w:div>
    <w:div w:id="1221096511">
      <w:bodyDiv w:val="1"/>
      <w:marLeft w:val="0"/>
      <w:marRight w:val="0"/>
      <w:marTop w:val="0"/>
      <w:marBottom w:val="0"/>
      <w:divBdr>
        <w:top w:val="none" w:sz="0" w:space="0" w:color="auto"/>
        <w:left w:val="none" w:sz="0" w:space="0" w:color="auto"/>
        <w:bottom w:val="none" w:sz="0" w:space="0" w:color="auto"/>
        <w:right w:val="none" w:sz="0" w:space="0" w:color="auto"/>
      </w:divBdr>
    </w:div>
    <w:div w:id="2001080019">
      <w:bodyDiv w:val="1"/>
      <w:marLeft w:val="0"/>
      <w:marRight w:val="0"/>
      <w:marTop w:val="0"/>
      <w:marBottom w:val="0"/>
      <w:divBdr>
        <w:top w:val="none" w:sz="0" w:space="0" w:color="auto"/>
        <w:left w:val="none" w:sz="0" w:space="0" w:color="auto"/>
        <w:bottom w:val="none" w:sz="0" w:space="0" w:color="auto"/>
        <w:right w:val="none" w:sz="0" w:space="0" w:color="auto"/>
      </w:divBdr>
    </w:div>
    <w:div w:id="202004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4595</Words>
  <Characters>26198</Characters>
  <Application>Microsoft Office Word</Application>
  <DocSecurity>0</DocSecurity>
  <Lines>218</Lines>
  <Paragraphs>61</Paragraphs>
  <ScaleCrop>false</ScaleCrop>
  <Company/>
  <LinksUpToDate>false</LinksUpToDate>
  <CharactersWithSpaces>30732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2025-10-14T07:46:00Z</dcterms:created>
  <dcterms:modified xsi:type="dcterms:W3CDTF">2025-10-14T07:55:00Z</dcterms:modified>
</cp:coreProperties>
</file>