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907D7" w14:textId="77777777" w:rsidR="002C2B3D" w:rsidRPr="002C2B3D" w:rsidRDefault="002C2B3D" w:rsidP="002C2B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2B3D">
        <w:rPr>
          <w:rFonts w:ascii="Times New Roman" w:eastAsia="Times New Roman" w:hAnsi="Times New Roman" w:cs="Times New Roman"/>
          <w:b/>
          <w:bCs/>
          <w:kern w:val="36"/>
          <w:sz w:val="48"/>
          <w:szCs w:val="48"/>
          <w:lang w:eastAsia="en-IN"/>
        </w:rPr>
        <w:t>1. Introduction and Strategic Context</w:t>
      </w:r>
    </w:p>
    <w:p w14:paraId="4A2EC721" w14:textId="737A5281"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 xml:space="preserve">The </w:t>
      </w:r>
      <w:r w:rsidRPr="002C2B3D">
        <w:rPr>
          <w:rFonts w:ascii="Times New Roman" w:eastAsia="Times New Roman" w:hAnsi="Times New Roman" w:cs="Times New Roman"/>
          <w:b/>
          <w:bCs/>
          <w:sz w:val="24"/>
          <w:szCs w:val="24"/>
          <w:lang w:eastAsia="en-IN"/>
        </w:rPr>
        <w:t>Global Travel Accommodation Market</w:t>
      </w:r>
      <w:r w:rsidRPr="002C2B3D">
        <w:rPr>
          <w:rFonts w:ascii="Times New Roman" w:eastAsia="Times New Roman" w:hAnsi="Times New Roman" w:cs="Times New Roman"/>
          <w:sz w:val="24"/>
          <w:szCs w:val="24"/>
          <w:lang w:eastAsia="en-IN"/>
        </w:rPr>
        <w:t xml:space="preserve"> is poised to witness a robust </w:t>
      </w:r>
      <w:r w:rsidRPr="002C2B3D">
        <w:rPr>
          <w:rFonts w:ascii="Times New Roman" w:eastAsia="Times New Roman" w:hAnsi="Times New Roman" w:cs="Times New Roman"/>
          <w:b/>
          <w:bCs/>
          <w:sz w:val="24"/>
          <w:szCs w:val="24"/>
          <w:lang w:eastAsia="en-IN"/>
        </w:rPr>
        <w:t>CAGR of 6.5%,</w:t>
      </w:r>
      <w:r w:rsidRPr="002C2B3D">
        <w:rPr>
          <w:rFonts w:ascii="Times New Roman" w:eastAsia="Times New Roman" w:hAnsi="Times New Roman" w:cs="Times New Roman"/>
          <w:sz w:val="24"/>
          <w:szCs w:val="24"/>
          <w:lang w:eastAsia="en-IN"/>
        </w:rPr>
        <w:t xml:space="preserve"> valued at an estimated </w:t>
      </w:r>
      <w:r w:rsidRPr="002C2B3D">
        <w:rPr>
          <w:rFonts w:ascii="Times New Roman" w:eastAsia="Times New Roman" w:hAnsi="Times New Roman" w:cs="Times New Roman"/>
          <w:b/>
          <w:bCs/>
          <w:sz w:val="24"/>
          <w:szCs w:val="24"/>
          <w:lang w:eastAsia="en-IN"/>
        </w:rPr>
        <w:t xml:space="preserve">USD </w:t>
      </w:r>
      <w:r w:rsidR="00027A38">
        <w:rPr>
          <w:rFonts w:ascii="Times New Roman" w:eastAsia="Times New Roman" w:hAnsi="Times New Roman" w:cs="Times New Roman"/>
          <w:b/>
          <w:bCs/>
          <w:sz w:val="24"/>
          <w:szCs w:val="24"/>
          <w:lang w:eastAsia="en-IN"/>
        </w:rPr>
        <w:t>550.0</w:t>
      </w:r>
      <w:r w:rsidRPr="002C2B3D">
        <w:rPr>
          <w:rFonts w:ascii="Times New Roman" w:eastAsia="Times New Roman" w:hAnsi="Times New Roman" w:cs="Times New Roman"/>
          <w:b/>
          <w:bCs/>
          <w:sz w:val="24"/>
          <w:szCs w:val="24"/>
          <w:lang w:eastAsia="en-IN"/>
        </w:rPr>
        <w:t xml:space="preserve"> billion in 2024</w:t>
      </w:r>
      <w:r w:rsidRPr="002C2B3D">
        <w:rPr>
          <w:rFonts w:ascii="Times New Roman" w:eastAsia="Times New Roman" w:hAnsi="Times New Roman" w:cs="Times New Roman"/>
          <w:sz w:val="24"/>
          <w:szCs w:val="24"/>
          <w:lang w:eastAsia="en-IN"/>
        </w:rPr>
        <w:t xml:space="preserve">, and expected to appreciate and reach around </w:t>
      </w:r>
      <w:r w:rsidRPr="002C2B3D">
        <w:rPr>
          <w:rFonts w:ascii="Times New Roman" w:eastAsia="Times New Roman" w:hAnsi="Times New Roman" w:cs="Times New Roman"/>
          <w:b/>
          <w:bCs/>
          <w:sz w:val="24"/>
          <w:szCs w:val="24"/>
          <w:lang w:eastAsia="en-IN"/>
        </w:rPr>
        <w:t xml:space="preserve">USD </w:t>
      </w:r>
      <w:r w:rsidR="00027A38">
        <w:rPr>
          <w:rFonts w:ascii="Times New Roman" w:eastAsia="Times New Roman" w:hAnsi="Times New Roman" w:cs="Times New Roman"/>
          <w:b/>
          <w:bCs/>
          <w:sz w:val="24"/>
          <w:szCs w:val="24"/>
          <w:lang w:eastAsia="en-IN"/>
        </w:rPr>
        <w:t>800.0</w:t>
      </w:r>
      <w:r w:rsidRPr="002C2B3D">
        <w:rPr>
          <w:rFonts w:ascii="Times New Roman" w:eastAsia="Times New Roman" w:hAnsi="Times New Roman" w:cs="Times New Roman"/>
          <w:b/>
          <w:bCs/>
          <w:sz w:val="24"/>
          <w:szCs w:val="24"/>
          <w:lang w:eastAsia="en-IN"/>
        </w:rPr>
        <w:t xml:space="preserve"> billion by 2030</w:t>
      </w:r>
      <w:r w:rsidRPr="002C2B3D">
        <w:rPr>
          <w:rFonts w:ascii="Times New Roman" w:eastAsia="Times New Roman" w:hAnsi="Times New Roman" w:cs="Times New Roman"/>
          <w:sz w:val="24"/>
          <w:szCs w:val="24"/>
          <w:lang w:eastAsia="en-IN"/>
        </w:rPr>
        <w:t xml:space="preserve">, according to </w:t>
      </w:r>
      <w:r w:rsidRPr="002C2B3D">
        <w:rPr>
          <w:rFonts w:ascii="Times New Roman" w:eastAsia="Times New Roman" w:hAnsi="Times New Roman" w:cs="Times New Roman"/>
          <w:b/>
          <w:bCs/>
          <w:sz w:val="24"/>
          <w:szCs w:val="24"/>
          <w:lang w:eastAsia="en-IN"/>
        </w:rPr>
        <w:t>Strategic Market Research.</w:t>
      </w:r>
      <w:r w:rsidRPr="002C2B3D">
        <w:rPr>
          <w:rFonts w:ascii="Times New Roman" w:eastAsia="Times New Roman" w:hAnsi="Times New Roman" w:cs="Times New Roman"/>
          <w:sz w:val="24"/>
          <w:szCs w:val="24"/>
          <w:lang w:eastAsia="en-IN"/>
        </w:rPr>
        <w:t xml:space="preserve"> Travel accommodation encompasses a wide spectrum of lodging options including hotels, resorts, serviced apartments, hostels, vacation rentals, and emerging short-term stay platforms. Its strategic relevance over the 2024–2030 period is underscored by shifting traveler preferences, technological innovation, and evolving regulatory landscapes across key markets.</w:t>
      </w:r>
    </w:p>
    <w:p w14:paraId="7F9A18EC"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Several macro forces are shaping this market. Firstly, the rapid digitalization of booking and customer experience platforms has made personalized and seamless travel planning a standard expectation. Mobile apps, AI-driven recommendation engines, and contactless check-in systems are redefining service delivery. Secondly, the recovery of global tourism post-pandemic has created a surge in domestic and international travel demand, especially among millennials and Gen Z travelers who value experiential stays and flexible lodging options. Thirdly, regulatory frameworks around safety, hygiene, and sustainability are increasingly influencing operational practices across hotels and alternative accommodations.</w:t>
      </w:r>
    </w:p>
    <w:p w14:paraId="55BB1111"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Demographic trends also play a critical role. Rising disposable incomes, urbanization, and the expansion of the global middle class in Asia-Pacific and Latin America are fueling travel frequency. Simultaneously, the increasing prevalence of remote work has accelerated the demand for long-stay accommodations and blended work-vacation experiences. Sustainability considerations are driving investments in eco-friendly and energy-efficient lodging, which are rapidly gaining appeal among environmentally conscious travelers.</w:t>
      </w:r>
    </w:p>
    <w:p w14:paraId="048A926B"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Key stakeholders in this market include global hotel chains, independent operators, vacation rental platforms, online travel agencies, government tourism boards, investors, and technology service providers. Hotel chains are focusing on brand loyalty, AI-driven guest personalization, and eco-certifications to capture higher-value segments. Alternative lodging providers are leveraging digital marketplaces to scale globally while ensuring compliance with regional short-term rental regulations. Investors are attracted to the recurring revenue potential of both traditional and hybrid accommodation models, whereas governments are incentivizing infrastructure development and tourism promotion.</w:t>
      </w:r>
    </w:p>
    <w:p w14:paraId="531FD329"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Overall, the travel accommodation market is at a strategic inflection point. Innovation, regulatory adaptation, and shifting traveler expectations are converging to create both challenges and opportunities. Providers who can offer flexibility, safety, digital integration, and memorable experiences are likely to capture the largest market share by 2030.</w:t>
      </w:r>
    </w:p>
    <w:p w14:paraId="5534E4FF" w14:textId="77777777" w:rsidR="002C2B3D" w:rsidRPr="002C2B3D" w:rsidRDefault="002C2B3D" w:rsidP="002C2B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2B3D">
        <w:rPr>
          <w:rFonts w:ascii="Times New Roman" w:eastAsia="Times New Roman" w:hAnsi="Times New Roman" w:cs="Times New Roman"/>
          <w:b/>
          <w:bCs/>
          <w:kern w:val="36"/>
          <w:sz w:val="48"/>
          <w:szCs w:val="48"/>
          <w:lang w:eastAsia="en-IN"/>
        </w:rPr>
        <w:t>2. Market Segmentation and Forecast Scope</w:t>
      </w:r>
    </w:p>
    <w:p w14:paraId="6941DF61"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The travel accommodation market can be segmented across multiple dimensions that reflect traveler preferences, service models, and geographic dynamics. These segments allow industry participants to tailor offerings, identify high-growth opportunities, and optimize operational efficiency.</w:t>
      </w:r>
    </w:p>
    <w:p w14:paraId="1F2376CA"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lastRenderedPageBreak/>
        <w:t>By Accommodation Type</w:t>
      </w:r>
    </w:p>
    <w:p w14:paraId="2E90E219" w14:textId="77777777" w:rsidR="002C2B3D" w:rsidRPr="002C2B3D" w:rsidRDefault="002C2B3D" w:rsidP="002C2B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Hotels</w:t>
      </w:r>
      <w:r w:rsidRPr="002C2B3D">
        <w:rPr>
          <w:rFonts w:ascii="Times New Roman" w:eastAsia="Times New Roman" w:hAnsi="Times New Roman" w:cs="Times New Roman"/>
          <w:sz w:val="24"/>
          <w:szCs w:val="24"/>
          <w:lang w:eastAsia="en-IN"/>
        </w:rPr>
        <w:t>: Traditional full-service and limited-service hotels continue to dominate market revenues. Within this, boutique hotels and lifestyle-focused properties are emerging as high-growth segments, particularly in urban centers. In 2024, hotels account for roughly 55% of the total market.</w:t>
      </w:r>
    </w:p>
    <w:p w14:paraId="073EB433" w14:textId="77777777" w:rsidR="002C2B3D" w:rsidRPr="002C2B3D" w:rsidRDefault="002C2B3D" w:rsidP="002C2B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Resorts</w:t>
      </w:r>
      <w:r w:rsidRPr="002C2B3D">
        <w:rPr>
          <w:rFonts w:ascii="Times New Roman" w:eastAsia="Times New Roman" w:hAnsi="Times New Roman" w:cs="Times New Roman"/>
          <w:sz w:val="24"/>
          <w:szCs w:val="24"/>
          <w:lang w:eastAsia="en-IN"/>
        </w:rPr>
        <w:t>: Resorts capture demand from leisure travelers seeking integrated experiences, especially in tropical or culturally significant destinations.</w:t>
      </w:r>
    </w:p>
    <w:p w14:paraId="0B93B736" w14:textId="77777777" w:rsidR="002C2B3D" w:rsidRPr="002C2B3D" w:rsidRDefault="002C2B3D" w:rsidP="002C2B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Vacation Rentals</w:t>
      </w:r>
      <w:r w:rsidRPr="002C2B3D">
        <w:rPr>
          <w:rFonts w:ascii="Times New Roman" w:eastAsia="Times New Roman" w:hAnsi="Times New Roman" w:cs="Times New Roman"/>
          <w:sz w:val="24"/>
          <w:szCs w:val="24"/>
          <w:lang w:eastAsia="en-IN"/>
        </w:rPr>
        <w:t>: Platforms offering short-term rentals of homes, apartments, and villas have seen rapid adoption, accelerated by digital marketplaces and traveler demand for privacy and flexibility. This segment is among the fastest-growing, especially in North America and Europe.</w:t>
      </w:r>
    </w:p>
    <w:p w14:paraId="3CE84C50" w14:textId="77777777" w:rsidR="002C2B3D" w:rsidRPr="002C2B3D" w:rsidRDefault="002C2B3D" w:rsidP="002C2B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Hostels and Budget Lodging</w:t>
      </w:r>
      <w:r w:rsidRPr="002C2B3D">
        <w:rPr>
          <w:rFonts w:ascii="Times New Roman" w:eastAsia="Times New Roman" w:hAnsi="Times New Roman" w:cs="Times New Roman"/>
          <w:sz w:val="24"/>
          <w:szCs w:val="24"/>
          <w:lang w:eastAsia="en-IN"/>
        </w:rPr>
        <w:t>: These serve cost-conscious travelers, backpackers, and students. While a smaller market share, they are seeing growth in Asia-Pacific driven by youth travel.</w:t>
      </w:r>
    </w:p>
    <w:p w14:paraId="36C46DA8" w14:textId="77777777" w:rsidR="002C2B3D" w:rsidRPr="002C2B3D" w:rsidRDefault="002C2B3D" w:rsidP="002C2B3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Serviced Apartments and Long-Stay Accommodations</w:t>
      </w:r>
      <w:r w:rsidRPr="002C2B3D">
        <w:rPr>
          <w:rFonts w:ascii="Times New Roman" w:eastAsia="Times New Roman" w:hAnsi="Times New Roman" w:cs="Times New Roman"/>
          <w:sz w:val="24"/>
          <w:szCs w:val="24"/>
          <w:lang w:eastAsia="en-IN"/>
        </w:rPr>
        <w:t>: Increasingly relevant for remote workers, digital nomads, and extended business trips, this segment is projected to grow faster than traditional lodging over the forecast period.</w:t>
      </w:r>
    </w:p>
    <w:p w14:paraId="28AFA2A5"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By Booking Channel</w:t>
      </w:r>
    </w:p>
    <w:p w14:paraId="74FF5AE5" w14:textId="77777777" w:rsidR="002C2B3D" w:rsidRPr="002C2B3D" w:rsidRDefault="002C2B3D" w:rsidP="002C2B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Online Travel Agencies (OTAs)</w:t>
      </w:r>
      <w:r w:rsidRPr="002C2B3D">
        <w:rPr>
          <w:rFonts w:ascii="Times New Roman" w:eastAsia="Times New Roman" w:hAnsi="Times New Roman" w:cs="Times New Roman"/>
          <w:sz w:val="24"/>
          <w:szCs w:val="24"/>
          <w:lang w:eastAsia="en-IN"/>
        </w:rPr>
        <w:t>: OTAs remain the primary channel for reservations, offering convenience and a wide selection. They command a significant portion of digital bookings globally.</w:t>
      </w:r>
    </w:p>
    <w:p w14:paraId="034F03EC" w14:textId="77777777" w:rsidR="002C2B3D" w:rsidRPr="002C2B3D" w:rsidRDefault="002C2B3D" w:rsidP="002C2B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Direct Bookings</w:t>
      </w:r>
      <w:r w:rsidRPr="002C2B3D">
        <w:rPr>
          <w:rFonts w:ascii="Times New Roman" w:eastAsia="Times New Roman" w:hAnsi="Times New Roman" w:cs="Times New Roman"/>
          <w:sz w:val="24"/>
          <w:szCs w:val="24"/>
          <w:lang w:eastAsia="en-IN"/>
        </w:rPr>
        <w:t>: Hotels are increasingly promoting direct booking incentives to reduce commission fees and strengthen brand loyalty.</w:t>
      </w:r>
    </w:p>
    <w:p w14:paraId="09562A9D" w14:textId="77777777" w:rsidR="002C2B3D" w:rsidRPr="002C2B3D" w:rsidRDefault="002C2B3D" w:rsidP="002C2B3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Alternative Platforms</w:t>
      </w:r>
      <w:r w:rsidRPr="002C2B3D">
        <w:rPr>
          <w:rFonts w:ascii="Times New Roman" w:eastAsia="Times New Roman" w:hAnsi="Times New Roman" w:cs="Times New Roman"/>
          <w:sz w:val="24"/>
          <w:szCs w:val="24"/>
          <w:lang w:eastAsia="en-IN"/>
        </w:rPr>
        <w:t>: Peer-to-peer rental platforms like vacation rental marketplaces are becoming key channels for non-hotel accommodations, particularly in leisure-heavy regions.</w:t>
      </w:r>
    </w:p>
    <w:p w14:paraId="49AD6D27"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By Traveler Type</w:t>
      </w:r>
    </w:p>
    <w:p w14:paraId="1D4150C5" w14:textId="77777777" w:rsidR="002C2B3D" w:rsidRPr="002C2B3D" w:rsidRDefault="002C2B3D" w:rsidP="002C2B3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Leisure Travelers</w:t>
      </w:r>
      <w:r w:rsidRPr="002C2B3D">
        <w:rPr>
          <w:rFonts w:ascii="Times New Roman" w:eastAsia="Times New Roman" w:hAnsi="Times New Roman" w:cs="Times New Roman"/>
          <w:sz w:val="24"/>
          <w:szCs w:val="24"/>
          <w:lang w:eastAsia="en-IN"/>
        </w:rPr>
        <w:t>: The largest end-user group, driven by international tourism, weekend getaways, and experiential travel.</w:t>
      </w:r>
    </w:p>
    <w:p w14:paraId="6DC4576D" w14:textId="77777777" w:rsidR="002C2B3D" w:rsidRPr="002C2B3D" w:rsidRDefault="002C2B3D" w:rsidP="002C2B3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Business Travelers</w:t>
      </w:r>
      <w:r w:rsidRPr="002C2B3D">
        <w:rPr>
          <w:rFonts w:ascii="Times New Roman" w:eastAsia="Times New Roman" w:hAnsi="Times New Roman" w:cs="Times New Roman"/>
          <w:sz w:val="24"/>
          <w:szCs w:val="24"/>
          <w:lang w:eastAsia="en-IN"/>
        </w:rPr>
        <w:t>: Demand is stabilizing post-pandemic, with hybrid work models influencing travel frequency and accommodation type.</w:t>
      </w:r>
    </w:p>
    <w:p w14:paraId="205AE3D7" w14:textId="77777777" w:rsidR="002C2B3D" w:rsidRPr="002C2B3D" w:rsidRDefault="002C2B3D" w:rsidP="002C2B3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Extended-Stay / Remote Workers</w:t>
      </w:r>
      <w:r w:rsidRPr="002C2B3D">
        <w:rPr>
          <w:rFonts w:ascii="Times New Roman" w:eastAsia="Times New Roman" w:hAnsi="Times New Roman" w:cs="Times New Roman"/>
          <w:sz w:val="24"/>
          <w:szCs w:val="24"/>
          <w:lang w:eastAsia="en-IN"/>
        </w:rPr>
        <w:t>: A new segment emerging strongly in serviced apartments and rental homes.</w:t>
      </w:r>
    </w:p>
    <w:p w14:paraId="59E370AB"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By Region</w:t>
      </w:r>
    </w:p>
    <w:p w14:paraId="0566277E" w14:textId="77777777" w:rsidR="002C2B3D" w:rsidRPr="002C2B3D" w:rsidRDefault="002C2B3D" w:rsidP="002C2B3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North America</w:t>
      </w:r>
      <w:r w:rsidRPr="002C2B3D">
        <w:rPr>
          <w:rFonts w:ascii="Times New Roman" w:eastAsia="Times New Roman" w:hAnsi="Times New Roman" w:cs="Times New Roman"/>
          <w:sz w:val="24"/>
          <w:szCs w:val="24"/>
          <w:lang w:eastAsia="en-IN"/>
        </w:rPr>
        <w:t>: Mature markets with high penetration of branded hotels, strong digital adoption, and established vacation rental platforms.</w:t>
      </w:r>
    </w:p>
    <w:p w14:paraId="3B05B84F" w14:textId="77777777" w:rsidR="002C2B3D" w:rsidRPr="002C2B3D" w:rsidRDefault="002C2B3D" w:rsidP="002C2B3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Europe</w:t>
      </w:r>
      <w:r w:rsidRPr="002C2B3D">
        <w:rPr>
          <w:rFonts w:ascii="Times New Roman" w:eastAsia="Times New Roman" w:hAnsi="Times New Roman" w:cs="Times New Roman"/>
          <w:sz w:val="24"/>
          <w:szCs w:val="24"/>
          <w:lang w:eastAsia="en-IN"/>
        </w:rPr>
        <w:t>: Highly regulated with emphasis on safety and sustainability; vacation rentals remain strong in Mediterranean and urban tourist hubs.</w:t>
      </w:r>
    </w:p>
    <w:p w14:paraId="657C76A1" w14:textId="77777777" w:rsidR="002C2B3D" w:rsidRPr="002C2B3D" w:rsidRDefault="002C2B3D" w:rsidP="002C2B3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Asia-Pacific</w:t>
      </w:r>
      <w:r w:rsidRPr="002C2B3D">
        <w:rPr>
          <w:rFonts w:ascii="Times New Roman" w:eastAsia="Times New Roman" w:hAnsi="Times New Roman" w:cs="Times New Roman"/>
          <w:sz w:val="24"/>
          <w:szCs w:val="24"/>
          <w:lang w:eastAsia="en-IN"/>
        </w:rPr>
        <w:t>: Fastest-growing region, supported by rising middle-class travelers, urbanization, and domestic tourism expansion.</w:t>
      </w:r>
    </w:p>
    <w:p w14:paraId="72DFE6B6" w14:textId="77777777" w:rsidR="002C2B3D" w:rsidRPr="002C2B3D" w:rsidRDefault="002C2B3D" w:rsidP="002C2B3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LAMEA (Latin America, Middle East &amp; Africa)</w:t>
      </w:r>
      <w:r w:rsidRPr="002C2B3D">
        <w:rPr>
          <w:rFonts w:ascii="Times New Roman" w:eastAsia="Times New Roman" w:hAnsi="Times New Roman" w:cs="Times New Roman"/>
          <w:sz w:val="24"/>
          <w:szCs w:val="24"/>
          <w:lang w:eastAsia="en-IN"/>
        </w:rPr>
        <w:t>: Emerging markets, with growing infrastructure investments and increased regional travel, though penetration is still uneven.</w:t>
      </w:r>
    </w:p>
    <w:p w14:paraId="12A2C75C"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lastRenderedPageBreak/>
        <w:t>Scope of forecast: The segmentation highlights both traditional dominance (hotels) and emerging opportunities (vacation rentals, long-stay solutions). Digital booking channels and traveler-centric innovations will increasingly shape market composition.</w:t>
      </w:r>
    </w:p>
    <w:p w14:paraId="0C01B9EC" w14:textId="77777777" w:rsidR="002C2B3D" w:rsidRPr="002C2B3D" w:rsidRDefault="002C2B3D" w:rsidP="002C2B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2B3D">
        <w:rPr>
          <w:rFonts w:ascii="Times New Roman" w:eastAsia="Times New Roman" w:hAnsi="Times New Roman" w:cs="Times New Roman"/>
          <w:b/>
          <w:bCs/>
          <w:kern w:val="36"/>
          <w:sz w:val="48"/>
          <w:szCs w:val="48"/>
          <w:lang w:eastAsia="en-IN"/>
        </w:rPr>
        <w:t>3. Market Trends and Innovation Landscape</w:t>
      </w:r>
    </w:p>
    <w:p w14:paraId="3946581E"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The travel accommodation market is evolving rapidly, influenced by technology, changing traveler expectations, and operational innovation. Between 2024 and 2030, several trends are redefining how accommodations are designed, marketed, and experienced.</w:t>
      </w:r>
    </w:p>
    <w:p w14:paraId="5AAF5861"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Digital Integration and AI-Driven Personalization</w:t>
      </w:r>
      <w:r w:rsidRPr="002C2B3D">
        <w:rPr>
          <w:rFonts w:ascii="Times New Roman" w:eastAsia="Times New Roman" w:hAnsi="Times New Roman" w:cs="Times New Roman"/>
          <w:sz w:val="24"/>
          <w:szCs w:val="24"/>
          <w:lang w:eastAsia="en-IN"/>
        </w:rPr>
        <w:br/>
        <w:t xml:space="preserve">Hotels and alternative lodging providers are increasingly adopting AI and machine learning to enhance the guest experience. Recommendation engines, dynamic pricing algorithms, and AI-powered customer support are allowing providers to offer tailored stays, anticipate traveler needs, and improve booking conversion rates. Some brands are experimenting with AI concierge services that personalize room settings, dining preferences, and local experiences before check-in. </w:t>
      </w:r>
      <w:r w:rsidRPr="002C2B3D">
        <w:rPr>
          <w:rFonts w:ascii="Times New Roman" w:eastAsia="Times New Roman" w:hAnsi="Times New Roman" w:cs="Times New Roman"/>
          <w:i/>
          <w:iCs/>
          <w:sz w:val="24"/>
          <w:szCs w:val="24"/>
          <w:lang w:eastAsia="en-IN"/>
        </w:rPr>
        <w:t>Expert commentary: This level of personalization not only increases customer satisfaction but also drives higher repeat bookings and loyalty program engagement.</w:t>
      </w:r>
    </w:p>
    <w:p w14:paraId="13DE6725"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Contactless and Smart Accommodations</w:t>
      </w:r>
      <w:r w:rsidRPr="002C2B3D">
        <w:rPr>
          <w:rFonts w:ascii="Times New Roman" w:eastAsia="Times New Roman" w:hAnsi="Times New Roman" w:cs="Times New Roman"/>
          <w:sz w:val="24"/>
          <w:szCs w:val="24"/>
          <w:lang w:eastAsia="en-IN"/>
        </w:rPr>
        <w:br/>
        <w:t>Post-pandemic preferences have accelerated the adoption of contactless check-in, mobile key access, and voice-controlled room features. IoT-enabled devices monitor room occupancy, temperature, and energy usage, improving operational efficiency and reducing costs. Smart rooms are becoming an expectation in premium and business segments, while even mid-scale properties are integrating basic automation features.</w:t>
      </w:r>
    </w:p>
    <w:p w14:paraId="5627AB1D"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Sustainability and Eco-Friendly Practices</w:t>
      </w:r>
      <w:r w:rsidRPr="002C2B3D">
        <w:rPr>
          <w:rFonts w:ascii="Times New Roman" w:eastAsia="Times New Roman" w:hAnsi="Times New Roman" w:cs="Times New Roman"/>
          <w:sz w:val="24"/>
          <w:szCs w:val="24"/>
          <w:lang w:eastAsia="en-IN"/>
        </w:rPr>
        <w:br/>
        <w:t xml:space="preserve">Traveler awareness around climate impact is shaping demand for sustainable accommodations. Hotels are increasingly investing in energy-efficient infrastructure, water conservation systems, and eco-certifications. Vacation rentals and long-stay properties are also incorporating green practices to appeal to environmentally conscious travelers. </w:t>
      </w:r>
      <w:r w:rsidRPr="002C2B3D">
        <w:rPr>
          <w:rFonts w:ascii="Times New Roman" w:eastAsia="Times New Roman" w:hAnsi="Times New Roman" w:cs="Times New Roman"/>
          <w:i/>
          <w:iCs/>
          <w:sz w:val="24"/>
          <w:szCs w:val="24"/>
          <w:lang w:eastAsia="en-IN"/>
        </w:rPr>
        <w:t>Industry insight: Operators who can communicate authentic sustainability initiatives often see stronger brand differentiation and pricing power.</w:t>
      </w:r>
    </w:p>
    <w:p w14:paraId="4ADC6BF9"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Growth of Alternative Lodging</w:t>
      </w:r>
      <w:r w:rsidRPr="002C2B3D">
        <w:rPr>
          <w:rFonts w:ascii="Times New Roman" w:eastAsia="Times New Roman" w:hAnsi="Times New Roman" w:cs="Times New Roman"/>
          <w:sz w:val="24"/>
          <w:szCs w:val="24"/>
          <w:lang w:eastAsia="en-IN"/>
        </w:rPr>
        <w:br/>
        <w:t>Vacation rentals, serviced apartments, and homestays are expanding rapidly, especially in markets where traditional hotel supply is constrained. Platforms leveraging user-generated content, ratings, and local experiences are fueling this segment. This trend is particularly strong among millennial and Gen Z travelers seeking authentic, flexible, and private accommodation options.</w:t>
      </w:r>
    </w:p>
    <w:p w14:paraId="052713A4"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Technology Partnerships and Platform Ecosystems</w:t>
      </w:r>
      <w:r w:rsidRPr="002C2B3D">
        <w:rPr>
          <w:rFonts w:ascii="Times New Roman" w:eastAsia="Times New Roman" w:hAnsi="Times New Roman" w:cs="Times New Roman"/>
          <w:sz w:val="24"/>
          <w:szCs w:val="24"/>
          <w:lang w:eastAsia="en-IN"/>
        </w:rPr>
        <w:br/>
        <w:t xml:space="preserve">Collaboration between accommodation providers, travel tech companies, and payment platforms is intensifying. Integrated booking, loyalty programs, and bundled travel experiences are emerging as competitive differentiators. Partnerships also extend to local </w:t>
      </w:r>
      <w:r w:rsidRPr="002C2B3D">
        <w:rPr>
          <w:rFonts w:ascii="Times New Roman" w:eastAsia="Times New Roman" w:hAnsi="Times New Roman" w:cs="Times New Roman"/>
          <w:sz w:val="24"/>
          <w:szCs w:val="24"/>
          <w:lang w:eastAsia="en-IN"/>
        </w:rPr>
        <w:lastRenderedPageBreak/>
        <w:t>tourism boards, enabling providers to offer curated experiences and packages that align with regional attractions.</w:t>
      </w:r>
    </w:p>
    <w:p w14:paraId="4729286F"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Focus on Health, Safety, and Hygiene</w:t>
      </w:r>
      <w:r w:rsidRPr="002C2B3D">
        <w:rPr>
          <w:rFonts w:ascii="Times New Roman" w:eastAsia="Times New Roman" w:hAnsi="Times New Roman" w:cs="Times New Roman"/>
          <w:sz w:val="24"/>
          <w:szCs w:val="24"/>
          <w:lang w:eastAsia="en-IN"/>
        </w:rPr>
        <w:br/>
        <w:t>Enhanced cleaning protocols, air purification systems, and touch-free services remain key differentiators. Hotels and alternative accommodations are marketing these features as part of a premium safety assurance, influencing traveler choice in both domestic and international markets.</w:t>
      </w:r>
    </w:p>
    <w:p w14:paraId="11010A76"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Emerging Innovations</w:t>
      </w:r>
    </w:p>
    <w:p w14:paraId="6FFB0610" w14:textId="77777777" w:rsidR="002C2B3D" w:rsidRPr="002C2B3D" w:rsidRDefault="002C2B3D" w:rsidP="002C2B3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Virtual reality (VR) property tours are improving decision-making for online bookings.</w:t>
      </w:r>
    </w:p>
    <w:p w14:paraId="0C2492AB" w14:textId="77777777" w:rsidR="002C2B3D" w:rsidRPr="002C2B3D" w:rsidRDefault="002C2B3D" w:rsidP="002C2B3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Wearable devices and apps track guest preferences and offer dynamic recommendations during stays.</w:t>
      </w:r>
    </w:p>
    <w:p w14:paraId="721B7186" w14:textId="77777777" w:rsidR="002C2B3D" w:rsidRPr="002C2B3D" w:rsidRDefault="002C2B3D" w:rsidP="002C2B3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Data analytics platforms optimize room occupancy and pricing in real-time, supporting revenue management.</w:t>
      </w:r>
    </w:p>
    <w:p w14:paraId="21DF25DB"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Overall, the innovation landscape is shifting accommodations from simple lodging providers to experience-driven, tech-enabled platforms. Providers who can integrate personalization, sustainability, and seamless digital interfaces are expected to capture a larger share of the market in the next six years.</w:t>
      </w:r>
    </w:p>
    <w:p w14:paraId="48120A9D" w14:textId="77777777" w:rsidR="002C2B3D" w:rsidRPr="002C2B3D" w:rsidRDefault="002C2B3D" w:rsidP="002C2B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2B3D">
        <w:rPr>
          <w:rFonts w:ascii="Times New Roman" w:eastAsia="Times New Roman" w:hAnsi="Times New Roman" w:cs="Times New Roman"/>
          <w:b/>
          <w:bCs/>
          <w:kern w:val="36"/>
          <w:sz w:val="48"/>
          <w:szCs w:val="48"/>
          <w:lang w:eastAsia="en-IN"/>
        </w:rPr>
        <w:t>4. Competitive Intelligence and Benchmarking</w:t>
      </w:r>
    </w:p>
    <w:p w14:paraId="772E0DA9"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The travel accommodation market is highly competitive, with a mix of global hotel chains, regional operators, and digital-native alternative lodging platforms. Success in this market depends not only on physical assets but also on brand reputation, technology adoption, and the ability to create differentiated guest experiences.</w:t>
      </w:r>
    </w:p>
    <w:p w14:paraId="3CCF0A6D"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Marriott International</w:t>
      </w:r>
      <w:r w:rsidRPr="002C2B3D">
        <w:rPr>
          <w:rFonts w:ascii="Times New Roman" w:eastAsia="Times New Roman" w:hAnsi="Times New Roman" w:cs="Times New Roman"/>
          <w:sz w:val="24"/>
          <w:szCs w:val="24"/>
          <w:lang w:eastAsia="en-IN"/>
        </w:rPr>
        <w:br/>
        <w:t>Marriott leverages a vast global footprint and a diversified portfolio ranging from luxury to mid-scale properties. The company emphasizes loyalty programs, digital booking platforms, and AI-driven guest personalization. Marriott also invests in sustainability initiatives, including energy-efficient infrastructure and eco-certified properties, enhancing appeal among environmentally conscious travelers.</w:t>
      </w:r>
    </w:p>
    <w:p w14:paraId="6DCFBF27"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Hilton Worldwide</w:t>
      </w:r>
      <w:r w:rsidRPr="002C2B3D">
        <w:rPr>
          <w:rFonts w:ascii="Times New Roman" w:eastAsia="Times New Roman" w:hAnsi="Times New Roman" w:cs="Times New Roman"/>
          <w:sz w:val="24"/>
          <w:szCs w:val="24"/>
          <w:lang w:eastAsia="en-IN"/>
        </w:rPr>
        <w:br/>
        <w:t>Hilton focuses on operational excellence, digital innovation, and brand expansion in key urban and resort destinations. Its mobile app ecosystem allows seamless check-in, digital key access, and personalized recommendations. Hilton’s strategy includes partnerships with travel platforms and airline loyalty programs to maximize occupancy and guest engagement.</w:t>
      </w:r>
    </w:p>
    <w:p w14:paraId="55E526EA"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Airbnb</w:t>
      </w:r>
      <w:r w:rsidRPr="002C2B3D">
        <w:rPr>
          <w:rFonts w:ascii="Times New Roman" w:eastAsia="Times New Roman" w:hAnsi="Times New Roman" w:cs="Times New Roman"/>
          <w:sz w:val="24"/>
          <w:szCs w:val="24"/>
          <w:lang w:eastAsia="en-IN"/>
        </w:rPr>
        <w:br/>
        <w:t xml:space="preserve">Airbnb dominates the vacation rental and alternative lodging segment. It operates as a digital-native platform, connecting hosts and travelers worldwide. Airbnb’s competitive advantage lies in user-generated content, localized experiences, and flexible booking options. The </w:t>
      </w:r>
      <w:r w:rsidRPr="002C2B3D">
        <w:rPr>
          <w:rFonts w:ascii="Times New Roman" w:eastAsia="Times New Roman" w:hAnsi="Times New Roman" w:cs="Times New Roman"/>
          <w:sz w:val="24"/>
          <w:szCs w:val="24"/>
          <w:lang w:eastAsia="en-IN"/>
        </w:rPr>
        <w:lastRenderedPageBreak/>
        <w:t>company continues to invest in verification systems, insurance offerings, and curated experiences to build trust and brand loyalty.</w:t>
      </w:r>
    </w:p>
    <w:p w14:paraId="5312C0A3"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Accor Hotels</w:t>
      </w:r>
      <w:r w:rsidRPr="002C2B3D">
        <w:rPr>
          <w:rFonts w:ascii="Times New Roman" w:eastAsia="Times New Roman" w:hAnsi="Times New Roman" w:cs="Times New Roman"/>
          <w:sz w:val="24"/>
          <w:szCs w:val="24"/>
          <w:lang w:eastAsia="en-IN"/>
        </w:rPr>
        <w:br/>
        <w:t>Accor has expanded its portfolio across luxury, mid-scale, and budget segments, with a focus on the European and Asia-Pacific markets. The company differentiates itself through lifestyle-focused brands, digital booking solutions, and partnerships with technology providers. Sustainability is a core element of Accor’s strategy, with eco-certifications and carbon reduction programs integrated into operations.</w:t>
      </w:r>
    </w:p>
    <w:p w14:paraId="1175210F"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InterContinental Hotels Group (IHG)</w:t>
      </w:r>
      <w:r w:rsidRPr="002C2B3D">
        <w:rPr>
          <w:rFonts w:ascii="Times New Roman" w:eastAsia="Times New Roman" w:hAnsi="Times New Roman" w:cs="Times New Roman"/>
          <w:sz w:val="24"/>
          <w:szCs w:val="24"/>
          <w:lang w:eastAsia="en-IN"/>
        </w:rPr>
        <w:br/>
        <w:t>IHG emphasizes brand consistency, operational efficiency, and loyalty programs to drive occupancy. Its growth strategy focuses on expanding in emerging markets while integrating smart technology for operational automation and personalized guest experiences.</w:t>
      </w:r>
    </w:p>
    <w:p w14:paraId="5581E8E1"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Vacasa</w:t>
      </w:r>
      <w:r w:rsidRPr="002C2B3D">
        <w:rPr>
          <w:rFonts w:ascii="Times New Roman" w:eastAsia="Times New Roman" w:hAnsi="Times New Roman" w:cs="Times New Roman"/>
          <w:sz w:val="24"/>
          <w:szCs w:val="24"/>
          <w:lang w:eastAsia="en-IN"/>
        </w:rPr>
        <w:br/>
        <w:t>A major player in professionally managed vacation rentals, Vacasa leverages data analytics, dynamic pricing, and property management services to attract both hosts and travelers. The platform differentiates itself through 24/7 customer support, quality assurance, and scalable technology infrastructure.</w:t>
      </w:r>
    </w:p>
    <w:p w14:paraId="73CFF4EC"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Competitive Dynamics Overview</w:t>
      </w:r>
    </w:p>
    <w:p w14:paraId="0BF4053D" w14:textId="77777777" w:rsidR="002C2B3D" w:rsidRPr="002C2B3D" w:rsidRDefault="002C2B3D" w:rsidP="002C2B3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Global Hotel Chains</w:t>
      </w:r>
      <w:r w:rsidRPr="002C2B3D">
        <w:rPr>
          <w:rFonts w:ascii="Times New Roman" w:eastAsia="Times New Roman" w:hAnsi="Times New Roman" w:cs="Times New Roman"/>
          <w:sz w:val="24"/>
          <w:szCs w:val="24"/>
          <w:lang w:eastAsia="en-IN"/>
        </w:rPr>
        <w:t>: Marriott, Hilton, Accor, and IHG dominate traditional lodging, focusing on loyalty programs, digital integration, and sustainability.</w:t>
      </w:r>
    </w:p>
    <w:p w14:paraId="2B79A03F" w14:textId="77777777" w:rsidR="002C2B3D" w:rsidRPr="002C2B3D" w:rsidRDefault="002C2B3D" w:rsidP="002C2B3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Alternative Lodging Platforms</w:t>
      </w:r>
      <w:r w:rsidRPr="002C2B3D">
        <w:rPr>
          <w:rFonts w:ascii="Times New Roman" w:eastAsia="Times New Roman" w:hAnsi="Times New Roman" w:cs="Times New Roman"/>
          <w:sz w:val="24"/>
          <w:szCs w:val="24"/>
          <w:lang w:eastAsia="en-IN"/>
        </w:rPr>
        <w:t>: Airbnb and Vacasa are growing rapidly, particularly among leisure and long-stay travelers, offering flexibility and localized experiences.</w:t>
      </w:r>
    </w:p>
    <w:p w14:paraId="7405555E" w14:textId="77777777" w:rsidR="002C2B3D" w:rsidRPr="002C2B3D" w:rsidRDefault="002C2B3D" w:rsidP="002C2B3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Technology Adoption</w:t>
      </w:r>
      <w:r w:rsidRPr="002C2B3D">
        <w:rPr>
          <w:rFonts w:ascii="Times New Roman" w:eastAsia="Times New Roman" w:hAnsi="Times New Roman" w:cs="Times New Roman"/>
          <w:sz w:val="24"/>
          <w:szCs w:val="24"/>
          <w:lang w:eastAsia="en-IN"/>
        </w:rPr>
        <w:t>: Digital booking, AI personalization, and IoT-enabled services are critical differentiators. Operators that fail to adopt these technologies risk losing market share.</w:t>
      </w:r>
    </w:p>
    <w:p w14:paraId="0BA8F81B" w14:textId="77777777" w:rsidR="002C2B3D" w:rsidRPr="002C2B3D" w:rsidRDefault="002C2B3D" w:rsidP="002C2B3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Brand Trust and Safety</w:t>
      </w:r>
      <w:r w:rsidRPr="002C2B3D">
        <w:rPr>
          <w:rFonts w:ascii="Times New Roman" w:eastAsia="Times New Roman" w:hAnsi="Times New Roman" w:cs="Times New Roman"/>
          <w:sz w:val="24"/>
          <w:szCs w:val="24"/>
          <w:lang w:eastAsia="en-IN"/>
        </w:rPr>
        <w:t>: Health, hygiene, and security measures are increasingly important. Travelers are willing to pay a premium for verified, safe accommodations.</w:t>
      </w:r>
    </w:p>
    <w:p w14:paraId="6C42C825"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In summary, the competitive landscape is shaped by a dual focus on global operational scale and technology-enabled guest experiences. Companies that blend these elements with sustainability and flexibility are poised to capture the largest share of the evolving travel accommodation market.</w:t>
      </w:r>
    </w:p>
    <w:p w14:paraId="462147C2" w14:textId="77777777" w:rsidR="002C2B3D" w:rsidRPr="002C2B3D" w:rsidRDefault="002C2B3D" w:rsidP="002C2B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2B3D">
        <w:rPr>
          <w:rFonts w:ascii="Times New Roman" w:eastAsia="Times New Roman" w:hAnsi="Times New Roman" w:cs="Times New Roman"/>
          <w:b/>
          <w:bCs/>
          <w:kern w:val="36"/>
          <w:sz w:val="48"/>
          <w:szCs w:val="48"/>
          <w:lang w:eastAsia="en-IN"/>
        </w:rPr>
        <w:t>5. Regional Landscape and Adoption Outlook</w:t>
      </w:r>
    </w:p>
    <w:p w14:paraId="05CAC242"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The travel accommodation market exhibits diverse adoption patterns across regions, influenced by economic development, tourism infrastructure, regulatory frameworks, and traveler behavior. Understanding these regional dynamics is critical for investors and operators looking to capture growth opportunities.</w:t>
      </w:r>
    </w:p>
    <w:p w14:paraId="4E8B1D37"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North America</w:t>
      </w:r>
      <w:r w:rsidRPr="002C2B3D">
        <w:rPr>
          <w:rFonts w:ascii="Times New Roman" w:eastAsia="Times New Roman" w:hAnsi="Times New Roman" w:cs="Times New Roman"/>
          <w:sz w:val="24"/>
          <w:szCs w:val="24"/>
          <w:lang w:eastAsia="en-IN"/>
        </w:rPr>
        <w:br/>
        <w:t xml:space="preserve">North America represents a mature market with high penetration of both branded hotels and </w:t>
      </w:r>
      <w:r w:rsidRPr="002C2B3D">
        <w:rPr>
          <w:rFonts w:ascii="Times New Roman" w:eastAsia="Times New Roman" w:hAnsi="Times New Roman" w:cs="Times New Roman"/>
          <w:sz w:val="24"/>
          <w:szCs w:val="24"/>
          <w:lang w:eastAsia="en-IN"/>
        </w:rPr>
        <w:lastRenderedPageBreak/>
        <w:t>alternative accommodations. The United States and Canada lead in digital adoption, loyalty program participation, and premium lodging demand. Urban centers and leisure destinations are seeing strong growth in boutique hotels and short-term rentals, while business travel is rebounding post-pandemic. Suburban and secondary cities are increasingly leveraging vacation rental platforms to cater to domestic travelers. Regulatory oversight of short-term rentals, particularly in major cities like New York and San Francisco, is shaping platform operations and compliance strategies.</w:t>
      </w:r>
    </w:p>
    <w:p w14:paraId="49ECAC82"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Europe</w:t>
      </w:r>
      <w:r w:rsidRPr="002C2B3D">
        <w:rPr>
          <w:rFonts w:ascii="Times New Roman" w:eastAsia="Times New Roman" w:hAnsi="Times New Roman" w:cs="Times New Roman"/>
          <w:sz w:val="24"/>
          <w:szCs w:val="24"/>
          <w:lang w:eastAsia="en-IN"/>
        </w:rPr>
        <w:br/>
        <w:t>Europe has a highly fragmented lodging market, with strong public policy and consumer protection influencing adoption. Countries such as France, Germany, Italy, and Spain have well-developed hotel chains and thriving alternative lodging sectors. Mediterranean destinations drive vacation rental growth, while urban business hubs sustain premium hotel demand. Sustainability regulations, particularly in Northern and Western Europe, are encouraging energy-efficient operations, waste reduction, and eco-certifications. Eastern European countries, including Poland and Hungary, are emerging markets for hotel expansion and short-stay accommodations.</w:t>
      </w:r>
    </w:p>
    <w:p w14:paraId="17A2D5CA"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Asia-Pacific</w:t>
      </w:r>
      <w:r w:rsidRPr="002C2B3D">
        <w:rPr>
          <w:rFonts w:ascii="Times New Roman" w:eastAsia="Times New Roman" w:hAnsi="Times New Roman" w:cs="Times New Roman"/>
          <w:sz w:val="24"/>
          <w:szCs w:val="24"/>
          <w:lang w:eastAsia="en-IN"/>
        </w:rPr>
        <w:br/>
        <w:t>Asia-Pacific is the fastest-growing region due to increasing middle-class populations, rising disposable incomes, and expanding domestic and international travel. China, India, Japan, South Korea, and Southeast Asia are seeing substantial investments in hotels, resorts, and vacation rentals. Emerging trends include serviced apartments for long-stay travelers, technology-driven guest personalization, and themed boutique hotels catering to experiential tourism. Urbanization and improved transportation infrastructure are supporting new development projects. Rural and secondary markets are beginning to adopt digital booking platforms, although penetration remains uneven compared to major cities.</w:t>
      </w:r>
    </w:p>
    <w:p w14:paraId="5CF062B3"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LAMEA (Latin America, Middle East &amp; Africa)</w:t>
      </w:r>
      <w:r w:rsidRPr="002C2B3D">
        <w:rPr>
          <w:rFonts w:ascii="Times New Roman" w:eastAsia="Times New Roman" w:hAnsi="Times New Roman" w:cs="Times New Roman"/>
          <w:sz w:val="24"/>
          <w:szCs w:val="24"/>
          <w:lang w:eastAsia="en-IN"/>
        </w:rPr>
        <w:br/>
        <w:t>LAMEA is an emerging frontier with uneven adoption across sub-regions. Brazil and Mexico lead Latin America with growing hospitality investments, particularly in urban and coastal destinations. Middle Eastern countries, such as the UAE and Saudi Arabia, are modernizing hotel infrastructure to support leisure and business tourism, including mega-events and luxury resort development. Africa presents opportunities driven by rising domestic tourism, eco-lodges, and niche accommodations, but adoption is limited by infrastructure gaps and regulatory challenges. Public-private partnerships are increasingly supporting market growth in underserved areas.</w:t>
      </w:r>
    </w:p>
    <w:p w14:paraId="0D074F56"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Regional Adoption Insights</w:t>
      </w:r>
    </w:p>
    <w:p w14:paraId="6C7B55B4" w14:textId="77777777" w:rsidR="002C2B3D" w:rsidRPr="002C2B3D" w:rsidRDefault="002C2B3D" w:rsidP="002C2B3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North America and Europe</w:t>
      </w:r>
      <w:r w:rsidRPr="002C2B3D">
        <w:rPr>
          <w:rFonts w:ascii="Times New Roman" w:eastAsia="Times New Roman" w:hAnsi="Times New Roman" w:cs="Times New Roman"/>
          <w:sz w:val="24"/>
          <w:szCs w:val="24"/>
          <w:lang w:eastAsia="en-IN"/>
        </w:rPr>
        <w:t xml:space="preserve"> remain innovation hubs, with advanced technology integration and regulatory compliance shaping guest experiences.</w:t>
      </w:r>
    </w:p>
    <w:p w14:paraId="5293D4D3" w14:textId="77777777" w:rsidR="002C2B3D" w:rsidRPr="002C2B3D" w:rsidRDefault="002C2B3D" w:rsidP="002C2B3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Asia-Pacific</w:t>
      </w:r>
      <w:r w:rsidRPr="002C2B3D">
        <w:rPr>
          <w:rFonts w:ascii="Times New Roman" w:eastAsia="Times New Roman" w:hAnsi="Times New Roman" w:cs="Times New Roman"/>
          <w:sz w:val="24"/>
          <w:szCs w:val="24"/>
          <w:lang w:eastAsia="en-IN"/>
        </w:rPr>
        <w:t xml:space="preserve"> offers high-volume growth potential, driven by population density, domestic travel expansion, and rising middle-class demand.</w:t>
      </w:r>
    </w:p>
    <w:p w14:paraId="0C587501" w14:textId="77777777" w:rsidR="002C2B3D" w:rsidRPr="002C2B3D" w:rsidRDefault="002C2B3D" w:rsidP="002C2B3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LAMEA</w:t>
      </w:r>
      <w:r w:rsidRPr="002C2B3D">
        <w:rPr>
          <w:rFonts w:ascii="Times New Roman" w:eastAsia="Times New Roman" w:hAnsi="Times New Roman" w:cs="Times New Roman"/>
          <w:sz w:val="24"/>
          <w:szCs w:val="24"/>
          <w:lang w:eastAsia="en-IN"/>
        </w:rPr>
        <w:t xml:space="preserve"> represents the growth frontier, where affordability, digital adoption, and infrastructure development define success.</w:t>
      </w:r>
    </w:p>
    <w:p w14:paraId="388D4C61"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 xml:space="preserve">The overarching trend is that regional strategies must balance global brand consistency with local customization. Success depends on understanding regulatory environments, traveler </w:t>
      </w:r>
      <w:r w:rsidRPr="002C2B3D">
        <w:rPr>
          <w:rFonts w:ascii="Times New Roman" w:eastAsia="Times New Roman" w:hAnsi="Times New Roman" w:cs="Times New Roman"/>
          <w:sz w:val="24"/>
          <w:szCs w:val="24"/>
          <w:lang w:eastAsia="en-IN"/>
        </w:rPr>
        <w:lastRenderedPageBreak/>
        <w:t>preferences, and digital adoption levels, allowing operators to capture high-value segments while expanding market share across diverse geographies.</w:t>
      </w:r>
    </w:p>
    <w:p w14:paraId="65D88FD2" w14:textId="77777777" w:rsidR="002C2B3D" w:rsidRPr="002C2B3D" w:rsidRDefault="002C2B3D" w:rsidP="002C2B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2B3D">
        <w:rPr>
          <w:rFonts w:ascii="Times New Roman" w:eastAsia="Times New Roman" w:hAnsi="Times New Roman" w:cs="Times New Roman"/>
          <w:b/>
          <w:bCs/>
          <w:kern w:val="36"/>
          <w:sz w:val="48"/>
          <w:szCs w:val="48"/>
          <w:lang w:eastAsia="en-IN"/>
        </w:rPr>
        <w:t>6. End-User Dynamics and Use Case</w:t>
      </w:r>
    </w:p>
    <w:p w14:paraId="40125790"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The travel accommodation market caters to a diverse set of end users, each with unique expectations, booking behaviors, and service requirements. Understanding these dynamics is critical for operators and investors seeking to optimize offerings and maximize occupancy rates.</w:t>
      </w:r>
    </w:p>
    <w:p w14:paraId="1AB5F4D9"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Hotels and Resorts</w:t>
      </w:r>
      <w:r w:rsidRPr="002C2B3D">
        <w:rPr>
          <w:rFonts w:ascii="Times New Roman" w:eastAsia="Times New Roman" w:hAnsi="Times New Roman" w:cs="Times New Roman"/>
          <w:sz w:val="24"/>
          <w:szCs w:val="24"/>
          <w:lang w:eastAsia="en-IN"/>
        </w:rPr>
        <w:br/>
        <w:t>Traditional hotels and resorts primarily serve business travelers, leisure tourists, and premium segments. These end users expect high service quality, reliability, and amenities such as conference facilities, wellness centers, and curated experiences. In addition, loyalty programs and digital engagement are key factors influencing repeat bookings. Resorts often attract vacationers seeking integrated experiences, with demand peaking during holiday seasons and international travel surges.</w:t>
      </w:r>
    </w:p>
    <w:p w14:paraId="517EF1E3"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Vacation Rentals and Serviced Apartments</w:t>
      </w:r>
      <w:r w:rsidRPr="002C2B3D">
        <w:rPr>
          <w:rFonts w:ascii="Times New Roman" w:eastAsia="Times New Roman" w:hAnsi="Times New Roman" w:cs="Times New Roman"/>
          <w:sz w:val="24"/>
          <w:szCs w:val="24"/>
          <w:lang w:eastAsia="en-IN"/>
        </w:rPr>
        <w:br/>
        <w:t xml:space="preserve">Vacation rentals and serviced apartments are favored by travelers seeking privacy, flexibility, and longer stays. End users include families, remote workers, and millennials prioritizing authentic, local experiences over standardized hotel offerings. Platforms offering verified listings, secure payment systems, and seamless customer service are particularly appealing to this segment. </w:t>
      </w:r>
      <w:r w:rsidRPr="002C2B3D">
        <w:rPr>
          <w:rFonts w:ascii="Times New Roman" w:eastAsia="Times New Roman" w:hAnsi="Times New Roman" w:cs="Times New Roman"/>
          <w:i/>
          <w:iCs/>
          <w:sz w:val="24"/>
          <w:szCs w:val="24"/>
          <w:lang w:eastAsia="en-IN"/>
        </w:rPr>
        <w:t>Use-case highlight: A serviced apartment chain in Singapore partnered with a global booking platform to target remote workers from Europe and North America. By offering flexible monthly rates, co-working facilities, and localized experiences, the chain achieved 85% occupancy for long-stay guests within six months, demonstrating the growing importance of blended work-leisure travel.</w:t>
      </w:r>
    </w:p>
    <w:p w14:paraId="0E126F21"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Hostels and Budget Lodging</w:t>
      </w:r>
      <w:r w:rsidRPr="002C2B3D">
        <w:rPr>
          <w:rFonts w:ascii="Times New Roman" w:eastAsia="Times New Roman" w:hAnsi="Times New Roman" w:cs="Times New Roman"/>
          <w:sz w:val="24"/>
          <w:szCs w:val="24"/>
          <w:lang w:eastAsia="en-IN"/>
        </w:rPr>
        <w:br/>
        <w:t>Cost-conscious travelers, backpackers, and students represent the primary users of hostels and budget accommodations. These users prioritize affordability, social engagement opportunities, and convenient locations. While lower in revenue per room, these segments are experiencing steady growth in Asia-Pacific and LAMEA due to the rise in youth and student travel.</w:t>
      </w:r>
    </w:p>
    <w:p w14:paraId="743DFA69"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Business Travelers</w:t>
      </w:r>
      <w:r w:rsidRPr="002C2B3D">
        <w:rPr>
          <w:rFonts w:ascii="Times New Roman" w:eastAsia="Times New Roman" w:hAnsi="Times New Roman" w:cs="Times New Roman"/>
          <w:sz w:val="24"/>
          <w:szCs w:val="24"/>
          <w:lang w:eastAsia="en-IN"/>
        </w:rPr>
        <w:br/>
        <w:t>Business travelers demand efficiency, connectivity, and convenience. They favor hotels in city centers or near airports, with features such as high-speed internet, meeting rooms, and express check-in/check-out. The growth of hybrid work models has also influenced the use of long-stay accommodations and serviced apartments for extended business trips.</w:t>
      </w:r>
    </w:p>
    <w:p w14:paraId="08BC7B8B"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Leisure Travelers</w:t>
      </w:r>
      <w:r w:rsidRPr="002C2B3D">
        <w:rPr>
          <w:rFonts w:ascii="Times New Roman" w:eastAsia="Times New Roman" w:hAnsi="Times New Roman" w:cs="Times New Roman"/>
          <w:sz w:val="24"/>
          <w:szCs w:val="24"/>
          <w:lang w:eastAsia="en-IN"/>
        </w:rPr>
        <w:br/>
        <w:t>Leisure travelers are the largest end-user segment, driving demand across hotels, resorts, and vacation rentals. These users value experiential stays, local culture immersion, and curated amenities. Seasonal patterns, holiday periods, and destination popularity significantly influence occupancy and pricing strategies.</w:t>
      </w:r>
    </w:p>
    <w:p w14:paraId="41DC3E77"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End-User Insights</w:t>
      </w:r>
    </w:p>
    <w:p w14:paraId="39553332" w14:textId="77777777" w:rsidR="002C2B3D" w:rsidRPr="002C2B3D" w:rsidRDefault="002C2B3D" w:rsidP="002C2B3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lastRenderedPageBreak/>
        <w:t>Hotels and resorts dominate revenue but must innovate to retain high-value travelers.</w:t>
      </w:r>
    </w:p>
    <w:p w14:paraId="1499E872" w14:textId="77777777" w:rsidR="002C2B3D" w:rsidRPr="002C2B3D" w:rsidRDefault="002C2B3D" w:rsidP="002C2B3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Vacation rentals and serviced apartments are rapidly growing due to flexibility and personalized experiences.</w:t>
      </w:r>
    </w:p>
    <w:p w14:paraId="6F772ABD" w14:textId="77777777" w:rsidR="002C2B3D" w:rsidRPr="002C2B3D" w:rsidRDefault="002C2B3D" w:rsidP="002C2B3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Hostels and budget lodging capture volume-driven demand, particularly among young travelers.</w:t>
      </w:r>
    </w:p>
    <w:p w14:paraId="49AF7FE2" w14:textId="77777777" w:rsidR="002C2B3D" w:rsidRPr="002C2B3D" w:rsidRDefault="002C2B3D" w:rsidP="002C2B3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Business and leisure travelers exhibit distinct booking behaviors that influence digital marketing, loyalty programs, and operational focus.</w:t>
      </w:r>
    </w:p>
    <w:p w14:paraId="6CC9D83E"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By understanding these end-user dynamics, operators can tailor offerings to meet evolving traveler expectations, optimize pricing strategies, and capture growth opportunities across segments.</w:t>
      </w:r>
    </w:p>
    <w:p w14:paraId="4362D86E" w14:textId="77777777" w:rsidR="002C2B3D" w:rsidRPr="002C2B3D" w:rsidRDefault="002C2B3D" w:rsidP="002C2B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2B3D">
        <w:rPr>
          <w:rFonts w:ascii="Times New Roman" w:eastAsia="Times New Roman" w:hAnsi="Times New Roman" w:cs="Times New Roman"/>
          <w:b/>
          <w:bCs/>
          <w:kern w:val="36"/>
          <w:sz w:val="48"/>
          <w:szCs w:val="48"/>
          <w:lang w:eastAsia="en-IN"/>
        </w:rPr>
        <w:t>7. Recent Developments + Opportunities &amp; Restraints</w:t>
      </w:r>
    </w:p>
    <w:p w14:paraId="4215BA18"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Recent Developments (Last 2 Years)</w:t>
      </w:r>
    </w:p>
    <w:p w14:paraId="56910528" w14:textId="77777777" w:rsidR="002C2B3D" w:rsidRPr="002C2B3D" w:rsidRDefault="002C2B3D" w:rsidP="002C2B3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Marriott International</w:t>
      </w:r>
      <w:r w:rsidRPr="002C2B3D">
        <w:rPr>
          <w:rFonts w:ascii="Times New Roman" w:eastAsia="Times New Roman" w:hAnsi="Times New Roman" w:cs="Times New Roman"/>
          <w:sz w:val="24"/>
          <w:szCs w:val="24"/>
          <w:lang w:eastAsia="en-IN"/>
        </w:rPr>
        <w:t xml:space="preserve"> launched a global initiative in 2024 to integrate AI-driven guest personalization across its portfolio, enhancing digital booking and on-property experiences.</w:t>
      </w:r>
    </w:p>
    <w:p w14:paraId="147FB297" w14:textId="77777777" w:rsidR="002C2B3D" w:rsidRPr="002C2B3D" w:rsidRDefault="002C2B3D" w:rsidP="002C2B3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Airbnb</w:t>
      </w:r>
      <w:r w:rsidRPr="002C2B3D">
        <w:rPr>
          <w:rFonts w:ascii="Times New Roman" w:eastAsia="Times New Roman" w:hAnsi="Times New Roman" w:cs="Times New Roman"/>
          <w:sz w:val="24"/>
          <w:szCs w:val="24"/>
          <w:lang w:eastAsia="en-IN"/>
        </w:rPr>
        <w:t xml:space="preserve"> expanded its luxury and long-stay offerings in 2023, including curated experiences and verified host programs to increase trust and market share.</w:t>
      </w:r>
    </w:p>
    <w:p w14:paraId="01F30348" w14:textId="77777777" w:rsidR="002C2B3D" w:rsidRPr="002C2B3D" w:rsidRDefault="002C2B3D" w:rsidP="002C2B3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Hilton Worldwide</w:t>
      </w:r>
      <w:r w:rsidRPr="002C2B3D">
        <w:rPr>
          <w:rFonts w:ascii="Times New Roman" w:eastAsia="Times New Roman" w:hAnsi="Times New Roman" w:cs="Times New Roman"/>
          <w:sz w:val="24"/>
          <w:szCs w:val="24"/>
          <w:lang w:eastAsia="en-IN"/>
        </w:rPr>
        <w:t xml:space="preserve"> unveiled contactless check-in and smart room technology in 2024, combining IoT-enabled services with mobile app integration for seamless guest experiences.</w:t>
      </w:r>
    </w:p>
    <w:p w14:paraId="62D18C03" w14:textId="77777777" w:rsidR="002C2B3D" w:rsidRPr="002C2B3D" w:rsidRDefault="002C2B3D" w:rsidP="002C2B3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Accor Hotels</w:t>
      </w:r>
      <w:r w:rsidRPr="002C2B3D">
        <w:rPr>
          <w:rFonts w:ascii="Times New Roman" w:eastAsia="Times New Roman" w:hAnsi="Times New Roman" w:cs="Times New Roman"/>
          <w:sz w:val="24"/>
          <w:szCs w:val="24"/>
          <w:lang w:eastAsia="en-IN"/>
        </w:rPr>
        <w:t xml:space="preserve"> introduced a sustainability-focused certification program in 2023, emphasizing energy efficiency, waste reduction, and eco-friendly operations across its properties.</w:t>
      </w:r>
    </w:p>
    <w:p w14:paraId="1BF54B67" w14:textId="77777777" w:rsidR="002C2B3D" w:rsidRPr="002C2B3D" w:rsidRDefault="002C2B3D" w:rsidP="002C2B3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Vacasa</w:t>
      </w:r>
      <w:r w:rsidRPr="002C2B3D">
        <w:rPr>
          <w:rFonts w:ascii="Times New Roman" w:eastAsia="Times New Roman" w:hAnsi="Times New Roman" w:cs="Times New Roman"/>
          <w:sz w:val="24"/>
          <w:szCs w:val="24"/>
          <w:lang w:eastAsia="en-IN"/>
        </w:rPr>
        <w:t xml:space="preserve"> enhanced dynamic pricing and property management systems in 2024, enabling hosts to optimize occupancy and revenues across key North American and European destinations.</w:t>
      </w:r>
    </w:p>
    <w:p w14:paraId="2C5A5FA6"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Opportunities</w:t>
      </w:r>
    </w:p>
    <w:p w14:paraId="221423BF" w14:textId="77777777" w:rsidR="002C2B3D" w:rsidRPr="002C2B3D" w:rsidRDefault="002C2B3D" w:rsidP="002C2B3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Expansion in Emerging Markets</w:t>
      </w:r>
      <w:r w:rsidRPr="002C2B3D">
        <w:rPr>
          <w:rFonts w:ascii="Times New Roman" w:eastAsia="Times New Roman" w:hAnsi="Times New Roman" w:cs="Times New Roman"/>
          <w:sz w:val="24"/>
          <w:szCs w:val="24"/>
          <w:lang w:eastAsia="en-IN"/>
        </w:rPr>
        <w:t>: Regions like Asia-Pacific and LAMEA present significant growth potential due to rising middle-class travelers, increased domestic tourism, and infrastructure investments.</w:t>
      </w:r>
    </w:p>
    <w:p w14:paraId="79AC11F4" w14:textId="77777777" w:rsidR="002C2B3D" w:rsidRPr="002C2B3D" w:rsidRDefault="002C2B3D" w:rsidP="002C2B3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AI and Digital Innovation</w:t>
      </w:r>
      <w:r w:rsidRPr="002C2B3D">
        <w:rPr>
          <w:rFonts w:ascii="Times New Roman" w:eastAsia="Times New Roman" w:hAnsi="Times New Roman" w:cs="Times New Roman"/>
          <w:sz w:val="24"/>
          <w:szCs w:val="24"/>
          <w:lang w:eastAsia="en-IN"/>
        </w:rPr>
        <w:t>: Implementing AI-driven personalization, predictive analytics, and contactless technologies can enhance guest experiences and operational efficiency.</w:t>
      </w:r>
    </w:p>
    <w:p w14:paraId="5939A6FD" w14:textId="77777777" w:rsidR="002C2B3D" w:rsidRPr="002C2B3D" w:rsidRDefault="002C2B3D" w:rsidP="002C2B3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Long-Stay and Remote Work Travel</w:t>
      </w:r>
      <w:r w:rsidRPr="002C2B3D">
        <w:rPr>
          <w:rFonts w:ascii="Times New Roman" w:eastAsia="Times New Roman" w:hAnsi="Times New Roman" w:cs="Times New Roman"/>
          <w:sz w:val="24"/>
          <w:szCs w:val="24"/>
          <w:lang w:eastAsia="en-IN"/>
        </w:rPr>
        <w:t>: Growing demand for serviced apartments and vacation rentals tailored to remote workers presents opportunities for recurring revenue streams.</w:t>
      </w:r>
    </w:p>
    <w:p w14:paraId="13C820BD"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Restraints</w:t>
      </w:r>
    </w:p>
    <w:p w14:paraId="7F9CAA8E" w14:textId="77777777" w:rsidR="002C2B3D" w:rsidRPr="002C2B3D" w:rsidRDefault="002C2B3D" w:rsidP="002C2B3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Regulatory Complexity</w:t>
      </w:r>
      <w:r w:rsidRPr="002C2B3D">
        <w:rPr>
          <w:rFonts w:ascii="Times New Roman" w:eastAsia="Times New Roman" w:hAnsi="Times New Roman" w:cs="Times New Roman"/>
          <w:sz w:val="24"/>
          <w:szCs w:val="24"/>
          <w:lang w:eastAsia="en-IN"/>
        </w:rPr>
        <w:t>: Short-term rental regulations, licensing requirements, and local zoning laws can limit expansion and affect platform operations in key cities.</w:t>
      </w:r>
    </w:p>
    <w:p w14:paraId="3847F6C2" w14:textId="77777777" w:rsidR="002C2B3D" w:rsidRPr="002C2B3D" w:rsidRDefault="002C2B3D" w:rsidP="002C2B3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lastRenderedPageBreak/>
        <w:t>High Capital Costs</w:t>
      </w:r>
      <w:r w:rsidRPr="002C2B3D">
        <w:rPr>
          <w:rFonts w:ascii="Times New Roman" w:eastAsia="Times New Roman" w:hAnsi="Times New Roman" w:cs="Times New Roman"/>
          <w:sz w:val="24"/>
          <w:szCs w:val="24"/>
          <w:lang w:eastAsia="en-IN"/>
        </w:rPr>
        <w:t>: Hotel development, property acquisition, and technology integration require significant capital investment, which can be a barrier for smaller operators.</w:t>
      </w:r>
    </w:p>
    <w:p w14:paraId="3BD23CFB" w14:textId="77777777" w:rsidR="002C2B3D" w:rsidRPr="002C2B3D" w:rsidRDefault="0074493B" w:rsidP="002C2B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79111C0">
          <v:rect id="_x0000_i1025" style="width:0;height:1.5pt" o:hralign="center" o:hrstd="t" o:hr="t" fillcolor="#a0a0a0" stroked="f"/>
        </w:pict>
      </w:r>
    </w:p>
    <w:p w14:paraId="0B7A2E1F" w14:textId="77777777" w:rsidR="002C2B3D" w:rsidRPr="002C2B3D" w:rsidRDefault="002C2B3D" w:rsidP="002C2B3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C2B3D">
        <w:rPr>
          <w:rFonts w:ascii="Times New Roman" w:eastAsia="Times New Roman" w:hAnsi="Times New Roman" w:cs="Times New Roman"/>
          <w:b/>
          <w:bCs/>
          <w:kern w:val="36"/>
          <w:sz w:val="48"/>
          <w:szCs w:val="48"/>
          <w:lang w:eastAsia="en-IN"/>
        </w:rPr>
        <w:t>7.1 Report Coverage Table</w:t>
      </w:r>
    </w:p>
    <w:tbl>
      <w:tblPr>
        <w:tblStyle w:val="PlainTable1"/>
        <w:tblW w:w="0" w:type="auto"/>
        <w:tblLook w:val="04A0" w:firstRow="1" w:lastRow="0" w:firstColumn="1" w:lastColumn="0" w:noHBand="0" w:noVBand="1"/>
      </w:tblPr>
      <w:tblGrid>
        <w:gridCol w:w="2702"/>
        <w:gridCol w:w="6314"/>
      </w:tblGrid>
      <w:tr w:rsidR="002C2B3D" w:rsidRPr="002C2B3D" w14:paraId="01B3D226" w14:textId="77777777" w:rsidTr="002C2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812EE" w14:textId="77777777" w:rsidR="002C2B3D" w:rsidRPr="002C2B3D" w:rsidRDefault="002C2B3D" w:rsidP="002C2B3D">
            <w:pPr>
              <w:jc w:val="cente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Report Attribute</w:t>
            </w:r>
          </w:p>
        </w:tc>
        <w:tc>
          <w:tcPr>
            <w:tcW w:w="0" w:type="auto"/>
            <w:hideMark/>
          </w:tcPr>
          <w:p w14:paraId="0D0B3318" w14:textId="77777777" w:rsidR="002C2B3D" w:rsidRPr="002C2B3D" w:rsidRDefault="002C2B3D" w:rsidP="002C2B3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Details</w:t>
            </w:r>
          </w:p>
        </w:tc>
      </w:tr>
      <w:tr w:rsidR="002C2B3D" w:rsidRPr="002C2B3D" w14:paraId="17B91FBE" w14:textId="77777777" w:rsidTr="002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1B8A5" w14:textId="77777777" w:rsidR="002C2B3D" w:rsidRPr="002C2B3D" w:rsidRDefault="002C2B3D" w:rsidP="002C2B3D">
            <w:pP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Forecast Period</w:t>
            </w:r>
          </w:p>
        </w:tc>
        <w:tc>
          <w:tcPr>
            <w:tcW w:w="0" w:type="auto"/>
            <w:hideMark/>
          </w:tcPr>
          <w:p w14:paraId="73657EA9" w14:textId="77777777" w:rsidR="002C2B3D" w:rsidRPr="002C2B3D" w:rsidRDefault="002C2B3D" w:rsidP="002C2B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2024 – 2030</w:t>
            </w:r>
          </w:p>
        </w:tc>
      </w:tr>
      <w:tr w:rsidR="002C2B3D" w:rsidRPr="002C2B3D" w14:paraId="2A9D5E1C" w14:textId="77777777" w:rsidTr="002C2B3D">
        <w:tc>
          <w:tcPr>
            <w:cnfStyle w:val="001000000000" w:firstRow="0" w:lastRow="0" w:firstColumn="1" w:lastColumn="0" w:oddVBand="0" w:evenVBand="0" w:oddHBand="0" w:evenHBand="0" w:firstRowFirstColumn="0" w:firstRowLastColumn="0" w:lastRowFirstColumn="0" w:lastRowLastColumn="0"/>
            <w:tcW w:w="0" w:type="auto"/>
            <w:hideMark/>
          </w:tcPr>
          <w:p w14:paraId="340389BA" w14:textId="77777777" w:rsidR="002C2B3D" w:rsidRPr="002C2B3D" w:rsidRDefault="002C2B3D" w:rsidP="002C2B3D">
            <w:pP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Market Size Value in 2024</w:t>
            </w:r>
          </w:p>
        </w:tc>
        <w:tc>
          <w:tcPr>
            <w:tcW w:w="0" w:type="auto"/>
            <w:hideMark/>
          </w:tcPr>
          <w:p w14:paraId="06C765E9" w14:textId="0CC831BD" w:rsidR="002C2B3D" w:rsidRPr="002C2B3D" w:rsidRDefault="002C2B3D" w:rsidP="002C2B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 xml:space="preserve">USD </w:t>
            </w:r>
            <w:r w:rsidR="00027A38">
              <w:rPr>
                <w:rFonts w:ascii="Times New Roman" w:eastAsia="Times New Roman" w:hAnsi="Times New Roman" w:cs="Times New Roman"/>
                <w:sz w:val="24"/>
                <w:szCs w:val="24"/>
                <w:lang w:eastAsia="en-IN"/>
              </w:rPr>
              <w:t>550.0</w:t>
            </w:r>
            <w:r w:rsidRPr="002C2B3D">
              <w:rPr>
                <w:rFonts w:ascii="Times New Roman" w:eastAsia="Times New Roman" w:hAnsi="Times New Roman" w:cs="Times New Roman"/>
                <w:sz w:val="24"/>
                <w:szCs w:val="24"/>
                <w:lang w:eastAsia="en-IN"/>
              </w:rPr>
              <w:t xml:space="preserve"> Billion</w:t>
            </w:r>
          </w:p>
        </w:tc>
      </w:tr>
      <w:tr w:rsidR="002C2B3D" w:rsidRPr="002C2B3D" w14:paraId="4F3BA7D5" w14:textId="77777777" w:rsidTr="002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301011" w14:textId="77777777" w:rsidR="002C2B3D" w:rsidRPr="002C2B3D" w:rsidRDefault="002C2B3D" w:rsidP="002C2B3D">
            <w:pP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Revenue Forecast in 2030</w:t>
            </w:r>
          </w:p>
        </w:tc>
        <w:tc>
          <w:tcPr>
            <w:tcW w:w="0" w:type="auto"/>
            <w:hideMark/>
          </w:tcPr>
          <w:p w14:paraId="38E54959" w14:textId="10810AE5" w:rsidR="002C2B3D" w:rsidRPr="002C2B3D" w:rsidRDefault="002C2B3D" w:rsidP="002C2B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 xml:space="preserve">USD </w:t>
            </w:r>
            <w:r w:rsidR="00027A38">
              <w:rPr>
                <w:rFonts w:ascii="Times New Roman" w:eastAsia="Times New Roman" w:hAnsi="Times New Roman" w:cs="Times New Roman"/>
                <w:sz w:val="24"/>
                <w:szCs w:val="24"/>
                <w:lang w:eastAsia="en-IN"/>
              </w:rPr>
              <w:t>800.0</w:t>
            </w:r>
            <w:r w:rsidRPr="002C2B3D">
              <w:rPr>
                <w:rFonts w:ascii="Times New Roman" w:eastAsia="Times New Roman" w:hAnsi="Times New Roman" w:cs="Times New Roman"/>
                <w:sz w:val="24"/>
                <w:szCs w:val="24"/>
                <w:lang w:eastAsia="en-IN"/>
              </w:rPr>
              <w:t xml:space="preserve"> Billion </w:t>
            </w:r>
          </w:p>
        </w:tc>
      </w:tr>
      <w:tr w:rsidR="002C2B3D" w:rsidRPr="002C2B3D" w14:paraId="2016615F" w14:textId="77777777" w:rsidTr="002C2B3D">
        <w:tc>
          <w:tcPr>
            <w:cnfStyle w:val="001000000000" w:firstRow="0" w:lastRow="0" w:firstColumn="1" w:lastColumn="0" w:oddVBand="0" w:evenVBand="0" w:oddHBand="0" w:evenHBand="0" w:firstRowFirstColumn="0" w:firstRowLastColumn="0" w:lastRowFirstColumn="0" w:lastRowLastColumn="0"/>
            <w:tcW w:w="0" w:type="auto"/>
            <w:hideMark/>
          </w:tcPr>
          <w:p w14:paraId="3EA281AD" w14:textId="77777777" w:rsidR="002C2B3D" w:rsidRPr="002C2B3D" w:rsidRDefault="002C2B3D" w:rsidP="002C2B3D">
            <w:pP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Overall Growth Rate</w:t>
            </w:r>
          </w:p>
        </w:tc>
        <w:tc>
          <w:tcPr>
            <w:tcW w:w="0" w:type="auto"/>
            <w:hideMark/>
          </w:tcPr>
          <w:p w14:paraId="7B55A7E1" w14:textId="77777777" w:rsidR="002C2B3D" w:rsidRPr="002C2B3D" w:rsidRDefault="002C2B3D" w:rsidP="002C2B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CAGR of 6.5% (2024 – 2030)</w:t>
            </w:r>
          </w:p>
        </w:tc>
      </w:tr>
      <w:tr w:rsidR="002C2B3D" w:rsidRPr="002C2B3D" w14:paraId="63D6B1D4" w14:textId="77777777" w:rsidTr="002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22C17" w14:textId="77777777" w:rsidR="002C2B3D" w:rsidRPr="002C2B3D" w:rsidRDefault="002C2B3D" w:rsidP="002C2B3D">
            <w:pP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Base Year for Estimation</w:t>
            </w:r>
          </w:p>
        </w:tc>
        <w:tc>
          <w:tcPr>
            <w:tcW w:w="0" w:type="auto"/>
            <w:hideMark/>
          </w:tcPr>
          <w:p w14:paraId="09823923" w14:textId="77777777" w:rsidR="002C2B3D" w:rsidRPr="002C2B3D" w:rsidRDefault="002C2B3D" w:rsidP="002C2B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2023</w:t>
            </w:r>
          </w:p>
        </w:tc>
      </w:tr>
      <w:tr w:rsidR="002C2B3D" w:rsidRPr="002C2B3D" w14:paraId="69B44459" w14:textId="77777777" w:rsidTr="002C2B3D">
        <w:tc>
          <w:tcPr>
            <w:cnfStyle w:val="001000000000" w:firstRow="0" w:lastRow="0" w:firstColumn="1" w:lastColumn="0" w:oddVBand="0" w:evenVBand="0" w:oddHBand="0" w:evenHBand="0" w:firstRowFirstColumn="0" w:firstRowLastColumn="0" w:lastRowFirstColumn="0" w:lastRowLastColumn="0"/>
            <w:tcW w:w="0" w:type="auto"/>
            <w:hideMark/>
          </w:tcPr>
          <w:p w14:paraId="3E71021C" w14:textId="77777777" w:rsidR="002C2B3D" w:rsidRPr="002C2B3D" w:rsidRDefault="002C2B3D" w:rsidP="002C2B3D">
            <w:pP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Historical Data</w:t>
            </w:r>
          </w:p>
        </w:tc>
        <w:tc>
          <w:tcPr>
            <w:tcW w:w="0" w:type="auto"/>
            <w:hideMark/>
          </w:tcPr>
          <w:p w14:paraId="106ABBD3" w14:textId="77777777" w:rsidR="002C2B3D" w:rsidRPr="002C2B3D" w:rsidRDefault="002C2B3D" w:rsidP="002C2B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2017 – 2023</w:t>
            </w:r>
          </w:p>
        </w:tc>
      </w:tr>
      <w:tr w:rsidR="002C2B3D" w:rsidRPr="002C2B3D" w14:paraId="0198C1F8" w14:textId="77777777" w:rsidTr="002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EFB19" w14:textId="77777777" w:rsidR="002C2B3D" w:rsidRPr="002C2B3D" w:rsidRDefault="002C2B3D" w:rsidP="002C2B3D">
            <w:pP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Unit</w:t>
            </w:r>
          </w:p>
        </w:tc>
        <w:tc>
          <w:tcPr>
            <w:tcW w:w="0" w:type="auto"/>
            <w:hideMark/>
          </w:tcPr>
          <w:p w14:paraId="2AE3D616" w14:textId="77777777" w:rsidR="002C2B3D" w:rsidRPr="002C2B3D" w:rsidRDefault="002C2B3D" w:rsidP="002C2B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USD Million, CAGR (2024 – 2030)</w:t>
            </w:r>
          </w:p>
        </w:tc>
      </w:tr>
      <w:tr w:rsidR="002C2B3D" w:rsidRPr="002C2B3D" w14:paraId="41F98693" w14:textId="77777777" w:rsidTr="002C2B3D">
        <w:tc>
          <w:tcPr>
            <w:cnfStyle w:val="001000000000" w:firstRow="0" w:lastRow="0" w:firstColumn="1" w:lastColumn="0" w:oddVBand="0" w:evenVBand="0" w:oddHBand="0" w:evenHBand="0" w:firstRowFirstColumn="0" w:firstRowLastColumn="0" w:lastRowFirstColumn="0" w:lastRowLastColumn="0"/>
            <w:tcW w:w="0" w:type="auto"/>
            <w:hideMark/>
          </w:tcPr>
          <w:p w14:paraId="5C55EE81" w14:textId="77777777" w:rsidR="002C2B3D" w:rsidRPr="002C2B3D" w:rsidRDefault="002C2B3D" w:rsidP="002C2B3D">
            <w:pP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Segmentation</w:t>
            </w:r>
          </w:p>
        </w:tc>
        <w:tc>
          <w:tcPr>
            <w:tcW w:w="0" w:type="auto"/>
            <w:hideMark/>
          </w:tcPr>
          <w:p w14:paraId="67ABB988" w14:textId="77777777" w:rsidR="002C2B3D" w:rsidRPr="002C2B3D" w:rsidRDefault="002C2B3D" w:rsidP="002C2B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By Accommodation Type, Booking Channel, Traveler Type, Geography</w:t>
            </w:r>
          </w:p>
        </w:tc>
      </w:tr>
      <w:tr w:rsidR="002C2B3D" w:rsidRPr="002C2B3D" w14:paraId="4E800141" w14:textId="77777777" w:rsidTr="002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AC8C06" w14:textId="77777777" w:rsidR="002C2B3D" w:rsidRPr="002C2B3D" w:rsidRDefault="002C2B3D" w:rsidP="002C2B3D">
            <w:pP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By Accommodation Type</w:t>
            </w:r>
          </w:p>
        </w:tc>
        <w:tc>
          <w:tcPr>
            <w:tcW w:w="0" w:type="auto"/>
            <w:hideMark/>
          </w:tcPr>
          <w:p w14:paraId="228474C2" w14:textId="77777777" w:rsidR="002C2B3D" w:rsidRPr="002C2B3D" w:rsidRDefault="002C2B3D" w:rsidP="002C2B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Hotels, Resorts, Vacation Rentals, Hostels, Serviced Apartments</w:t>
            </w:r>
          </w:p>
        </w:tc>
      </w:tr>
      <w:tr w:rsidR="002C2B3D" w:rsidRPr="002C2B3D" w14:paraId="1344DC6E" w14:textId="77777777" w:rsidTr="002C2B3D">
        <w:tc>
          <w:tcPr>
            <w:cnfStyle w:val="001000000000" w:firstRow="0" w:lastRow="0" w:firstColumn="1" w:lastColumn="0" w:oddVBand="0" w:evenVBand="0" w:oddHBand="0" w:evenHBand="0" w:firstRowFirstColumn="0" w:firstRowLastColumn="0" w:lastRowFirstColumn="0" w:lastRowLastColumn="0"/>
            <w:tcW w:w="0" w:type="auto"/>
            <w:hideMark/>
          </w:tcPr>
          <w:p w14:paraId="1FBCFF18" w14:textId="77777777" w:rsidR="002C2B3D" w:rsidRPr="002C2B3D" w:rsidRDefault="002C2B3D" w:rsidP="002C2B3D">
            <w:pP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By Booking Channel</w:t>
            </w:r>
          </w:p>
        </w:tc>
        <w:tc>
          <w:tcPr>
            <w:tcW w:w="0" w:type="auto"/>
            <w:hideMark/>
          </w:tcPr>
          <w:p w14:paraId="30930573" w14:textId="77777777" w:rsidR="002C2B3D" w:rsidRPr="002C2B3D" w:rsidRDefault="002C2B3D" w:rsidP="002C2B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OTAs, Direct Booking, Alternative Platforms</w:t>
            </w:r>
          </w:p>
        </w:tc>
      </w:tr>
      <w:tr w:rsidR="002C2B3D" w:rsidRPr="002C2B3D" w14:paraId="4660911C" w14:textId="77777777" w:rsidTr="002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91EA8" w14:textId="77777777" w:rsidR="002C2B3D" w:rsidRPr="002C2B3D" w:rsidRDefault="002C2B3D" w:rsidP="002C2B3D">
            <w:pP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By Traveler Type</w:t>
            </w:r>
          </w:p>
        </w:tc>
        <w:tc>
          <w:tcPr>
            <w:tcW w:w="0" w:type="auto"/>
            <w:hideMark/>
          </w:tcPr>
          <w:p w14:paraId="65AA03CC" w14:textId="77777777" w:rsidR="002C2B3D" w:rsidRPr="002C2B3D" w:rsidRDefault="002C2B3D" w:rsidP="002C2B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Leisure, Business, Extended-Stay / Remote Workers</w:t>
            </w:r>
          </w:p>
        </w:tc>
      </w:tr>
      <w:tr w:rsidR="002C2B3D" w:rsidRPr="002C2B3D" w14:paraId="5DFDD8AC" w14:textId="77777777" w:rsidTr="002C2B3D">
        <w:tc>
          <w:tcPr>
            <w:cnfStyle w:val="001000000000" w:firstRow="0" w:lastRow="0" w:firstColumn="1" w:lastColumn="0" w:oddVBand="0" w:evenVBand="0" w:oddHBand="0" w:evenHBand="0" w:firstRowFirstColumn="0" w:firstRowLastColumn="0" w:lastRowFirstColumn="0" w:lastRowLastColumn="0"/>
            <w:tcW w:w="0" w:type="auto"/>
            <w:hideMark/>
          </w:tcPr>
          <w:p w14:paraId="01ABBD83" w14:textId="77777777" w:rsidR="002C2B3D" w:rsidRPr="002C2B3D" w:rsidRDefault="002C2B3D" w:rsidP="002C2B3D">
            <w:pP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By Region</w:t>
            </w:r>
          </w:p>
        </w:tc>
        <w:tc>
          <w:tcPr>
            <w:tcW w:w="0" w:type="auto"/>
            <w:hideMark/>
          </w:tcPr>
          <w:p w14:paraId="3491F201" w14:textId="77777777" w:rsidR="002C2B3D" w:rsidRPr="002C2B3D" w:rsidRDefault="002C2B3D" w:rsidP="002C2B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North America, Europe, Asia-Pacific, LAMEA</w:t>
            </w:r>
          </w:p>
        </w:tc>
      </w:tr>
      <w:tr w:rsidR="002C2B3D" w:rsidRPr="002C2B3D" w14:paraId="3EA71BC1" w14:textId="77777777" w:rsidTr="002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E13D3" w14:textId="77777777" w:rsidR="002C2B3D" w:rsidRPr="002C2B3D" w:rsidRDefault="002C2B3D" w:rsidP="002C2B3D">
            <w:pP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Country Scope</w:t>
            </w:r>
          </w:p>
        </w:tc>
        <w:tc>
          <w:tcPr>
            <w:tcW w:w="0" w:type="auto"/>
            <w:hideMark/>
          </w:tcPr>
          <w:p w14:paraId="0FFB8196" w14:textId="77777777" w:rsidR="002C2B3D" w:rsidRPr="002C2B3D" w:rsidRDefault="002C2B3D" w:rsidP="002C2B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U.S., UK, Germany, France, China, India, Japan, Brazil, UAE, South Africa</w:t>
            </w:r>
          </w:p>
        </w:tc>
      </w:tr>
      <w:tr w:rsidR="002C2B3D" w:rsidRPr="002C2B3D" w14:paraId="1D305FDE" w14:textId="77777777" w:rsidTr="002C2B3D">
        <w:tc>
          <w:tcPr>
            <w:cnfStyle w:val="001000000000" w:firstRow="0" w:lastRow="0" w:firstColumn="1" w:lastColumn="0" w:oddVBand="0" w:evenVBand="0" w:oddHBand="0" w:evenHBand="0" w:firstRowFirstColumn="0" w:firstRowLastColumn="0" w:lastRowFirstColumn="0" w:lastRowLastColumn="0"/>
            <w:tcW w:w="0" w:type="auto"/>
            <w:hideMark/>
          </w:tcPr>
          <w:p w14:paraId="2BE080CC" w14:textId="77777777" w:rsidR="002C2B3D" w:rsidRPr="002C2B3D" w:rsidRDefault="002C2B3D" w:rsidP="002C2B3D">
            <w:pP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Market Drivers</w:t>
            </w:r>
          </w:p>
        </w:tc>
        <w:tc>
          <w:tcPr>
            <w:tcW w:w="0" w:type="auto"/>
            <w:hideMark/>
          </w:tcPr>
          <w:p w14:paraId="5EB9E919" w14:textId="77777777" w:rsidR="002C2B3D" w:rsidRPr="002C2B3D" w:rsidRDefault="002C2B3D" w:rsidP="002C2B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 Rising global travel demand and leisure tourism</w:t>
            </w:r>
          </w:p>
        </w:tc>
      </w:tr>
      <w:tr w:rsidR="002C2B3D" w:rsidRPr="002C2B3D" w14:paraId="080CBD11" w14:textId="77777777" w:rsidTr="002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A7DD2" w14:textId="77777777" w:rsidR="002C2B3D" w:rsidRPr="002C2B3D" w:rsidRDefault="002C2B3D" w:rsidP="002C2B3D">
            <w:pPr>
              <w:rPr>
                <w:rFonts w:ascii="Times New Roman" w:eastAsia="Times New Roman" w:hAnsi="Times New Roman" w:cs="Times New Roman"/>
                <w:sz w:val="24"/>
                <w:szCs w:val="24"/>
                <w:lang w:eastAsia="en-IN"/>
              </w:rPr>
            </w:pPr>
          </w:p>
        </w:tc>
        <w:tc>
          <w:tcPr>
            <w:tcW w:w="0" w:type="auto"/>
            <w:hideMark/>
          </w:tcPr>
          <w:p w14:paraId="5019C7A4" w14:textId="77777777" w:rsidR="002C2B3D" w:rsidRPr="002C2B3D" w:rsidRDefault="002C2B3D" w:rsidP="002C2B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 Growth in digital booking and personalized experiences</w:t>
            </w:r>
          </w:p>
        </w:tc>
      </w:tr>
      <w:tr w:rsidR="002C2B3D" w:rsidRPr="002C2B3D" w14:paraId="3F2CDA56" w14:textId="77777777" w:rsidTr="002C2B3D">
        <w:tc>
          <w:tcPr>
            <w:cnfStyle w:val="001000000000" w:firstRow="0" w:lastRow="0" w:firstColumn="1" w:lastColumn="0" w:oddVBand="0" w:evenVBand="0" w:oddHBand="0" w:evenHBand="0" w:firstRowFirstColumn="0" w:firstRowLastColumn="0" w:lastRowFirstColumn="0" w:lastRowLastColumn="0"/>
            <w:tcW w:w="0" w:type="auto"/>
            <w:hideMark/>
          </w:tcPr>
          <w:p w14:paraId="6BBDEA86" w14:textId="77777777" w:rsidR="002C2B3D" w:rsidRPr="002C2B3D" w:rsidRDefault="002C2B3D" w:rsidP="002C2B3D">
            <w:pPr>
              <w:rPr>
                <w:rFonts w:ascii="Times New Roman" w:eastAsia="Times New Roman" w:hAnsi="Times New Roman" w:cs="Times New Roman"/>
                <w:sz w:val="24"/>
                <w:szCs w:val="24"/>
                <w:lang w:eastAsia="en-IN"/>
              </w:rPr>
            </w:pPr>
          </w:p>
        </w:tc>
        <w:tc>
          <w:tcPr>
            <w:tcW w:w="0" w:type="auto"/>
            <w:hideMark/>
          </w:tcPr>
          <w:p w14:paraId="6FDAFD1B" w14:textId="77777777" w:rsidR="002C2B3D" w:rsidRPr="002C2B3D" w:rsidRDefault="002C2B3D" w:rsidP="002C2B3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 Expansion of long-stay and alternative accommodations</w:t>
            </w:r>
          </w:p>
        </w:tc>
      </w:tr>
      <w:tr w:rsidR="002C2B3D" w:rsidRPr="002C2B3D" w14:paraId="1F183E5E" w14:textId="77777777" w:rsidTr="002C2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0F3E1" w14:textId="77777777" w:rsidR="002C2B3D" w:rsidRPr="002C2B3D" w:rsidRDefault="002C2B3D" w:rsidP="002C2B3D">
            <w:pPr>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Customization Option</w:t>
            </w:r>
          </w:p>
        </w:tc>
        <w:tc>
          <w:tcPr>
            <w:tcW w:w="0" w:type="auto"/>
            <w:hideMark/>
          </w:tcPr>
          <w:p w14:paraId="2358C207" w14:textId="77777777" w:rsidR="002C2B3D" w:rsidRPr="002C2B3D" w:rsidRDefault="002C2B3D" w:rsidP="002C2B3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2C2B3D">
              <w:rPr>
                <w:rFonts w:ascii="Times New Roman" w:eastAsia="Times New Roman" w:hAnsi="Times New Roman" w:cs="Times New Roman"/>
                <w:sz w:val="24"/>
                <w:szCs w:val="24"/>
                <w:lang w:eastAsia="en-IN"/>
              </w:rPr>
              <w:t>Available upon request</w:t>
            </w:r>
          </w:p>
        </w:tc>
      </w:tr>
    </w:tbl>
    <w:p w14:paraId="06000DF0" w14:textId="77777777" w:rsidR="002C2B3D" w:rsidRPr="002C2B3D" w:rsidRDefault="002C2B3D" w:rsidP="002C2B3D">
      <w:pPr>
        <w:pStyle w:val="Heading1"/>
        <w:rPr>
          <w:rFonts w:ascii="Times New Roman" w:eastAsia="Times New Roman" w:hAnsi="Times New Roman" w:cs="Times New Roman"/>
          <w:b/>
          <w:bCs/>
          <w:color w:val="auto"/>
          <w:kern w:val="36"/>
          <w:sz w:val="48"/>
          <w:szCs w:val="48"/>
          <w:lang w:eastAsia="en-IN"/>
        </w:rPr>
      </w:pPr>
      <w:r>
        <w:br/>
      </w:r>
      <w:r w:rsidRPr="002C2B3D">
        <w:rPr>
          <w:rFonts w:ascii="Times New Roman" w:eastAsia="Times New Roman" w:hAnsi="Times New Roman" w:cs="Times New Roman"/>
          <w:b/>
          <w:bCs/>
          <w:color w:val="auto"/>
          <w:kern w:val="36"/>
          <w:sz w:val="48"/>
          <w:szCs w:val="48"/>
          <w:lang w:eastAsia="en-IN"/>
        </w:rPr>
        <w:t>8. Report Summary, FAQs, and SEO Schema</w:t>
      </w:r>
    </w:p>
    <w:p w14:paraId="4B2376EB"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A.1. Report Title (Long-Form)</w:t>
      </w:r>
      <w:r w:rsidRPr="002C2B3D">
        <w:rPr>
          <w:rFonts w:ascii="Times New Roman" w:eastAsia="Times New Roman" w:hAnsi="Times New Roman" w:cs="Times New Roman"/>
          <w:sz w:val="24"/>
          <w:szCs w:val="24"/>
          <w:lang w:eastAsia="en-IN"/>
        </w:rPr>
        <w:br/>
        <w:t>Travel Accommodation Market By Accommodation Type (Hotels, Resorts, Vacation Rentals, Hostels, Serviced Apartments); By Booking Channel (OTAs, Direct Booking, Alternative Platforms); By Traveler Type (Leisure, Business, Extended-Stay / Remote Workers); By Geography, Segment Revenue Estimation, Forecast, 2024–2030</w:t>
      </w:r>
    </w:p>
    <w:p w14:paraId="2A960132"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A.2. Lowercase Market Name</w:t>
      </w:r>
      <w:r w:rsidRPr="002C2B3D">
        <w:rPr>
          <w:rFonts w:ascii="Times New Roman" w:eastAsia="Times New Roman" w:hAnsi="Times New Roman" w:cs="Times New Roman"/>
          <w:sz w:val="24"/>
          <w:szCs w:val="24"/>
          <w:lang w:eastAsia="en-IN"/>
        </w:rPr>
        <w:br/>
        <w:t>travel accommodation market</w:t>
      </w:r>
    </w:p>
    <w:p w14:paraId="57B89D40" w14:textId="25634159"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lastRenderedPageBreak/>
        <w:t>A.3. SEO-Friendly Market Size Tagline</w:t>
      </w:r>
      <w:r w:rsidRPr="002C2B3D">
        <w:rPr>
          <w:rFonts w:ascii="Times New Roman" w:eastAsia="Times New Roman" w:hAnsi="Times New Roman" w:cs="Times New Roman"/>
          <w:sz w:val="24"/>
          <w:szCs w:val="24"/>
          <w:lang w:eastAsia="en-IN"/>
        </w:rPr>
        <w:br/>
        <w:t>Travel Accommodation Market Size ($</w:t>
      </w:r>
      <w:r w:rsidR="00027A38">
        <w:rPr>
          <w:rFonts w:ascii="Times New Roman" w:eastAsia="Times New Roman" w:hAnsi="Times New Roman" w:cs="Times New Roman"/>
          <w:sz w:val="24"/>
          <w:szCs w:val="24"/>
          <w:lang w:eastAsia="en-IN"/>
        </w:rPr>
        <w:t>800.0</w:t>
      </w:r>
      <w:r w:rsidRPr="002C2B3D">
        <w:rPr>
          <w:rFonts w:ascii="Times New Roman" w:eastAsia="Times New Roman" w:hAnsi="Times New Roman" w:cs="Times New Roman"/>
          <w:sz w:val="24"/>
          <w:szCs w:val="24"/>
          <w:lang w:eastAsia="en-IN"/>
        </w:rPr>
        <w:t xml:space="preserve"> Billion) 2030</w:t>
      </w:r>
    </w:p>
    <w:p w14:paraId="60758208"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A.4. SEO-Friendly Market Size Tagline BreadCrumb</w:t>
      </w:r>
      <w:r w:rsidRPr="002C2B3D">
        <w:rPr>
          <w:rFonts w:ascii="Times New Roman" w:eastAsia="Times New Roman" w:hAnsi="Times New Roman" w:cs="Times New Roman"/>
          <w:sz w:val="24"/>
          <w:szCs w:val="24"/>
          <w:lang w:eastAsia="en-IN"/>
        </w:rPr>
        <w:br/>
        <w:t>Travel Accommodation Market Report 2030</w:t>
      </w:r>
    </w:p>
    <w:p w14:paraId="170A4852" w14:textId="77777777" w:rsidR="002C2B3D" w:rsidRPr="002C2B3D" w:rsidRDefault="0074493B" w:rsidP="002C2B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477E60">
          <v:rect id="_x0000_i1026" style="width:0;height:1.5pt" o:hralign="center" o:hrstd="t" o:hr="t" fillcolor="#a0a0a0" stroked="f"/>
        </w:pict>
      </w:r>
    </w:p>
    <w:p w14:paraId="00853C59" w14:textId="77777777" w:rsidR="002C2B3D" w:rsidRPr="002C2B3D" w:rsidRDefault="002C2B3D" w:rsidP="002C2B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2B3D">
        <w:rPr>
          <w:rFonts w:ascii="Times New Roman" w:eastAsia="Times New Roman" w:hAnsi="Times New Roman" w:cs="Times New Roman"/>
          <w:b/>
          <w:bCs/>
          <w:sz w:val="36"/>
          <w:szCs w:val="36"/>
          <w:lang w:eastAsia="en-IN"/>
        </w:rPr>
        <w:t>B. Top 5 FAQs</w:t>
      </w:r>
    </w:p>
    <w:p w14:paraId="1268CB8C" w14:textId="7375402E"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Q1. How big is the travel accommodation market?</w:t>
      </w:r>
      <w:r w:rsidRPr="002C2B3D">
        <w:rPr>
          <w:rFonts w:ascii="Times New Roman" w:eastAsia="Times New Roman" w:hAnsi="Times New Roman" w:cs="Times New Roman"/>
          <w:sz w:val="24"/>
          <w:szCs w:val="24"/>
          <w:lang w:eastAsia="en-IN"/>
        </w:rPr>
        <w:br/>
      </w:r>
      <w:r w:rsidRPr="002C2B3D">
        <w:rPr>
          <w:rFonts w:ascii="Times New Roman" w:eastAsia="Times New Roman" w:hAnsi="Times New Roman" w:cs="Times New Roman"/>
          <w:b/>
          <w:bCs/>
          <w:sz w:val="24"/>
          <w:szCs w:val="24"/>
          <w:lang w:eastAsia="en-IN"/>
        </w:rPr>
        <w:t>A1.</w:t>
      </w:r>
      <w:r w:rsidRPr="002C2B3D">
        <w:rPr>
          <w:rFonts w:ascii="Times New Roman" w:eastAsia="Times New Roman" w:hAnsi="Times New Roman" w:cs="Times New Roman"/>
          <w:sz w:val="24"/>
          <w:szCs w:val="24"/>
          <w:lang w:eastAsia="en-IN"/>
        </w:rPr>
        <w:t xml:space="preserve"> The global travel accommodation market is valued at USD </w:t>
      </w:r>
      <w:r w:rsidR="00027A38">
        <w:rPr>
          <w:rFonts w:ascii="Times New Roman" w:eastAsia="Times New Roman" w:hAnsi="Times New Roman" w:cs="Times New Roman"/>
          <w:sz w:val="24"/>
          <w:szCs w:val="24"/>
          <w:lang w:eastAsia="en-IN"/>
        </w:rPr>
        <w:t>550.0</w:t>
      </w:r>
      <w:r w:rsidRPr="002C2B3D">
        <w:rPr>
          <w:rFonts w:ascii="Times New Roman" w:eastAsia="Times New Roman" w:hAnsi="Times New Roman" w:cs="Times New Roman"/>
          <w:sz w:val="24"/>
          <w:szCs w:val="24"/>
          <w:lang w:eastAsia="en-IN"/>
        </w:rPr>
        <w:t xml:space="preserve"> billion in 2024.</w:t>
      </w:r>
    </w:p>
    <w:p w14:paraId="59556997"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Q2. What is the CAGR for the forecast period?</w:t>
      </w:r>
      <w:r w:rsidRPr="002C2B3D">
        <w:rPr>
          <w:rFonts w:ascii="Times New Roman" w:eastAsia="Times New Roman" w:hAnsi="Times New Roman" w:cs="Times New Roman"/>
          <w:sz w:val="24"/>
          <w:szCs w:val="24"/>
          <w:lang w:eastAsia="en-IN"/>
        </w:rPr>
        <w:br/>
      </w:r>
      <w:r w:rsidRPr="002C2B3D">
        <w:rPr>
          <w:rFonts w:ascii="Times New Roman" w:eastAsia="Times New Roman" w:hAnsi="Times New Roman" w:cs="Times New Roman"/>
          <w:b/>
          <w:bCs/>
          <w:sz w:val="24"/>
          <w:szCs w:val="24"/>
          <w:lang w:eastAsia="en-IN"/>
        </w:rPr>
        <w:t>A2.</w:t>
      </w:r>
      <w:r w:rsidRPr="002C2B3D">
        <w:rPr>
          <w:rFonts w:ascii="Times New Roman" w:eastAsia="Times New Roman" w:hAnsi="Times New Roman" w:cs="Times New Roman"/>
          <w:sz w:val="24"/>
          <w:szCs w:val="24"/>
          <w:lang w:eastAsia="en-IN"/>
        </w:rPr>
        <w:t xml:space="preserve"> The market is expected to grow at a CAGR of 6.5% from 2024 to 2030.</w:t>
      </w:r>
    </w:p>
    <w:p w14:paraId="3CC09FE2"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Q3. Who are the major players in the travel accommodation market?</w:t>
      </w:r>
      <w:r w:rsidRPr="002C2B3D">
        <w:rPr>
          <w:rFonts w:ascii="Times New Roman" w:eastAsia="Times New Roman" w:hAnsi="Times New Roman" w:cs="Times New Roman"/>
          <w:sz w:val="24"/>
          <w:szCs w:val="24"/>
          <w:lang w:eastAsia="en-IN"/>
        </w:rPr>
        <w:br/>
      </w:r>
      <w:r w:rsidRPr="002C2B3D">
        <w:rPr>
          <w:rFonts w:ascii="Times New Roman" w:eastAsia="Times New Roman" w:hAnsi="Times New Roman" w:cs="Times New Roman"/>
          <w:b/>
          <w:bCs/>
          <w:sz w:val="24"/>
          <w:szCs w:val="24"/>
          <w:lang w:eastAsia="en-IN"/>
        </w:rPr>
        <w:t>A3.</w:t>
      </w:r>
      <w:r w:rsidRPr="002C2B3D">
        <w:rPr>
          <w:rFonts w:ascii="Times New Roman" w:eastAsia="Times New Roman" w:hAnsi="Times New Roman" w:cs="Times New Roman"/>
          <w:sz w:val="24"/>
          <w:szCs w:val="24"/>
          <w:lang w:eastAsia="en-IN"/>
        </w:rPr>
        <w:t xml:space="preserve"> Leading players include Marriott International, Hilton Worldwide, Airbnb, Accor Hotels, and Vacasa.</w:t>
      </w:r>
    </w:p>
    <w:p w14:paraId="44C270FA"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Q4. Which region dominates the travel accommodation market?</w:t>
      </w:r>
      <w:r w:rsidRPr="002C2B3D">
        <w:rPr>
          <w:rFonts w:ascii="Times New Roman" w:eastAsia="Times New Roman" w:hAnsi="Times New Roman" w:cs="Times New Roman"/>
          <w:sz w:val="24"/>
          <w:szCs w:val="24"/>
          <w:lang w:eastAsia="en-IN"/>
        </w:rPr>
        <w:br/>
      </w:r>
      <w:r w:rsidRPr="002C2B3D">
        <w:rPr>
          <w:rFonts w:ascii="Times New Roman" w:eastAsia="Times New Roman" w:hAnsi="Times New Roman" w:cs="Times New Roman"/>
          <w:b/>
          <w:bCs/>
          <w:sz w:val="24"/>
          <w:szCs w:val="24"/>
          <w:lang w:eastAsia="en-IN"/>
        </w:rPr>
        <w:t>A4.</w:t>
      </w:r>
      <w:r w:rsidRPr="002C2B3D">
        <w:rPr>
          <w:rFonts w:ascii="Times New Roman" w:eastAsia="Times New Roman" w:hAnsi="Times New Roman" w:cs="Times New Roman"/>
          <w:sz w:val="24"/>
          <w:szCs w:val="24"/>
          <w:lang w:eastAsia="en-IN"/>
        </w:rPr>
        <w:t xml:space="preserve"> North America leads due to high digital adoption, mature hotel chains, and advanced alternative lodging platforms.</w:t>
      </w:r>
    </w:p>
    <w:p w14:paraId="7274F26C" w14:textId="77777777" w:rsidR="002C2B3D" w:rsidRPr="002C2B3D" w:rsidRDefault="002C2B3D" w:rsidP="002C2B3D">
      <w:pPr>
        <w:spacing w:before="100" w:beforeAutospacing="1" w:after="100" w:afterAutospacing="1" w:line="240" w:lineRule="auto"/>
        <w:rPr>
          <w:rFonts w:ascii="Times New Roman" w:eastAsia="Times New Roman" w:hAnsi="Times New Roman" w:cs="Times New Roman"/>
          <w:sz w:val="24"/>
          <w:szCs w:val="24"/>
          <w:lang w:eastAsia="en-IN"/>
        </w:rPr>
      </w:pPr>
      <w:r w:rsidRPr="002C2B3D">
        <w:rPr>
          <w:rFonts w:ascii="Times New Roman" w:eastAsia="Times New Roman" w:hAnsi="Times New Roman" w:cs="Times New Roman"/>
          <w:b/>
          <w:bCs/>
          <w:sz w:val="24"/>
          <w:szCs w:val="24"/>
          <w:lang w:eastAsia="en-IN"/>
        </w:rPr>
        <w:t>Q5. What factors are driving growth in this market?</w:t>
      </w:r>
      <w:r w:rsidRPr="002C2B3D">
        <w:rPr>
          <w:rFonts w:ascii="Times New Roman" w:eastAsia="Times New Roman" w:hAnsi="Times New Roman" w:cs="Times New Roman"/>
          <w:sz w:val="24"/>
          <w:szCs w:val="24"/>
          <w:lang w:eastAsia="en-IN"/>
        </w:rPr>
        <w:br/>
      </w:r>
      <w:r w:rsidRPr="002C2B3D">
        <w:rPr>
          <w:rFonts w:ascii="Times New Roman" w:eastAsia="Times New Roman" w:hAnsi="Times New Roman" w:cs="Times New Roman"/>
          <w:b/>
          <w:bCs/>
          <w:sz w:val="24"/>
          <w:szCs w:val="24"/>
          <w:lang w:eastAsia="en-IN"/>
        </w:rPr>
        <w:t>A5.</w:t>
      </w:r>
      <w:r w:rsidRPr="002C2B3D">
        <w:rPr>
          <w:rFonts w:ascii="Times New Roman" w:eastAsia="Times New Roman" w:hAnsi="Times New Roman" w:cs="Times New Roman"/>
          <w:sz w:val="24"/>
          <w:szCs w:val="24"/>
          <w:lang w:eastAsia="en-IN"/>
        </w:rPr>
        <w:t xml:space="preserve"> Growth is fueled by rising global travel demand, digital and AI-enabled personalized experiences, and the expansion of long-stay and alternative accommodations.</w:t>
      </w:r>
    </w:p>
    <w:p w14:paraId="0B84FDA4" w14:textId="77777777" w:rsidR="002C2B3D" w:rsidRPr="002C2B3D" w:rsidRDefault="0074493B" w:rsidP="002C2B3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C808A3">
          <v:rect id="_x0000_i1027" style="width:0;height:1.5pt" o:hralign="center" o:hrstd="t" o:hr="t" fillcolor="#a0a0a0" stroked="f"/>
        </w:pict>
      </w:r>
    </w:p>
    <w:p w14:paraId="08033F58" w14:textId="77777777" w:rsidR="002C2B3D" w:rsidRPr="002C2B3D" w:rsidRDefault="002C2B3D" w:rsidP="002C2B3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C2B3D">
        <w:rPr>
          <w:rFonts w:ascii="Times New Roman" w:eastAsia="Times New Roman" w:hAnsi="Times New Roman" w:cs="Times New Roman"/>
          <w:b/>
          <w:bCs/>
          <w:sz w:val="36"/>
          <w:szCs w:val="36"/>
          <w:lang w:eastAsia="en-IN"/>
        </w:rPr>
        <w:t>C. JSON-LD SEO Schema</w:t>
      </w:r>
    </w:p>
    <w:p w14:paraId="7FA1C05F" w14:textId="77777777" w:rsidR="002C2B3D" w:rsidRPr="002C2B3D" w:rsidRDefault="002C2B3D" w:rsidP="002C2B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B3D">
        <w:rPr>
          <w:rFonts w:ascii="Times New Roman" w:eastAsia="Times New Roman" w:hAnsi="Times New Roman" w:cs="Times New Roman"/>
          <w:b/>
          <w:bCs/>
          <w:sz w:val="27"/>
          <w:szCs w:val="27"/>
          <w:lang w:eastAsia="en-IN"/>
        </w:rPr>
        <w:t>Breadcrumb Schema</w:t>
      </w:r>
    </w:p>
    <w:p w14:paraId="7B5DFF8F"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w:t>
      </w:r>
    </w:p>
    <w:p w14:paraId="60220550"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"@context": "https://schema.org",</w:t>
      </w:r>
    </w:p>
    <w:p w14:paraId="1432AB5A"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"@type": "BreadcrumbList",</w:t>
      </w:r>
    </w:p>
    <w:p w14:paraId="76E454A3"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"itemListElement": [</w:t>
      </w:r>
    </w:p>
    <w:p w14:paraId="308FF337"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1D726484"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"@type": "ListItem",</w:t>
      </w:r>
    </w:p>
    <w:p w14:paraId="4886E622"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"position": 1,</w:t>
      </w:r>
    </w:p>
    <w:p w14:paraId="7A377972"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"name": "Home",</w:t>
      </w:r>
    </w:p>
    <w:p w14:paraId="3D3AF51D"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"item": "https://www.strategicmarketresearch.com/"</w:t>
      </w:r>
    </w:p>
    <w:p w14:paraId="19DA2631"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60F7D24E"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1E4BF67F"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"@type": "ListItem",</w:t>
      </w:r>
    </w:p>
    <w:p w14:paraId="633C18C9"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"position": 2,</w:t>
      </w:r>
    </w:p>
    <w:p w14:paraId="138FCF22" w14:textId="4A4B7ED8"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"name": "</w:t>
      </w:r>
      <w:r w:rsidR="0074493B" w:rsidRPr="0074493B">
        <w:rPr>
          <w:rFonts w:ascii="Courier New" w:eastAsia="Times New Roman" w:hAnsi="Courier New" w:cs="Courier New"/>
          <w:sz w:val="20"/>
          <w:szCs w:val="20"/>
          <w:lang w:eastAsia="en-IN"/>
        </w:rPr>
        <w:t>Health And Wellness</w:t>
      </w:r>
      <w:r w:rsidRPr="002C2B3D">
        <w:rPr>
          <w:rFonts w:ascii="Courier New" w:eastAsia="Times New Roman" w:hAnsi="Courier New" w:cs="Courier New"/>
          <w:sz w:val="20"/>
          <w:szCs w:val="20"/>
          <w:lang w:eastAsia="en-IN"/>
        </w:rPr>
        <w:t>",</w:t>
      </w:r>
    </w:p>
    <w:p w14:paraId="0F0A0559" w14:textId="4547DD9A"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"item": "</w:t>
      </w:r>
      <w:r w:rsidR="0074493B" w:rsidRPr="0074493B">
        <w:rPr>
          <w:rFonts w:ascii="Courier New" w:eastAsia="Times New Roman" w:hAnsi="Courier New" w:cs="Courier New"/>
          <w:sz w:val="20"/>
          <w:szCs w:val="20"/>
          <w:lang w:eastAsia="en-IN"/>
        </w:rPr>
        <w:t>https://www.strategicmarketresearch.com/report/health-and-wellness</w:t>
      </w:r>
      <w:r w:rsidRPr="002C2B3D">
        <w:rPr>
          <w:rFonts w:ascii="Courier New" w:eastAsia="Times New Roman" w:hAnsi="Courier New" w:cs="Courier New"/>
          <w:sz w:val="20"/>
          <w:szCs w:val="20"/>
          <w:lang w:eastAsia="en-IN"/>
        </w:rPr>
        <w:t>"</w:t>
      </w:r>
    </w:p>
    <w:p w14:paraId="0E7BF171"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43EA21D1"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08201763"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lastRenderedPageBreak/>
        <w:t xml:space="preserve">      "@type": "ListItem",</w:t>
      </w:r>
    </w:p>
    <w:p w14:paraId="522DD6E1"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"position": 3,</w:t>
      </w:r>
    </w:p>
    <w:p w14:paraId="43994C21"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"name": "Travel Accommodation Market Report 2030",</w:t>
      </w:r>
    </w:p>
    <w:p w14:paraId="6B0A7862"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"item": "https://www.strategicmarketresearch.com/market-report/travel-accommodation-market"</w:t>
      </w:r>
    </w:p>
    <w:p w14:paraId="0BB9451C"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5D9D003D"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6B1EFF6C"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w:t>
      </w:r>
    </w:p>
    <w:p w14:paraId="1F39B538" w14:textId="77777777" w:rsidR="002C2B3D" w:rsidRPr="002C2B3D" w:rsidRDefault="002C2B3D" w:rsidP="002C2B3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C2B3D">
        <w:rPr>
          <w:rFonts w:ascii="Times New Roman" w:eastAsia="Times New Roman" w:hAnsi="Times New Roman" w:cs="Times New Roman"/>
          <w:b/>
          <w:bCs/>
          <w:sz w:val="27"/>
          <w:szCs w:val="27"/>
          <w:lang w:eastAsia="en-IN"/>
        </w:rPr>
        <w:t>FAQ Schema</w:t>
      </w:r>
    </w:p>
    <w:p w14:paraId="03E9D6E0"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w:t>
      </w:r>
    </w:p>
    <w:p w14:paraId="3CE50553"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"@context": "https://schema.org",</w:t>
      </w:r>
    </w:p>
    <w:p w14:paraId="390A129A"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"@type": "FAQPage",</w:t>
      </w:r>
    </w:p>
    <w:p w14:paraId="5278626E"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"mainEntity": [</w:t>
      </w:r>
    </w:p>
    <w:p w14:paraId="6F64F08C"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0E6D1BDB"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"@type": "Question",</w:t>
      </w:r>
    </w:p>
    <w:p w14:paraId="0AD250BE"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"name": "How big is the travel accommodation market?",</w:t>
      </w:r>
    </w:p>
    <w:p w14:paraId="417034A2"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"acceptedAnswer": {</w:t>
      </w:r>
    </w:p>
    <w:p w14:paraId="089FF9C1"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"@type": "Answer",</w:t>
      </w:r>
    </w:p>
    <w:p w14:paraId="7C3D1EDA" w14:textId="58862550"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"text": "The global travel accommodation market is valued at USD </w:t>
      </w:r>
      <w:r w:rsidR="00027A38">
        <w:rPr>
          <w:rFonts w:ascii="Courier New" w:eastAsia="Times New Roman" w:hAnsi="Courier New" w:cs="Courier New"/>
          <w:sz w:val="20"/>
          <w:szCs w:val="20"/>
          <w:lang w:eastAsia="en-IN"/>
        </w:rPr>
        <w:t>550.0</w:t>
      </w:r>
      <w:r w:rsidRPr="002C2B3D">
        <w:rPr>
          <w:rFonts w:ascii="Courier New" w:eastAsia="Times New Roman" w:hAnsi="Courier New" w:cs="Courier New"/>
          <w:sz w:val="20"/>
          <w:szCs w:val="20"/>
          <w:lang w:eastAsia="en-IN"/>
        </w:rPr>
        <w:t xml:space="preserve"> billion in 2024."</w:t>
      </w:r>
    </w:p>
    <w:p w14:paraId="4FD584CF"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4D54DD87"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4BC36633"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22348A6C"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"@type": "Question",</w:t>
      </w:r>
    </w:p>
    <w:p w14:paraId="54AF072F"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"name": "What is the CAGR for the forecast period?",</w:t>
      </w:r>
    </w:p>
    <w:p w14:paraId="59B36785"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"acceptedAnswer": {</w:t>
      </w:r>
    </w:p>
    <w:p w14:paraId="5297442A"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"@type": "Answer",</w:t>
      </w:r>
    </w:p>
    <w:p w14:paraId="101ED9D9"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"text": "The market is expected to grow at a CAGR of 6.5% from 2024 to 2030."</w:t>
      </w:r>
    </w:p>
    <w:p w14:paraId="0A982477"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09BB996A"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7CF9231D"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7CC504CB"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"@type": "Question",</w:t>
      </w:r>
    </w:p>
    <w:p w14:paraId="2D55EA4A"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"name": "Who are the major players in the travel accommodation market?",</w:t>
      </w:r>
    </w:p>
    <w:p w14:paraId="5409ED2D"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"acceptedAnswer": {</w:t>
      </w:r>
    </w:p>
    <w:p w14:paraId="1BDCBE74"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"@type": "Answer",</w:t>
      </w:r>
    </w:p>
    <w:p w14:paraId="7E831937"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"text": "Leading players include Marriott International, Hilton Worldwide, Airbnb, Accor Hotels, and Vacasa."</w:t>
      </w:r>
    </w:p>
    <w:p w14:paraId="066B5236"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5E3DA593"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7E05EEEF"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44AC54AA"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"@type": "Question",</w:t>
      </w:r>
    </w:p>
    <w:p w14:paraId="2238D1C1"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"name": "Which region dominates the travel accommodation market?",</w:t>
      </w:r>
    </w:p>
    <w:p w14:paraId="78D3A457"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"acceptedAnswer": {</w:t>
      </w:r>
    </w:p>
    <w:p w14:paraId="6A548587"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"@type": "Answer",</w:t>
      </w:r>
    </w:p>
    <w:p w14:paraId="479389D9"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"text": "North America leads due to high digital adoption, mature hotel chains, and advanced alternative lodging platforms."</w:t>
      </w:r>
    </w:p>
    <w:p w14:paraId="021C22B3"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0C6BF0D7"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24032A59"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287C5252"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"@type": "Question",</w:t>
      </w:r>
    </w:p>
    <w:p w14:paraId="446ECEA5"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"name": "What factors are driving growth in this market?",</w:t>
      </w:r>
    </w:p>
    <w:p w14:paraId="69FA70A2"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"acceptedAnswer": {</w:t>
      </w:r>
    </w:p>
    <w:p w14:paraId="47BFF388"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"@type": "Answer",</w:t>
      </w:r>
    </w:p>
    <w:p w14:paraId="29EE8BD6"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"text": "Growth is fueled by rising global travel demand, digital and AI-enabled personalized experiences, and the expansion of long-stay and alternative accommodations."</w:t>
      </w:r>
    </w:p>
    <w:p w14:paraId="3F776C01"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lastRenderedPageBreak/>
        <w:t xml:space="preserve">      }</w:t>
      </w:r>
    </w:p>
    <w:p w14:paraId="63774557"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71AC18C8"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 xml:space="preserve">  ]</w:t>
      </w:r>
    </w:p>
    <w:p w14:paraId="723FAC5C" w14:textId="77777777" w:rsidR="002C2B3D" w:rsidRPr="002C2B3D" w:rsidRDefault="002C2B3D" w:rsidP="002C2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C2B3D">
        <w:rPr>
          <w:rFonts w:ascii="Courier New" w:eastAsia="Times New Roman" w:hAnsi="Courier New" w:cs="Courier New"/>
          <w:sz w:val="20"/>
          <w:szCs w:val="20"/>
          <w:lang w:eastAsia="en-IN"/>
        </w:rPr>
        <w:t>}</w:t>
      </w:r>
    </w:p>
    <w:p w14:paraId="0E3FDE47" w14:textId="77777777" w:rsidR="00027A38" w:rsidRPr="00027A38" w:rsidRDefault="00027A38" w:rsidP="00027A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27A38">
        <w:rPr>
          <w:rFonts w:ascii="Times New Roman" w:eastAsia="Times New Roman" w:hAnsi="Times New Roman" w:cs="Times New Roman"/>
          <w:b/>
          <w:bCs/>
          <w:kern w:val="36"/>
          <w:sz w:val="48"/>
          <w:szCs w:val="48"/>
          <w:lang w:eastAsia="en-IN"/>
        </w:rPr>
        <w:t>9. Table of Contents</w:t>
      </w:r>
    </w:p>
    <w:p w14:paraId="433F0F40" w14:textId="77777777" w:rsidR="00027A38" w:rsidRPr="00027A38" w:rsidRDefault="00027A38" w:rsidP="00027A38">
      <w:p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b/>
          <w:bCs/>
          <w:sz w:val="24"/>
          <w:szCs w:val="24"/>
          <w:lang w:eastAsia="en-IN"/>
        </w:rPr>
        <w:t>Executive Summary</w:t>
      </w:r>
    </w:p>
    <w:p w14:paraId="6538F2B3" w14:textId="77777777" w:rsidR="00027A38" w:rsidRPr="00027A38" w:rsidRDefault="00027A38" w:rsidP="00027A3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Overview</w:t>
      </w:r>
    </w:p>
    <w:p w14:paraId="54C39ECF" w14:textId="77777777" w:rsidR="00027A38" w:rsidRPr="00027A38" w:rsidRDefault="00027A38" w:rsidP="00027A3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Attractiveness by Accommodation Type, Booking Channel, Traveler Type, and Region</w:t>
      </w:r>
    </w:p>
    <w:p w14:paraId="6FB0469C" w14:textId="77777777" w:rsidR="00027A38" w:rsidRPr="00027A38" w:rsidRDefault="00027A38" w:rsidP="00027A3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Strategic Insights from Key Executives (CXO Perspective)</w:t>
      </w:r>
    </w:p>
    <w:p w14:paraId="5891BF96" w14:textId="77777777" w:rsidR="00027A38" w:rsidRPr="00027A38" w:rsidRDefault="00027A38" w:rsidP="00027A3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Historical Market Size and Future Projections (2022–2030)</w:t>
      </w:r>
    </w:p>
    <w:p w14:paraId="6A6FD381" w14:textId="77777777" w:rsidR="00027A38" w:rsidRPr="00027A38" w:rsidRDefault="00027A38" w:rsidP="00027A3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Summary of Market Segmentation by Accommodation Type, Booking Channel, Traveler Type, and Region</w:t>
      </w:r>
    </w:p>
    <w:p w14:paraId="5F11D8EC" w14:textId="77777777" w:rsidR="00027A38" w:rsidRPr="00027A38" w:rsidRDefault="00027A38" w:rsidP="00027A38">
      <w:p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b/>
          <w:bCs/>
          <w:sz w:val="24"/>
          <w:szCs w:val="24"/>
          <w:lang w:eastAsia="en-IN"/>
        </w:rPr>
        <w:t>Market Share Analysis</w:t>
      </w:r>
    </w:p>
    <w:p w14:paraId="4ABBC680" w14:textId="77777777" w:rsidR="00027A38" w:rsidRPr="00027A38" w:rsidRDefault="00027A38" w:rsidP="00027A3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Leading Players by Revenue and Market Share</w:t>
      </w:r>
    </w:p>
    <w:p w14:paraId="20BB0481" w14:textId="77777777" w:rsidR="00027A38" w:rsidRPr="00027A38" w:rsidRDefault="00027A38" w:rsidP="00027A38">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Share Analysis by Accommodation Type, Booking Channel, and Traveler Type</w:t>
      </w:r>
    </w:p>
    <w:p w14:paraId="41A880D6" w14:textId="77777777" w:rsidR="00027A38" w:rsidRPr="00027A38" w:rsidRDefault="00027A38" w:rsidP="00027A38">
      <w:p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b/>
          <w:bCs/>
          <w:sz w:val="24"/>
          <w:szCs w:val="24"/>
          <w:lang w:eastAsia="en-IN"/>
        </w:rPr>
        <w:t>Investment Opportunities in the Travel Accommodation Market</w:t>
      </w:r>
    </w:p>
    <w:p w14:paraId="78635F84" w14:textId="77777777" w:rsidR="00027A38" w:rsidRPr="00027A38" w:rsidRDefault="00027A38" w:rsidP="00027A3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Key Developments and Innovations</w:t>
      </w:r>
    </w:p>
    <w:p w14:paraId="175439A0" w14:textId="77777777" w:rsidR="00027A38" w:rsidRPr="00027A38" w:rsidRDefault="00027A38" w:rsidP="00027A3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Mergers, Acquisitions, and Strategic Partnerships</w:t>
      </w:r>
    </w:p>
    <w:p w14:paraId="15336D8B" w14:textId="77777777" w:rsidR="00027A38" w:rsidRPr="00027A38" w:rsidRDefault="00027A38" w:rsidP="00027A38">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High-Growth Segments for Investment</w:t>
      </w:r>
    </w:p>
    <w:p w14:paraId="70FE2CBC" w14:textId="77777777" w:rsidR="00027A38" w:rsidRPr="00027A38" w:rsidRDefault="00027A38" w:rsidP="00027A38">
      <w:p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b/>
          <w:bCs/>
          <w:sz w:val="24"/>
          <w:szCs w:val="24"/>
          <w:lang w:eastAsia="en-IN"/>
        </w:rPr>
        <w:t>Market Introduction</w:t>
      </w:r>
    </w:p>
    <w:p w14:paraId="62070DD3" w14:textId="77777777" w:rsidR="00027A38" w:rsidRPr="00027A38" w:rsidRDefault="00027A38" w:rsidP="00027A3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Definition and Scope of the Study</w:t>
      </w:r>
    </w:p>
    <w:p w14:paraId="43AA3649" w14:textId="77777777" w:rsidR="00027A38" w:rsidRPr="00027A38" w:rsidRDefault="00027A38" w:rsidP="00027A3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Structure and Key Findings</w:t>
      </w:r>
    </w:p>
    <w:p w14:paraId="73F1782A" w14:textId="77777777" w:rsidR="00027A38" w:rsidRPr="00027A38" w:rsidRDefault="00027A38" w:rsidP="00027A38">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Overview of Top Investment Pockets</w:t>
      </w:r>
    </w:p>
    <w:p w14:paraId="119BE7CF" w14:textId="77777777" w:rsidR="00027A38" w:rsidRPr="00027A38" w:rsidRDefault="00027A38" w:rsidP="00027A38">
      <w:p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b/>
          <w:bCs/>
          <w:sz w:val="24"/>
          <w:szCs w:val="24"/>
          <w:lang w:eastAsia="en-IN"/>
        </w:rPr>
        <w:t>Research Methodology</w:t>
      </w:r>
    </w:p>
    <w:p w14:paraId="2518B01D" w14:textId="77777777" w:rsidR="00027A38" w:rsidRPr="00027A38" w:rsidRDefault="00027A38" w:rsidP="00027A3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Research Process Overview</w:t>
      </w:r>
    </w:p>
    <w:p w14:paraId="3F29200D" w14:textId="77777777" w:rsidR="00027A38" w:rsidRPr="00027A38" w:rsidRDefault="00027A38" w:rsidP="00027A3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Primary and Secondary Research Approaches</w:t>
      </w:r>
    </w:p>
    <w:p w14:paraId="27BF728F" w14:textId="77777777" w:rsidR="00027A38" w:rsidRPr="00027A38" w:rsidRDefault="00027A38" w:rsidP="00027A38">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Size Estimation and Forecasting Techniques</w:t>
      </w:r>
    </w:p>
    <w:p w14:paraId="769A97A3" w14:textId="77777777" w:rsidR="00027A38" w:rsidRPr="00027A38" w:rsidRDefault="00027A38" w:rsidP="00027A38">
      <w:p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b/>
          <w:bCs/>
          <w:sz w:val="24"/>
          <w:szCs w:val="24"/>
          <w:lang w:eastAsia="en-IN"/>
        </w:rPr>
        <w:t>Market Dynamics</w:t>
      </w:r>
    </w:p>
    <w:p w14:paraId="23B83131" w14:textId="77777777" w:rsidR="00027A38" w:rsidRPr="00027A38" w:rsidRDefault="00027A38" w:rsidP="00027A3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Key Market Drivers</w:t>
      </w:r>
    </w:p>
    <w:p w14:paraId="6C43EAB5" w14:textId="77777777" w:rsidR="00027A38" w:rsidRPr="00027A38" w:rsidRDefault="00027A38" w:rsidP="00027A3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Challenges and Restraints Impacting Growth</w:t>
      </w:r>
    </w:p>
    <w:p w14:paraId="04900DA8" w14:textId="77777777" w:rsidR="00027A38" w:rsidRPr="00027A38" w:rsidRDefault="00027A38" w:rsidP="00027A3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Emerging Opportunities for Stakeholders</w:t>
      </w:r>
    </w:p>
    <w:p w14:paraId="256888BA" w14:textId="77777777" w:rsidR="00027A38" w:rsidRPr="00027A38" w:rsidRDefault="00027A38" w:rsidP="00027A3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Impact of Behavioral and Regulatory Factors</w:t>
      </w:r>
    </w:p>
    <w:p w14:paraId="3651FEDE" w14:textId="77777777" w:rsidR="00027A38" w:rsidRPr="00027A38" w:rsidRDefault="00027A38" w:rsidP="00027A38">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Technological Advances in Travel Accommodation</w:t>
      </w:r>
    </w:p>
    <w:p w14:paraId="02AB6671" w14:textId="77777777" w:rsidR="00027A38" w:rsidRPr="00027A38" w:rsidRDefault="00027A38" w:rsidP="00027A38">
      <w:p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b/>
          <w:bCs/>
          <w:sz w:val="24"/>
          <w:szCs w:val="24"/>
          <w:lang w:eastAsia="en-IN"/>
        </w:rPr>
        <w:t>Global Travel Accommodation Market Analysis</w:t>
      </w:r>
    </w:p>
    <w:p w14:paraId="04859DB9" w14:textId="77777777" w:rsidR="00027A38" w:rsidRPr="00027A38" w:rsidRDefault="00027A38" w:rsidP="00027A3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lastRenderedPageBreak/>
        <w:t>Historical Market Size and Volume (2022–2023)</w:t>
      </w:r>
    </w:p>
    <w:p w14:paraId="15007D2E" w14:textId="77777777" w:rsidR="00027A38" w:rsidRPr="00027A38" w:rsidRDefault="00027A38" w:rsidP="00027A3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Size and Volume Forecasts (2024–2030)</w:t>
      </w:r>
    </w:p>
    <w:p w14:paraId="4ECF164E" w14:textId="77777777" w:rsidR="00027A38" w:rsidRPr="00027A38" w:rsidRDefault="00027A38" w:rsidP="00027A38">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Analysis by Accommodation Type:</w:t>
      </w:r>
    </w:p>
    <w:p w14:paraId="79979FA9"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Hotels</w:t>
      </w:r>
    </w:p>
    <w:p w14:paraId="48D51F83"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Resorts</w:t>
      </w:r>
    </w:p>
    <w:p w14:paraId="3326CE04"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Vacation Rentals</w:t>
      </w:r>
    </w:p>
    <w:p w14:paraId="72BA38BB"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Hostels</w:t>
      </w:r>
    </w:p>
    <w:p w14:paraId="6D1F507F"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Serviced Apartments</w:t>
      </w:r>
    </w:p>
    <w:p w14:paraId="65600DFF" w14:textId="77777777" w:rsidR="00027A38" w:rsidRPr="00027A38" w:rsidRDefault="00027A38" w:rsidP="00027A38">
      <w:pPr>
        <w:numPr>
          <w:ilvl w:val="0"/>
          <w:numId w:val="18"/>
        </w:numPr>
        <w:spacing w:before="100" w:beforeAutospacing="1" w:after="100" w:afterAutospacing="1" w:line="240" w:lineRule="auto"/>
        <w:rPr>
          <w:rFonts w:ascii="Times New Roman" w:eastAsia="Times New Roman" w:hAnsi="Times New Roman" w:cs="Times New Roman"/>
          <w:b/>
          <w:bCs/>
          <w:sz w:val="24"/>
          <w:szCs w:val="24"/>
          <w:lang w:eastAsia="en-IN"/>
        </w:rPr>
      </w:pPr>
      <w:r w:rsidRPr="00027A38">
        <w:rPr>
          <w:rFonts w:ascii="Times New Roman" w:eastAsia="Times New Roman" w:hAnsi="Times New Roman" w:cs="Times New Roman"/>
          <w:b/>
          <w:bCs/>
          <w:sz w:val="24"/>
          <w:szCs w:val="24"/>
          <w:lang w:eastAsia="en-IN"/>
        </w:rPr>
        <w:t>Market Analysis by Booking Channel:</w:t>
      </w:r>
    </w:p>
    <w:p w14:paraId="3105E533"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Online Travel Agencies (OTAs)</w:t>
      </w:r>
    </w:p>
    <w:p w14:paraId="4A36AF24"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Direct Bookings</w:t>
      </w:r>
    </w:p>
    <w:p w14:paraId="2EE9DB36"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Alternative Platforms</w:t>
      </w:r>
    </w:p>
    <w:p w14:paraId="5C8B6601" w14:textId="77777777" w:rsidR="00027A38" w:rsidRPr="00027A38" w:rsidRDefault="00027A38" w:rsidP="00027A38">
      <w:pPr>
        <w:numPr>
          <w:ilvl w:val="0"/>
          <w:numId w:val="18"/>
        </w:numPr>
        <w:spacing w:before="100" w:beforeAutospacing="1" w:after="100" w:afterAutospacing="1" w:line="240" w:lineRule="auto"/>
        <w:rPr>
          <w:rFonts w:ascii="Times New Roman" w:eastAsia="Times New Roman" w:hAnsi="Times New Roman" w:cs="Times New Roman"/>
          <w:b/>
          <w:bCs/>
          <w:sz w:val="24"/>
          <w:szCs w:val="24"/>
          <w:lang w:eastAsia="en-IN"/>
        </w:rPr>
      </w:pPr>
      <w:r w:rsidRPr="00027A38">
        <w:rPr>
          <w:rFonts w:ascii="Times New Roman" w:eastAsia="Times New Roman" w:hAnsi="Times New Roman" w:cs="Times New Roman"/>
          <w:b/>
          <w:bCs/>
          <w:sz w:val="24"/>
          <w:szCs w:val="24"/>
          <w:lang w:eastAsia="en-IN"/>
        </w:rPr>
        <w:t>Market Analysis by Traveler Type:</w:t>
      </w:r>
    </w:p>
    <w:p w14:paraId="6AD527D3"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Leisure</w:t>
      </w:r>
    </w:p>
    <w:p w14:paraId="0E65C656"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Business</w:t>
      </w:r>
    </w:p>
    <w:p w14:paraId="71768E4E"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Extended-Stay / Remote Workers</w:t>
      </w:r>
    </w:p>
    <w:p w14:paraId="6C3E47F6" w14:textId="77777777" w:rsidR="00027A38" w:rsidRPr="00027A38" w:rsidRDefault="00027A38" w:rsidP="00027A38">
      <w:pPr>
        <w:numPr>
          <w:ilvl w:val="0"/>
          <w:numId w:val="18"/>
        </w:numPr>
        <w:spacing w:before="100" w:beforeAutospacing="1" w:after="100" w:afterAutospacing="1" w:line="240" w:lineRule="auto"/>
        <w:rPr>
          <w:rFonts w:ascii="Times New Roman" w:eastAsia="Times New Roman" w:hAnsi="Times New Roman" w:cs="Times New Roman"/>
          <w:b/>
          <w:bCs/>
          <w:sz w:val="24"/>
          <w:szCs w:val="24"/>
          <w:lang w:eastAsia="en-IN"/>
        </w:rPr>
      </w:pPr>
      <w:r w:rsidRPr="00027A38">
        <w:rPr>
          <w:rFonts w:ascii="Times New Roman" w:eastAsia="Times New Roman" w:hAnsi="Times New Roman" w:cs="Times New Roman"/>
          <w:b/>
          <w:bCs/>
          <w:sz w:val="24"/>
          <w:szCs w:val="24"/>
          <w:lang w:eastAsia="en-IN"/>
        </w:rPr>
        <w:t>Market Analysis by Region:</w:t>
      </w:r>
    </w:p>
    <w:p w14:paraId="2C5B8B80"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North America</w:t>
      </w:r>
    </w:p>
    <w:p w14:paraId="4F036CF7"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Europe</w:t>
      </w:r>
    </w:p>
    <w:p w14:paraId="517813CD"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Asia-Pacific</w:t>
      </w:r>
    </w:p>
    <w:p w14:paraId="069C71AC"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Latin America</w:t>
      </w:r>
    </w:p>
    <w:p w14:paraId="3AC190ED" w14:textId="77777777" w:rsidR="00027A38" w:rsidRPr="00027A38" w:rsidRDefault="00027A38" w:rsidP="00027A38">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Middle East &amp; Africa</w:t>
      </w:r>
    </w:p>
    <w:p w14:paraId="2EE1ABD7" w14:textId="77777777" w:rsidR="00027A38" w:rsidRPr="00027A38" w:rsidRDefault="00027A38" w:rsidP="00027A38">
      <w:p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b/>
          <w:bCs/>
          <w:sz w:val="24"/>
          <w:szCs w:val="24"/>
          <w:lang w:eastAsia="en-IN"/>
        </w:rPr>
        <w:t>Regional Market Analysis</w:t>
      </w:r>
    </w:p>
    <w:p w14:paraId="228A257C" w14:textId="77777777" w:rsidR="00027A38" w:rsidRPr="00027A38" w:rsidRDefault="00027A38" w:rsidP="00027A38">
      <w:pPr>
        <w:numPr>
          <w:ilvl w:val="0"/>
          <w:numId w:val="19"/>
        </w:numPr>
        <w:spacing w:before="100" w:beforeAutospacing="1" w:after="100" w:afterAutospacing="1" w:line="240" w:lineRule="auto"/>
        <w:rPr>
          <w:rFonts w:ascii="Times New Roman" w:eastAsia="Times New Roman" w:hAnsi="Times New Roman" w:cs="Times New Roman"/>
          <w:b/>
          <w:bCs/>
          <w:sz w:val="24"/>
          <w:szCs w:val="24"/>
          <w:lang w:eastAsia="en-IN"/>
        </w:rPr>
      </w:pPr>
      <w:r w:rsidRPr="00027A38">
        <w:rPr>
          <w:rFonts w:ascii="Times New Roman" w:eastAsia="Times New Roman" w:hAnsi="Times New Roman" w:cs="Times New Roman"/>
          <w:b/>
          <w:bCs/>
          <w:sz w:val="24"/>
          <w:szCs w:val="24"/>
          <w:lang w:eastAsia="en-IN"/>
        </w:rPr>
        <w:t>North America Travel Accommodation Market</w:t>
      </w:r>
    </w:p>
    <w:p w14:paraId="28CCB960"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Historical Market Size and Volume (2022–2023)</w:t>
      </w:r>
    </w:p>
    <w:p w14:paraId="50F05B9C"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Size and Volume Forecasts (2024–2030)</w:t>
      </w:r>
    </w:p>
    <w:p w14:paraId="2FF7514E"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Analysis by Accommodation Type, Booking Channel, and Traveler Type</w:t>
      </w:r>
    </w:p>
    <w:p w14:paraId="3DF6EAD0"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Country-Level Breakdown: United States, Canada, Mexico</w:t>
      </w:r>
    </w:p>
    <w:p w14:paraId="449B005C" w14:textId="77777777" w:rsidR="00027A38" w:rsidRPr="00027A38" w:rsidRDefault="00027A38" w:rsidP="00027A38">
      <w:pPr>
        <w:numPr>
          <w:ilvl w:val="0"/>
          <w:numId w:val="19"/>
        </w:numPr>
        <w:spacing w:before="100" w:beforeAutospacing="1" w:after="100" w:afterAutospacing="1" w:line="240" w:lineRule="auto"/>
        <w:rPr>
          <w:rFonts w:ascii="Times New Roman" w:eastAsia="Times New Roman" w:hAnsi="Times New Roman" w:cs="Times New Roman"/>
          <w:b/>
          <w:bCs/>
          <w:sz w:val="24"/>
          <w:szCs w:val="24"/>
          <w:lang w:eastAsia="en-IN"/>
        </w:rPr>
      </w:pPr>
      <w:r w:rsidRPr="00027A38">
        <w:rPr>
          <w:rFonts w:ascii="Times New Roman" w:eastAsia="Times New Roman" w:hAnsi="Times New Roman" w:cs="Times New Roman"/>
          <w:b/>
          <w:bCs/>
          <w:sz w:val="24"/>
          <w:szCs w:val="24"/>
          <w:lang w:eastAsia="en-IN"/>
        </w:rPr>
        <w:t>Europe Travel Accommodation Market</w:t>
      </w:r>
    </w:p>
    <w:p w14:paraId="09699840"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Historical Market Size and Volume (2022–2023)</w:t>
      </w:r>
    </w:p>
    <w:p w14:paraId="33028606"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Size and Volume Forecasts (2024–2030)</w:t>
      </w:r>
    </w:p>
    <w:p w14:paraId="02DC658E"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Analysis by Accommodation Type, Booking Channel, and Traveler Type</w:t>
      </w:r>
    </w:p>
    <w:p w14:paraId="5C30B61A"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Country-Level Breakdown: Germany, United Kingdom, France, Italy, Spain, Rest of Europe</w:t>
      </w:r>
    </w:p>
    <w:p w14:paraId="53C6E228" w14:textId="77777777" w:rsidR="00027A38" w:rsidRPr="00027A38" w:rsidRDefault="00027A38" w:rsidP="00027A38">
      <w:pPr>
        <w:numPr>
          <w:ilvl w:val="0"/>
          <w:numId w:val="19"/>
        </w:numPr>
        <w:spacing w:before="100" w:beforeAutospacing="1" w:after="100" w:afterAutospacing="1" w:line="240" w:lineRule="auto"/>
        <w:rPr>
          <w:rFonts w:ascii="Times New Roman" w:eastAsia="Times New Roman" w:hAnsi="Times New Roman" w:cs="Times New Roman"/>
          <w:b/>
          <w:bCs/>
          <w:sz w:val="24"/>
          <w:szCs w:val="24"/>
          <w:lang w:eastAsia="en-IN"/>
        </w:rPr>
      </w:pPr>
      <w:r w:rsidRPr="00027A38">
        <w:rPr>
          <w:rFonts w:ascii="Times New Roman" w:eastAsia="Times New Roman" w:hAnsi="Times New Roman" w:cs="Times New Roman"/>
          <w:b/>
          <w:bCs/>
          <w:sz w:val="24"/>
          <w:szCs w:val="24"/>
          <w:lang w:eastAsia="en-IN"/>
        </w:rPr>
        <w:t>Asia-Pacific Travel Accommodation Market</w:t>
      </w:r>
    </w:p>
    <w:p w14:paraId="0FDEF9CB"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Historical Market Size and Volume (2022–2023)</w:t>
      </w:r>
    </w:p>
    <w:p w14:paraId="78218B61"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Size and Volume Forecasts (2024–2030)</w:t>
      </w:r>
    </w:p>
    <w:p w14:paraId="39ECEFA4"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Analysis by Accommodation Type, Booking Channel, and Traveler Type</w:t>
      </w:r>
    </w:p>
    <w:p w14:paraId="51B23387"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Country-Level Breakdown: China, India, Japan, South Korea, Rest of Asia-Pacific</w:t>
      </w:r>
    </w:p>
    <w:p w14:paraId="3C6FB0CA" w14:textId="77777777" w:rsidR="00027A38" w:rsidRPr="00027A38" w:rsidRDefault="00027A38" w:rsidP="00027A38">
      <w:pPr>
        <w:numPr>
          <w:ilvl w:val="0"/>
          <w:numId w:val="19"/>
        </w:numPr>
        <w:spacing w:before="100" w:beforeAutospacing="1" w:after="100" w:afterAutospacing="1" w:line="240" w:lineRule="auto"/>
        <w:rPr>
          <w:rFonts w:ascii="Times New Roman" w:eastAsia="Times New Roman" w:hAnsi="Times New Roman" w:cs="Times New Roman"/>
          <w:b/>
          <w:bCs/>
          <w:sz w:val="24"/>
          <w:szCs w:val="24"/>
          <w:lang w:eastAsia="en-IN"/>
        </w:rPr>
      </w:pPr>
      <w:r w:rsidRPr="00027A38">
        <w:rPr>
          <w:rFonts w:ascii="Times New Roman" w:eastAsia="Times New Roman" w:hAnsi="Times New Roman" w:cs="Times New Roman"/>
          <w:b/>
          <w:bCs/>
          <w:sz w:val="24"/>
          <w:szCs w:val="24"/>
          <w:lang w:eastAsia="en-IN"/>
        </w:rPr>
        <w:t>Latin America Travel Accommodation Market</w:t>
      </w:r>
    </w:p>
    <w:p w14:paraId="23DDFAB2"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Historical Market Size and Volume (2022–2023)</w:t>
      </w:r>
    </w:p>
    <w:p w14:paraId="15E732D1"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Size and Volume Forecasts (2024–2030)</w:t>
      </w:r>
    </w:p>
    <w:p w14:paraId="61953F96"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Analysis by Accommodation Type, Booking Channel, and Traveler Type</w:t>
      </w:r>
    </w:p>
    <w:p w14:paraId="35B53828"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lastRenderedPageBreak/>
        <w:t>Country-Level Breakdown: Brazil, Argentina, Rest of Latin America</w:t>
      </w:r>
    </w:p>
    <w:p w14:paraId="04382822" w14:textId="77777777" w:rsidR="00027A38" w:rsidRPr="00027A38" w:rsidRDefault="00027A38" w:rsidP="00027A38">
      <w:pPr>
        <w:numPr>
          <w:ilvl w:val="0"/>
          <w:numId w:val="19"/>
        </w:numPr>
        <w:spacing w:before="100" w:beforeAutospacing="1" w:after="100" w:afterAutospacing="1" w:line="240" w:lineRule="auto"/>
        <w:rPr>
          <w:rFonts w:ascii="Times New Roman" w:eastAsia="Times New Roman" w:hAnsi="Times New Roman" w:cs="Times New Roman"/>
          <w:b/>
          <w:bCs/>
          <w:sz w:val="24"/>
          <w:szCs w:val="24"/>
          <w:lang w:eastAsia="en-IN"/>
        </w:rPr>
      </w:pPr>
      <w:r w:rsidRPr="00027A38">
        <w:rPr>
          <w:rFonts w:ascii="Times New Roman" w:eastAsia="Times New Roman" w:hAnsi="Times New Roman" w:cs="Times New Roman"/>
          <w:b/>
          <w:bCs/>
          <w:sz w:val="24"/>
          <w:szCs w:val="24"/>
          <w:lang w:eastAsia="en-IN"/>
        </w:rPr>
        <w:t>Middle East &amp; Africa Travel Accommodation Market</w:t>
      </w:r>
    </w:p>
    <w:p w14:paraId="79684C68"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Historical Market Size and Volume (2022–2023)</w:t>
      </w:r>
    </w:p>
    <w:p w14:paraId="31482A7E"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Size and Volume Forecasts (2024–2030)</w:t>
      </w:r>
    </w:p>
    <w:p w14:paraId="3892EF3A"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Analysis by Accommodation Type, Booking Channel, and Traveler Type</w:t>
      </w:r>
    </w:p>
    <w:p w14:paraId="77F05A89" w14:textId="77777777" w:rsidR="00027A38" w:rsidRPr="00027A38" w:rsidRDefault="00027A38" w:rsidP="00027A3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Country-Level Breakdown: GCC Countries, South Africa, Rest of Middle East &amp; Africa</w:t>
      </w:r>
    </w:p>
    <w:p w14:paraId="5ACE2B22" w14:textId="77777777" w:rsidR="00027A38" w:rsidRPr="00027A38" w:rsidRDefault="00027A38" w:rsidP="00027A38">
      <w:p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b/>
          <w:bCs/>
          <w:sz w:val="24"/>
          <w:szCs w:val="24"/>
          <w:lang w:eastAsia="en-IN"/>
        </w:rPr>
        <w:t>Key Players and Competitive Analysis</w:t>
      </w:r>
    </w:p>
    <w:p w14:paraId="3259B0D0" w14:textId="77777777" w:rsidR="00027A38" w:rsidRPr="00027A38" w:rsidRDefault="00027A38" w:rsidP="00027A3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Marriott International</w:t>
      </w:r>
    </w:p>
    <w:p w14:paraId="35E0DFE6" w14:textId="77777777" w:rsidR="00027A38" w:rsidRPr="00027A38" w:rsidRDefault="00027A38" w:rsidP="00027A3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Hilton Worldwide</w:t>
      </w:r>
    </w:p>
    <w:p w14:paraId="0EFA4736" w14:textId="77777777" w:rsidR="00027A38" w:rsidRPr="00027A38" w:rsidRDefault="00027A38" w:rsidP="00027A3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Airbnb</w:t>
      </w:r>
    </w:p>
    <w:p w14:paraId="328A8F20" w14:textId="77777777" w:rsidR="00027A38" w:rsidRPr="00027A38" w:rsidRDefault="00027A38" w:rsidP="00027A3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Accor Hotels</w:t>
      </w:r>
    </w:p>
    <w:p w14:paraId="08A1946C" w14:textId="77777777" w:rsidR="00027A38" w:rsidRPr="00027A38" w:rsidRDefault="00027A38" w:rsidP="00027A3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Vacasa</w:t>
      </w:r>
    </w:p>
    <w:p w14:paraId="39C7A5E3" w14:textId="77777777" w:rsidR="00027A38" w:rsidRPr="00027A38" w:rsidRDefault="00027A38" w:rsidP="00027A38">
      <w:p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b/>
          <w:bCs/>
          <w:sz w:val="24"/>
          <w:szCs w:val="24"/>
          <w:lang w:eastAsia="en-IN"/>
        </w:rPr>
        <w:t>Appendix</w:t>
      </w:r>
    </w:p>
    <w:p w14:paraId="3B33C736" w14:textId="77777777" w:rsidR="00027A38" w:rsidRPr="00027A38" w:rsidRDefault="00027A38" w:rsidP="00027A3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Abbreviations and Terminologies Used in the Report</w:t>
      </w:r>
    </w:p>
    <w:p w14:paraId="4C6E42F9" w14:textId="77777777" w:rsidR="00027A38" w:rsidRPr="00027A38" w:rsidRDefault="00027A38" w:rsidP="00027A3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References and Sources</w:t>
      </w:r>
    </w:p>
    <w:p w14:paraId="3D0C3AED" w14:textId="77777777" w:rsidR="00027A38" w:rsidRPr="00027A38" w:rsidRDefault="00027A38" w:rsidP="00027A38">
      <w:p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b/>
          <w:bCs/>
          <w:sz w:val="24"/>
          <w:szCs w:val="24"/>
          <w:lang w:eastAsia="en-IN"/>
        </w:rPr>
        <w:t>List of Tables</w:t>
      </w:r>
    </w:p>
    <w:p w14:paraId="193D623A" w14:textId="77777777" w:rsidR="00027A38" w:rsidRPr="00027A38" w:rsidRDefault="00027A38" w:rsidP="00027A3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Size by Accommodation Type, Booking Channel, Traveler Type, and Region (2024–2030)</w:t>
      </w:r>
    </w:p>
    <w:p w14:paraId="62EE1386" w14:textId="77777777" w:rsidR="00027A38" w:rsidRPr="00027A38" w:rsidRDefault="00027A38" w:rsidP="00027A3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Regional Market Breakdown by Segment Type (2024–2030)</w:t>
      </w:r>
    </w:p>
    <w:p w14:paraId="626FEE51" w14:textId="77777777" w:rsidR="00027A38" w:rsidRPr="00027A38" w:rsidRDefault="00027A38" w:rsidP="00027A38">
      <w:p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b/>
          <w:bCs/>
          <w:sz w:val="24"/>
          <w:szCs w:val="24"/>
          <w:lang w:eastAsia="en-IN"/>
        </w:rPr>
        <w:t>List of Figures</w:t>
      </w:r>
    </w:p>
    <w:p w14:paraId="7B16962E" w14:textId="77777777" w:rsidR="00027A38" w:rsidRPr="00027A38" w:rsidRDefault="00027A38" w:rsidP="00027A3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Drivers, Challenges, and Opportunities</w:t>
      </w:r>
    </w:p>
    <w:p w14:paraId="2C8C4D1C" w14:textId="77777777" w:rsidR="00027A38" w:rsidRPr="00027A38" w:rsidRDefault="00027A38" w:rsidP="00027A3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Regional Market Snapshot</w:t>
      </w:r>
    </w:p>
    <w:p w14:paraId="1D770251" w14:textId="77777777" w:rsidR="00027A38" w:rsidRPr="00027A38" w:rsidRDefault="00027A38" w:rsidP="00027A3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Competitive Landscape by Market Share</w:t>
      </w:r>
    </w:p>
    <w:p w14:paraId="79A09A6A" w14:textId="77777777" w:rsidR="00027A38" w:rsidRPr="00027A38" w:rsidRDefault="00027A38" w:rsidP="00027A3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Growth Strategies Adopted by Key Players</w:t>
      </w:r>
    </w:p>
    <w:p w14:paraId="2150CF2B" w14:textId="77777777" w:rsidR="00027A38" w:rsidRPr="00027A38" w:rsidRDefault="00027A38" w:rsidP="00027A3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27A38">
        <w:rPr>
          <w:rFonts w:ascii="Times New Roman" w:eastAsia="Times New Roman" w:hAnsi="Times New Roman" w:cs="Times New Roman"/>
          <w:sz w:val="24"/>
          <w:szCs w:val="24"/>
          <w:lang w:eastAsia="en-IN"/>
        </w:rPr>
        <w:t>Market Share by Accommodation Type, Booking Channel, and Traveler Type (2024 vs. 2030)</w:t>
      </w:r>
    </w:p>
    <w:p w14:paraId="077AFCB6" w14:textId="0FC4416E"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44AAC"/>
    <w:multiLevelType w:val="multilevel"/>
    <w:tmpl w:val="F92E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E2164"/>
    <w:multiLevelType w:val="multilevel"/>
    <w:tmpl w:val="4162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336A2"/>
    <w:multiLevelType w:val="multilevel"/>
    <w:tmpl w:val="415E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D02E7"/>
    <w:multiLevelType w:val="multilevel"/>
    <w:tmpl w:val="FD3C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03D24"/>
    <w:multiLevelType w:val="multilevel"/>
    <w:tmpl w:val="86DC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81950"/>
    <w:multiLevelType w:val="multilevel"/>
    <w:tmpl w:val="9C70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156C0"/>
    <w:multiLevelType w:val="multilevel"/>
    <w:tmpl w:val="92483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400B0"/>
    <w:multiLevelType w:val="multilevel"/>
    <w:tmpl w:val="0D50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C58CA"/>
    <w:multiLevelType w:val="multilevel"/>
    <w:tmpl w:val="0F4C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A5634"/>
    <w:multiLevelType w:val="multilevel"/>
    <w:tmpl w:val="9506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66544"/>
    <w:multiLevelType w:val="multilevel"/>
    <w:tmpl w:val="6B12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E1519"/>
    <w:multiLevelType w:val="multilevel"/>
    <w:tmpl w:val="1296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60A52"/>
    <w:multiLevelType w:val="multilevel"/>
    <w:tmpl w:val="29CE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56E2E"/>
    <w:multiLevelType w:val="multilevel"/>
    <w:tmpl w:val="2D986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31A65"/>
    <w:multiLevelType w:val="multilevel"/>
    <w:tmpl w:val="8DF4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B49D7"/>
    <w:multiLevelType w:val="multilevel"/>
    <w:tmpl w:val="E7D0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CA39EB"/>
    <w:multiLevelType w:val="multilevel"/>
    <w:tmpl w:val="3990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5338B"/>
    <w:multiLevelType w:val="multilevel"/>
    <w:tmpl w:val="3D02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243F3"/>
    <w:multiLevelType w:val="multilevel"/>
    <w:tmpl w:val="0624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9F123A"/>
    <w:multiLevelType w:val="multilevel"/>
    <w:tmpl w:val="D286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1704C5"/>
    <w:multiLevelType w:val="multilevel"/>
    <w:tmpl w:val="5412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C7FF9"/>
    <w:multiLevelType w:val="multilevel"/>
    <w:tmpl w:val="88BC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9F63A3"/>
    <w:multiLevelType w:val="multilevel"/>
    <w:tmpl w:val="7AB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0"/>
  </w:num>
  <w:num w:numId="4">
    <w:abstractNumId w:val="11"/>
  </w:num>
  <w:num w:numId="5">
    <w:abstractNumId w:val="15"/>
  </w:num>
  <w:num w:numId="6">
    <w:abstractNumId w:val="0"/>
  </w:num>
  <w:num w:numId="7">
    <w:abstractNumId w:val="19"/>
  </w:num>
  <w:num w:numId="8">
    <w:abstractNumId w:val="14"/>
  </w:num>
  <w:num w:numId="9">
    <w:abstractNumId w:val="20"/>
  </w:num>
  <w:num w:numId="10">
    <w:abstractNumId w:val="3"/>
  </w:num>
  <w:num w:numId="11">
    <w:abstractNumId w:val="1"/>
  </w:num>
  <w:num w:numId="12">
    <w:abstractNumId w:val="4"/>
  </w:num>
  <w:num w:numId="13">
    <w:abstractNumId w:val="21"/>
  </w:num>
  <w:num w:numId="14">
    <w:abstractNumId w:val="16"/>
  </w:num>
  <w:num w:numId="15">
    <w:abstractNumId w:val="9"/>
  </w:num>
  <w:num w:numId="16">
    <w:abstractNumId w:val="5"/>
  </w:num>
  <w:num w:numId="17">
    <w:abstractNumId w:val="22"/>
  </w:num>
  <w:num w:numId="18">
    <w:abstractNumId w:val="13"/>
  </w:num>
  <w:num w:numId="19">
    <w:abstractNumId w:val="6"/>
  </w:num>
  <w:num w:numId="20">
    <w:abstractNumId w:val="12"/>
  </w:num>
  <w:num w:numId="21">
    <w:abstractNumId w:val="7"/>
  </w:num>
  <w:num w:numId="22">
    <w:abstractNumId w:val="18"/>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B3D"/>
    <w:rsid w:val="00027A38"/>
    <w:rsid w:val="002C2B3D"/>
    <w:rsid w:val="0038114E"/>
    <w:rsid w:val="0074493B"/>
    <w:rsid w:val="00A11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95EC"/>
  <w15:chartTrackingRefBased/>
  <w15:docId w15:val="{B1AF0165-9DCF-4F91-836A-ACE83AB90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B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2C2B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2C2B3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537655">
      <w:bodyDiv w:val="1"/>
      <w:marLeft w:val="0"/>
      <w:marRight w:val="0"/>
      <w:marTop w:val="0"/>
      <w:marBottom w:val="0"/>
      <w:divBdr>
        <w:top w:val="none" w:sz="0" w:space="0" w:color="auto"/>
        <w:left w:val="none" w:sz="0" w:space="0" w:color="auto"/>
        <w:bottom w:val="none" w:sz="0" w:space="0" w:color="auto"/>
        <w:right w:val="none" w:sz="0" w:space="0" w:color="auto"/>
      </w:divBdr>
    </w:div>
    <w:div w:id="703672521">
      <w:bodyDiv w:val="1"/>
      <w:marLeft w:val="0"/>
      <w:marRight w:val="0"/>
      <w:marTop w:val="0"/>
      <w:marBottom w:val="0"/>
      <w:divBdr>
        <w:top w:val="none" w:sz="0" w:space="0" w:color="auto"/>
        <w:left w:val="none" w:sz="0" w:space="0" w:color="auto"/>
        <w:bottom w:val="none" w:sz="0" w:space="0" w:color="auto"/>
        <w:right w:val="none" w:sz="0" w:space="0" w:color="auto"/>
      </w:divBdr>
    </w:div>
    <w:div w:id="833758255">
      <w:bodyDiv w:val="1"/>
      <w:marLeft w:val="0"/>
      <w:marRight w:val="0"/>
      <w:marTop w:val="0"/>
      <w:marBottom w:val="0"/>
      <w:divBdr>
        <w:top w:val="none" w:sz="0" w:space="0" w:color="auto"/>
        <w:left w:val="none" w:sz="0" w:space="0" w:color="auto"/>
        <w:bottom w:val="none" w:sz="0" w:space="0" w:color="auto"/>
        <w:right w:val="none" w:sz="0" w:space="0" w:color="auto"/>
      </w:divBdr>
      <w:divsChild>
        <w:div w:id="1185244822">
          <w:marLeft w:val="0"/>
          <w:marRight w:val="0"/>
          <w:marTop w:val="0"/>
          <w:marBottom w:val="0"/>
          <w:divBdr>
            <w:top w:val="none" w:sz="0" w:space="0" w:color="auto"/>
            <w:left w:val="none" w:sz="0" w:space="0" w:color="auto"/>
            <w:bottom w:val="none" w:sz="0" w:space="0" w:color="auto"/>
            <w:right w:val="none" w:sz="0" w:space="0" w:color="auto"/>
          </w:divBdr>
          <w:divsChild>
            <w:div w:id="1045181962">
              <w:marLeft w:val="0"/>
              <w:marRight w:val="0"/>
              <w:marTop w:val="0"/>
              <w:marBottom w:val="0"/>
              <w:divBdr>
                <w:top w:val="none" w:sz="0" w:space="0" w:color="auto"/>
                <w:left w:val="none" w:sz="0" w:space="0" w:color="auto"/>
                <w:bottom w:val="none" w:sz="0" w:space="0" w:color="auto"/>
                <w:right w:val="none" w:sz="0" w:space="0" w:color="auto"/>
              </w:divBdr>
            </w:div>
          </w:divsChild>
        </w:div>
        <w:div w:id="339356326">
          <w:marLeft w:val="0"/>
          <w:marRight w:val="0"/>
          <w:marTop w:val="0"/>
          <w:marBottom w:val="0"/>
          <w:divBdr>
            <w:top w:val="none" w:sz="0" w:space="0" w:color="auto"/>
            <w:left w:val="none" w:sz="0" w:space="0" w:color="auto"/>
            <w:bottom w:val="none" w:sz="0" w:space="0" w:color="auto"/>
            <w:right w:val="none" w:sz="0" w:space="0" w:color="auto"/>
          </w:divBdr>
          <w:divsChild>
            <w:div w:id="71161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78058">
      <w:bodyDiv w:val="1"/>
      <w:marLeft w:val="0"/>
      <w:marRight w:val="0"/>
      <w:marTop w:val="0"/>
      <w:marBottom w:val="0"/>
      <w:divBdr>
        <w:top w:val="none" w:sz="0" w:space="0" w:color="auto"/>
        <w:left w:val="none" w:sz="0" w:space="0" w:color="auto"/>
        <w:bottom w:val="none" w:sz="0" w:space="0" w:color="auto"/>
        <w:right w:val="none" w:sz="0" w:space="0" w:color="auto"/>
      </w:divBdr>
    </w:div>
    <w:div w:id="1474257191">
      <w:bodyDiv w:val="1"/>
      <w:marLeft w:val="0"/>
      <w:marRight w:val="0"/>
      <w:marTop w:val="0"/>
      <w:marBottom w:val="0"/>
      <w:divBdr>
        <w:top w:val="none" w:sz="0" w:space="0" w:color="auto"/>
        <w:left w:val="none" w:sz="0" w:space="0" w:color="auto"/>
        <w:bottom w:val="none" w:sz="0" w:space="0" w:color="auto"/>
        <w:right w:val="none" w:sz="0" w:space="0" w:color="auto"/>
      </w:divBdr>
      <w:divsChild>
        <w:div w:id="76053195">
          <w:marLeft w:val="0"/>
          <w:marRight w:val="0"/>
          <w:marTop w:val="0"/>
          <w:marBottom w:val="0"/>
          <w:divBdr>
            <w:top w:val="none" w:sz="0" w:space="0" w:color="auto"/>
            <w:left w:val="none" w:sz="0" w:space="0" w:color="auto"/>
            <w:bottom w:val="none" w:sz="0" w:space="0" w:color="auto"/>
            <w:right w:val="none" w:sz="0" w:space="0" w:color="auto"/>
          </w:divBdr>
          <w:divsChild>
            <w:div w:id="89890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48013">
      <w:bodyDiv w:val="1"/>
      <w:marLeft w:val="0"/>
      <w:marRight w:val="0"/>
      <w:marTop w:val="0"/>
      <w:marBottom w:val="0"/>
      <w:divBdr>
        <w:top w:val="none" w:sz="0" w:space="0" w:color="auto"/>
        <w:left w:val="none" w:sz="0" w:space="0" w:color="auto"/>
        <w:bottom w:val="none" w:sz="0" w:space="0" w:color="auto"/>
        <w:right w:val="none" w:sz="0" w:space="0" w:color="auto"/>
      </w:divBdr>
    </w:div>
    <w:div w:id="1670056429">
      <w:bodyDiv w:val="1"/>
      <w:marLeft w:val="0"/>
      <w:marRight w:val="0"/>
      <w:marTop w:val="0"/>
      <w:marBottom w:val="0"/>
      <w:divBdr>
        <w:top w:val="none" w:sz="0" w:space="0" w:color="auto"/>
        <w:left w:val="none" w:sz="0" w:space="0" w:color="auto"/>
        <w:bottom w:val="none" w:sz="0" w:space="0" w:color="auto"/>
        <w:right w:val="none" w:sz="0" w:space="0" w:color="auto"/>
      </w:divBdr>
    </w:div>
    <w:div w:id="1698849561">
      <w:bodyDiv w:val="1"/>
      <w:marLeft w:val="0"/>
      <w:marRight w:val="0"/>
      <w:marTop w:val="0"/>
      <w:marBottom w:val="0"/>
      <w:divBdr>
        <w:top w:val="none" w:sz="0" w:space="0" w:color="auto"/>
        <w:left w:val="none" w:sz="0" w:space="0" w:color="auto"/>
        <w:bottom w:val="none" w:sz="0" w:space="0" w:color="auto"/>
        <w:right w:val="none" w:sz="0" w:space="0" w:color="auto"/>
      </w:divBdr>
    </w:div>
    <w:div w:id="1965501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4623</Words>
  <Characters>26357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2</cp:revision>
  <dcterms:created xsi:type="dcterms:W3CDTF">2025-10-15T05:58:00Z</dcterms:created>
  <dcterms:modified xsi:type="dcterms:W3CDTF">2025-10-15T08:38:00Z</dcterms:modified>
</cp:coreProperties>
</file>