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D2EDF" w14:textId="77777777" w:rsidR="00AB1496" w:rsidRPr="00AB1496" w:rsidRDefault="00AB1496" w:rsidP="00AB1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496">
        <w:rPr>
          <w:rFonts w:ascii="Times New Roman" w:eastAsia="Times New Roman" w:hAnsi="Times New Roman" w:cs="Times New Roman"/>
          <w:b/>
          <w:bCs/>
          <w:kern w:val="36"/>
          <w:sz w:val="48"/>
          <w:szCs w:val="48"/>
          <w:lang w:eastAsia="en-IN"/>
        </w:rPr>
        <w:t>1. Introduction and Strategic Context</w:t>
      </w:r>
    </w:p>
    <w:p w14:paraId="315BF3CF" w14:textId="6E89F624"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 xml:space="preserve">The </w:t>
      </w:r>
      <w:r w:rsidR="00691D1A" w:rsidRPr="00AB1496">
        <w:rPr>
          <w:rFonts w:ascii="Times New Roman" w:eastAsia="Times New Roman" w:hAnsi="Times New Roman" w:cs="Times New Roman"/>
          <w:b/>
          <w:bCs/>
          <w:sz w:val="24"/>
          <w:szCs w:val="24"/>
          <w:lang w:eastAsia="en-IN"/>
        </w:rPr>
        <w:t xml:space="preserve">Global </w:t>
      </w:r>
      <w:r w:rsidRPr="00AB1496">
        <w:rPr>
          <w:rFonts w:ascii="Times New Roman" w:eastAsia="Times New Roman" w:hAnsi="Times New Roman" w:cs="Times New Roman"/>
          <w:b/>
          <w:bCs/>
          <w:sz w:val="24"/>
          <w:szCs w:val="24"/>
          <w:lang w:eastAsia="en-IN"/>
        </w:rPr>
        <w:t>Water Cut Monitors Market</w:t>
      </w:r>
      <w:r w:rsidRPr="00AB1496">
        <w:rPr>
          <w:rFonts w:ascii="Times New Roman" w:eastAsia="Times New Roman" w:hAnsi="Times New Roman" w:cs="Times New Roman"/>
          <w:sz w:val="24"/>
          <w:szCs w:val="24"/>
          <w:lang w:eastAsia="en-IN"/>
        </w:rPr>
        <w:t xml:space="preserve"> is poised to witness steady growth, with a projected </w:t>
      </w:r>
      <w:r w:rsidRPr="00AB1496">
        <w:rPr>
          <w:rFonts w:ascii="Times New Roman" w:eastAsia="Times New Roman" w:hAnsi="Times New Roman" w:cs="Times New Roman"/>
          <w:b/>
          <w:bCs/>
          <w:sz w:val="24"/>
          <w:szCs w:val="24"/>
          <w:lang w:eastAsia="en-IN"/>
        </w:rPr>
        <w:t>CAGR of 6.5%,</w:t>
      </w:r>
      <w:r w:rsidRPr="00AB1496">
        <w:rPr>
          <w:rFonts w:ascii="Times New Roman" w:eastAsia="Times New Roman" w:hAnsi="Times New Roman" w:cs="Times New Roman"/>
          <w:sz w:val="24"/>
          <w:szCs w:val="24"/>
          <w:lang w:eastAsia="en-IN"/>
        </w:rPr>
        <w:t xml:space="preserve"> valued at around </w:t>
      </w:r>
      <w:r w:rsidRPr="00AB1496">
        <w:rPr>
          <w:rFonts w:ascii="Times New Roman" w:eastAsia="Times New Roman" w:hAnsi="Times New Roman" w:cs="Times New Roman"/>
          <w:b/>
          <w:bCs/>
          <w:sz w:val="24"/>
          <w:szCs w:val="24"/>
          <w:lang w:eastAsia="en-IN"/>
        </w:rPr>
        <w:t xml:space="preserve">USD </w:t>
      </w:r>
      <w:r w:rsidR="00691D1A">
        <w:rPr>
          <w:rFonts w:ascii="Times New Roman" w:eastAsia="Times New Roman" w:hAnsi="Times New Roman" w:cs="Times New Roman"/>
          <w:b/>
          <w:bCs/>
          <w:sz w:val="24"/>
          <w:szCs w:val="24"/>
          <w:lang w:eastAsia="en-IN"/>
        </w:rPr>
        <w:t>450.0</w:t>
      </w:r>
      <w:r w:rsidRPr="00AB1496">
        <w:rPr>
          <w:rFonts w:ascii="Times New Roman" w:eastAsia="Times New Roman" w:hAnsi="Times New Roman" w:cs="Times New Roman"/>
          <w:b/>
          <w:bCs/>
          <w:sz w:val="24"/>
          <w:szCs w:val="24"/>
          <w:lang w:eastAsia="en-IN"/>
        </w:rPr>
        <w:t xml:space="preserve"> million in 2024</w:t>
      </w:r>
      <w:r w:rsidRPr="00AB1496">
        <w:rPr>
          <w:rFonts w:ascii="Times New Roman" w:eastAsia="Times New Roman" w:hAnsi="Times New Roman" w:cs="Times New Roman"/>
          <w:sz w:val="24"/>
          <w:szCs w:val="24"/>
          <w:lang w:eastAsia="en-IN"/>
        </w:rPr>
        <w:t xml:space="preserve">, and expected to reach </w:t>
      </w:r>
      <w:r w:rsidRPr="00AB1496">
        <w:rPr>
          <w:rFonts w:ascii="Times New Roman" w:eastAsia="Times New Roman" w:hAnsi="Times New Roman" w:cs="Times New Roman"/>
          <w:b/>
          <w:bCs/>
          <w:sz w:val="24"/>
          <w:szCs w:val="24"/>
          <w:lang w:eastAsia="en-IN"/>
        </w:rPr>
        <w:t xml:space="preserve">USD </w:t>
      </w:r>
      <w:r w:rsidR="00691D1A">
        <w:rPr>
          <w:rFonts w:ascii="Times New Roman" w:eastAsia="Times New Roman" w:hAnsi="Times New Roman" w:cs="Times New Roman"/>
          <w:b/>
          <w:bCs/>
          <w:sz w:val="24"/>
          <w:szCs w:val="24"/>
          <w:lang w:eastAsia="en-IN"/>
        </w:rPr>
        <w:t>650.0</w:t>
      </w:r>
      <w:r w:rsidRPr="00AB1496">
        <w:rPr>
          <w:rFonts w:ascii="Times New Roman" w:eastAsia="Times New Roman" w:hAnsi="Times New Roman" w:cs="Times New Roman"/>
          <w:b/>
          <w:bCs/>
          <w:sz w:val="24"/>
          <w:szCs w:val="24"/>
          <w:lang w:eastAsia="en-IN"/>
        </w:rPr>
        <w:t xml:space="preserve"> million by 2030</w:t>
      </w:r>
      <w:r w:rsidRPr="00AB1496">
        <w:rPr>
          <w:rFonts w:ascii="Times New Roman" w:eastAsia="Times New Roman" w:hAnsi="Times New Roman" w:cs="Times New Roman"/>
          <w:sz w:val="24"/>
          <w:szCs w:val="24"/>
          <w:lang w:eastAsia="en-IN"/>
        </w:rPr>
        <w:t xml:space="preserve">, according to </w:t>
      </w:r>
      <w:r w:rsidRPr="00AB1496">
        <w:rPr>
          <w:rFonts w:ascii="Times New Roman" w:eastAsia="Times New Roman" w:hAnsi="Times New Roman" w:cs="Times New Roman"/>
          <w:b/>
          <w:bCs/>
          <w:sz w:val="24"/>
          <w:szCs w:val="24"/>
          <w:lang w:eastAsia="en-IN"/>
        </w:rPr>
        <w:t>Strategic Market Research</w:t>
      </w:r>
      <w:r w:rsidRPr="00AB1496">
        <w:rPr>
          <w:rFonts w:ascii="Times New Roman" w:eastAsia="Times New Roman" w:hAnsi="Times New Roman" w:cs="Times New Roman"/>
          <w:sz w:val="24"/>
          <w:szCs w:val="24"/>
          <w:lang w:eastAsia="en-IN"/>
        </w:rPr>
        <w:t>. Water cut monitors, crucial for the oil and gas industry, measure the proportion of water in crude oil, enabling operators to optimize production, prevent pipeline corrosion, and enhance operational efficiency. These devices are increasingly strategic for both upstream and midstream operations, where real-time monitoring directly impacts profitability and environmental compliance.</w:t>
      </w:r>
    </w:p>
    <w:p w14:paraId="2FA51B06"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Key macro forces driving this market include technological advancement, stringent environmental regulations, and rising energy demand. Automation and digitalization in oil and gas operations are pushing the adoption of online and inline water cut monitoring solutions. Additionally, governments are enforcing stricter standards for produced water management and disposal, making accurate water cut measurement a compliance necessity.</w:t>
      </w:r>
    </w:p>
    <w:p w14:paraId="6C0A9250"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Technological innovation is reshaping the competitive landscape. Smart sensors, integrated with IoT platforms and advanced analytics, allow operators to detect water ingress and adjust separation processes in real time. Digital twins and predictive maintenance models are gradually being paired with water cut monitors to minimize downtime and optimize production schedules. As the energy sector shifts towards more efficient and environmentally responsible operations, water cut monitoring becomes a critical operational tool.</w:t>
      </w:r>
    </w:p>
    <w:p w14:paraId="6C9BFECC"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The stakeholder ecosystem is broad and includes oil and gas companies, drilling contractors, equipment manufacturers, technology providers, and investors seeking stable industrial automation solutions. Additionally, service providers offering integrated monitoring solutions and data analytics are gaining importance. These stakeholders collectively drive innovation, regulatory compliance, and cost efficiency across the value chain.</w:t>
      </w:r>
    </w:p>
    <w:p w14:paraId="378ABC24"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Regionally, the market dynamics vary. North America and the Middle East lead in adoption due to mature oilfield infrastructure, higher production volumes, and the prevalence of enhanced oil recovery (EOR) projects. Asia Pacific is the fastest-growing region, fueled by expanding upstream activities in countries like China and India. Latin America and Africa present emerging opportunities, particularly in offshore developments where accurate water cut monitoring is critical for operational safety.</w:t>
      </w:r>
    </w:p>
    <w:p w14:paraId="6060776F"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In summary, the Water Cut Monitors Market is evolving from traditional mechanical devices to sophisticated digital systems that integrate automation, predictive analytics, and remote monitoring. According to Strategic Market Research, these advancements are not just incremental — they are reshaping operational practices, enhancing decision-making, and driving measurable efficiency gains in oil and gas production.</w:t>
      </w:r>
    </w:p>
    <w:p w14:paraId="1349EE28" w14:textId="77777777" w:rsidR="00AB1496" w:rsidRPr="00AB1496" w:rsidRDefault="00AB1496" w:rsidP="00AB1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496">
        <w:rPr>
          <w:rFonts w:ascii="Times New Roman" w:eastAsia="Times New Roman" w:hAnsi="Times New Roman" w:cs="Times New Roman"/>
          <w:b/>
          <w:bCs/>
          <w:kern w:val="36"/>
          <w:sz w:val="48"/>
          <w:szCs w:val="48"/>
          <w:lang w:eastAsia="en-IN"/>
        </w:rPr>
        <w:t>2. Market Segmentation and Forecast Scope</w:t>
      </w:r>
    </w:p>
    <w:p w14:paraId="164231D3"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lastRenderedPageBreak/>
        <w:t>The Water Cut Monitors Market is structured across multiple dimensions that reflect the diverse operational needs of the oil and gas industry. These segments are designed to capture technological, functional, and regional variations that influence adoption and growth. The market can be broadly classified by product type, application, end user, and geography.</w:t>
      </w:r>
    </w:p>
    <w:p w14:paraId="047E3576"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By Product Type</w:t>
      </w:r>
      <w:r w:rsidRPr="00AB1496">
        <w:rPr>
          <w:rFonts w:ascii="Times New Roman" w:eastAsia="Times New Roman" w:hAnsi="Times New Roman" w:cs="Times New Roman"/>
          <w:sz w:val="24"/>
          <w:szCs w:val="24"/>
          <w:lang w:eastAsia="en-IN"/>
        </w:rPr>
        <w:br/>
        <w:t xml:space="preserve">Water cut monitors are primarily available as </w:t>
      </w:r>
      <w:r w:rsidRPr="00AB1496">
        <w:rPr>
          <w:rFonts w:ascii="Times New Roman" w:eastAsia="Times New Roman" w:hAnsi="Times New Roman" w:cs="Times New Roman"/>
          <w:b/>
          <w:bCs/>
          <w:sz w:val="24"/>
          <w:szCs w:val="24"/>
          <w:lang w:eastAsia="en-IN"/>
        </w:rPr>
        <w:t>online monitors</w:t>
      </w:r>
      <w:r w:rsidRPr="00AB1496">
        <w:rPr>
          <w:rFonts w:ascii="Times New Roman" w:eastAsia="Times New Roman" w:hAnsi="Times New Roman" w:cs="Times New Roman"/>
          <w:sz w:val="24"/>
          <w:szCs w:val="24"/>
          <w:lang w:eastAsia="en-IN"/>
        </w:rPr>
        <w:t xml:space="preserve"> and </w:t>
      </w:r>
      <w:r w:rsidRPr="00AB1496">
        <w:rPr>
          <w:rFonts w:ascii="Times New Roman" w:eastAsia="Times New Roman" w:hAnsi="Times New Roman" w:cs="Times New Roman"/>
          <w:b/>
          <w:bCs/>
          <w:sz w:val="24"/>
          <w:szCs w:val="24"/>
          <w:lang w:eastAsia="en-IN"/>
        </w:rPr>
        <w:t>offline monitors</w:t>
      </w:r>
      <w:r w:rsidRPr="00AB1496">
        <w:rPr>
          <w:rFonts w:ascii="Times New Roman" w:eastAsia="Times New Roman" w:hAnsi="Times New Roman" w:cs="Times New Roman"/>
          <w:sz w:val="24"/>
          <w:szCs w:val="24"/>
          <w:lang w:eastAsia="en-IN"/>
        </w:rPr>
        <w:t>. Online monitors, which provide real-time measurements, are gaining significant traction due to their ability to integrate with automation systems and support continuous monitoring of production streams. Offline monitors, while less technologically advanced, remain relevant for laboratories and small-scale operations where periodic testing suffices. In 2024, online water cut monitors account for an estimated 65% of market share, highlighting the industry's shift toward real-time data acquisition and automation.</w:t>
      </w:r>
    </w:p>
    <w:p w14:paraId="78D5A01E"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By Application</w:t>
      </w:r>
      <w:r w:rsidRPr="00AB1496">
        <w:rPr>
          <w:rFonts w:ascii="Times New Roman" w:eastAsia="Times New Roman" w:hAnsi="Times New Roman" w:cs="Times New Roman"/>
          <w:sz w:val="24"/>
          <w:szCs w:val="24"/>
          <w:lang w:eastAsia="en-IN"/>
        </w:rPr>
        <w:br/>
        <w:t xml:space="preserve">The market segments by application into </w:t>
      </w:r>
      <w:r w:rsidRPr="00AB1496">
        <w:rPr>
          <w:rFonts w:ascii="Times New Roman" w:eastAsia="Times New Roman" w:hAnsi="Times New Roman" w:cs="Times New Roman"/>
          <w:b/>
          <w:bCs/>
          <w:sz w:val="24"/>
          <w:szCs w:val="24"/>
          <w:lang w:eastAsia="en-IN"/>
        </w:rPr>
        <w:t>upstream oil production</w:t>
      </w:r>
      <w:r w:rsidRPr="00AB1496">
        <w:rPr>
          <w:rFonts w:ascii="Times New Roman" w:eastAsia="Times New Roman" w:hAnsi="Times New Roman" w:cs="Times New Roman"/>
          <w:sz w:val="24"/>
          <w:szCs w:val="24"/>
          <w:lang w:eastAsia="en-IN"/>
        </w:rPr>
        <w:t xml:space="preserve">, </w:t>
      </w:r>
      <w:r w:rsidRPr="00AB1496">
        <w:rPr>
          <w:rFonts w:ascii="Times New Roman" w:eastAsia="Times New Roman" w:hAnsi="Times New Roman" w:cs="Times New Roman"/>
          <w:b/>
          <w:bCs/>
          <w:sz w:val="24"/>
          <w:szCs w:val="24"/>
          <w:lang w:eastAsia="en-IN"/>
        </w:rPr>
        <w:t>midstream pipeline monitoring</w:t>
      </w:r>
      <w:r w:rsidRPr="00AB1496">
        <w:rPr>
          <w:rFonts w:ascii="Times New Roman" w:eastAsia="Times New Roman" w:hAnsi="Times New Roman" w:cs="Times New Roman"/>
          <w:sz w:val="24"/>
          <w:szCs w:val="24"/>
          <w:lang w:eastAsia="en-IN"/>
        </w:rPr>
        <w:t xml:space="preserve">, and </w:t>
      </w:r>
      <w:r w:rsidRPr="00AB1496">
        <w:rPr>
          <w:rFonts w:ascii="Times New Roman" w:eastAsia="Times New Roman" w:hAnsi="Times New Roman" w:cs="Times New Roman"/>
          <w:b/>
          <w:bCs/>
          <w:sz w:val="24"/>
          <w:szCs w:val="24"/>
          <w:lang w:eastAsia="en-IN"/>
        </w:rPr>
        <w:t>refinery operations</w:t>
      </w:r>
      <w:r w:rsidRPr="00AB1496">
        <w:rPr>
          <w:rFonts w:ascii="Times New Roman" w:eastAsia="Times New Roman" w:hAnsi="Times New Roman" w:cs="Times New Roman"/>
          <w:sz w:val="24"/>
          <w:szCs w:val="24"/>
          <w:lang w:eastAsia="en-IN"/>
        </w:rPr>
        <w:t>. Upstream oil production is the largest segment, driven by the need for accurate separation of oil and water during extraction and early-stage processing. Midstream pipeline monitoring is emerging rapidly, as operators seek to prevent corrosion, optimize flow, and maintain pipeline integrity. Refinery applications are smaller but growing, focused on feedstock quality monitoring and optimizing processing efficiency.</w:t>
      </w:r>
    </w:p>
    <w:p w14:paraId="366C9E34"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By End User</w:t>
      </w:r>
      <w:r w:rsidRPr="00AB1496">
        <w:rPr>
          <w:rFonts w:ascii="Times New Roman" w:eastAsia="Times New Roman" w:hAnsi="Times New Roman" w:cs="Times New Roman"/>
          <w:sz w:val="24"/>
          <w:szCs w:val="24"/>
          <w:lang w:eastAsia="en-IN"/>
        </w:rPr>
        <w:br/>
        <w:t xml:space="preserve">End users include </w:t>
      </w:r>
      <w:r w:rsidRPr="00AB1496">
        <w:rPr>
          <w:rFonts w:ascii="Times New Roman" w:eastAsia="Times New Roman" w:hAnsi="Times New Roman" w:cs="Times New Roman"/>
          <w:b/>
          <w:bCs/>
          <w:sz w:val="24"/>
          <w:szCs w:val="24"/>
          <w:lang w:eastAsia="en-IN"/>
        </w:rPr>
        <w:t>oilfield operators</w:t>
      </w:r>
      <w:r w:rsidRPr="00AB1496">
        <w:rPr>
          <w:rFonts w:ascii="Times New Roman" w:eastAsia="Times New Roman" w:hAnsi="Times New Roman" w:cs="Times New Roman"/>
          <w:sz w:val="24"/>
          <w:szCs w:val="24"/>
          <w:lang w:eastAsia="en-IN"/>
        </w:rPr>
        <w:t xml:space="preserve">, </w:t>
      </w:r>
      <w:r w:rsidRPr="00AB1496">
        <w:rPr>
          <w:rFonts w:ascii="Times New Roman" w:eastAsia="Times New Roman" w:hAnsi="Times New Roman" w:cs="Times New Roman"/>
          <w:b/>
          <w:bCs/>
          <w:sz w:val="24"/>
          <w:szCs w:val="24"/>
          <w:lang w:eastAsia="en-IN"/>
        </w:rPr>
        <w:t>integrated oil and gas companies</w:t>
      </w:r>
      <w:r w:rsidRPr="00AB1496">
        <w:rPr>
          <w:rFonts w:ascii="Times New Roman" w:eastAsia="Times New Roman" w:hAnsi="Times New Roman" w:cs="Times New Roman"/>
          <w:sz w:val="24"/>
          <w:szCs w:val="24"/>
          <w:lang w:eastAsia="en-IN"/>
        </w:rPr>
        <w:t xml:space="preserve">, </w:t>
      </w:r>
      <w:r w:rsidRPr="00AB1496">
        <w:rPr>
          <w:rFonts w:ascii="Times New Roman" w:eastAsia="Times New Roman" w:hAnsi="Times New Roman" w:cs="Times New Roman"/>
          <w:b/>
          <w:bCs/>
          <w:sz w:val="24"/>
          <w:szCs w:val="24"/>
          <w:lang w:eastAsia="en-IN"/>
        </w:rPr>
        <w:t>engineering and service companies</w:t>
      </w:r>
      <w:r w:rsidRPr="00AB1496">
        <w:rPr>
          <w:rFonts w:ascii="Times New Roman" w:eastAsia="Times New Roman" w:hAnsi="Times New Roman" w:cs="Times New Roman"/>
          <w:sz w:val="24"/>
          <w:szCs w:val="24"/>
          <w:lang w:eastAsia="en-IN"/>
        </w:rPr>
        <w:t xml:space="preserve">, and </w:t>
      </w:r>
      <w:r w:rsidRPr="00AB1496">
        <w:rPr>
          <w:rFonts w:ascii="Times New Roman" w:eastAsia="Times New Roman" w:hAnsi="Times New Roman" w:cs="Times New Roman"/>
          <w:b/>
          <w:bCs/>
          <w:sz w:val="24"/>
          <w:szCs w:val="24"/>
          <w:lang w:eastAsia="en-IN"/>
        </w:rPr>
        <w:t>research and testing laboratories</w:t>
      </w:r>
      <w:r w:rsidRPr="00AB1496">
        <w:rPr>
          <w:rFonts w:ascii="Times New Roman" w:eastAsia="Times New Roman" w:hAnsi="Times New Roman" w:cs="Times New Roman"/>
          <w:sz w:val="24"/>
          <w:szCs w:val="24"/>
          <w:lang w:eastAsia="en-IN"/>
        </w:rPr>
        <w:t>. Oilfield operators dominate the market in terms of volume and revenue, as they require high-accuracy, real-time monitoring to maximize production efficiency. Service companies and laboratories rely on offline or portable monitoring solutions for diagnostic and testing purposes.</w:t>
      </w:r>
    </w:p>
    <w:p w14:paraId="7FFDFBBE"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By Region</w:t>
      </w:r>
      <w:r w:rsidRPr="00AB1496">
        <w:rPr>
          <w:rFonts w:ascii="Times New Roman" w:eastAsia="Times New Roman" w:hAnsi="Times New Roman" w:cs="Times New Roman"/>
          <w:sz w:val="24"/>
          <w:szCs w:val="24"/>
          <w:lang w:eastAsia="en-IN"/>
        </w:rPr>
        <w:br/>
        <w:t xml:space="preserve">The market is geographically segmented into </w:t>
      </w:r>
      <w:r w:rsidRPr="00AB1496">
        <w:rPr>
          <w:rFonts w:ascii="Times New Roman" w:eastAsia="Times New Roman" w:hAnsi="Times New Roman" w:cs="Times New Roman"/>
          <w:b/>
          <w:bCs/>
          <w:sz w:val="24"/>
          <w:szCs w:val="24"/>
          <w:lang w:eastAsia="en-IN"/>
        </w:rPr>
        <w:t>North America</w:t>
      </w:r>
      <w:r w:rsidRPr="00AB1496">
        <w:rPr>
          <w:rFonts w:ascii="Times New Roman" w:eastAsia="Times New Roman" w:hAnsi="Times New Roman" w:cs="Times New Roman"/>
          <w:sz w:val="24"/>
          <w:szCs w:val="24"/>
          <w:lang w:eastAsia="en-IN"/>
        </w:rPr>
        <w:t xml:space="preserve">, </w:t>
      </w:r>
      <w:r w:rsidRPr="00AB1496">
        <w:rPr>
          <w:rFonts w:ascii="Times New Roman" w:eastAsia="Times New Roman" w:hAnsi="Times New Roman" w:cs="Times New Roman"/>
          <w:b/>
          <w:bCs/>
          <w:sz w:val="24"/>
          <w:szCs w:val="24"/>
          <w:lang w:eastAsia="en-IN"/>
        </w:rPr>
        <w:t>Europe</w:t>
      </w:r>
      <w:r w:rsidRPr="00AB1496">
        <w:rPr>
          <w:rFonts w:ascii="Times New Roman" w:eastAsia="Times New Roman" w:hAnsi="Times New Roman" w:cs="Times New Roman"/>
          <w:sz w:val="24"/>
          <w:szCs w:val="24"/>
          <w:lang w:eastAsia="en-IN"/>
        </w:rPr>
        <w:t xml:space="preserve">, </w:t>
      </w:r>
      <w:r w:rsidRPr="00AB1496">
        <w:rPr>
          <w:rFonts w:ascii="Times New Roman" w:eastAsia="Times New Roman" w:hAnsi="Times New Roman" w:cs="Times New Roman"/>
          <w:b/>
          <w:bCs/>
          <w:sz w:val="24"/>
          <w:szCs w:val="24"/>
          <w:lang w:eastAsia="en-IN"/>
        </w:rPr>
        <w:t>Asia Pacific</w:t>
      </w:r>
      <w:r w:rsidRPr="00AB1496">
        <w:rPr>
          <w:rFonts w:ascii="Times New Roman" w:eastAsia="Times New Roman" w:hAnsi="Times New Roman" w:cs="Times New Roman"/>
          <w:sz w:val="24"/>
          <w:szCs w:val="24"/>
          <w:lang w:eastAsia="en-IN"/>
        </w:rPr>
        <w:t xml:space="preserve">, and </w:t>
      </w:r>
      <w:r w:rsidRPr="00AB1496">
        <w:rPr>
          <w:rFonts w:ascii="Times New Roman" w:eastAsia="Times New Roman" w:hAnsi="Times New Roman" w:cs="Times New Roman"/>
          <w:b/>
          <w:bCs/>
          <w:sz w:val="24"/>
          <w:szCs w:val="24"/>
          <w:lang w:eastAsia="en-IN"/>
        </w:rPr>
        <w:t>LAMEA</w:t>
      </w:r>
      <w:r w:rsidRPr="00AB1496">
        <w:rPr>
          <w:rFonts w:ascii="Times New Roman" w:eastAsia="Times New Roman" w:hAnsi="Times New Roman" w:cs="Times New Roman"/>
          <w:sz w:val="24"/>
          <w:szCs w:val="24"/>
          <w:lang w:eastAsia="en-IN"/>
        </w:rPr>
        <w:t xml:space="preserve"> (Latin America, Middle East, and Africa). North America holds a substantial market share due to extensive oilfield infrastructure and the widespread adoption of advanced monitoring technologies. Europe maintains steady growth, driven by mature upstream operations and stringent environmental regulations. Asia Pacific is forecasted as the fastest-growing region, led by expanding exploration and production activities in China, India, and Southeast Asia. LAMEA represents emerging opportunities, especially in offshore and deepwater projects where accurate water cut monitoring is critical.</w:t>
      </w:r>
    </w:p>
    <w:p w14:paraId="4DAF9378"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In scope, the market is expected to reflect both technological evolution and operational expansion. Real-time, sensor-based online monitors are increasingly preferred for their efficiency and integration with digital oilfield initiatives. Meanwhile, offline and portable monitors retain relevance for testing, calibration, and low-volume operations, ensuring the market remains balanced across segments. The segmentation framework helps stakeholders identify high-growth areas and investment priorities, aligning product development with operational needs and regional trends.</w:t>
      </w:r>
    </w:p>
    <w:p w14:paraId="3759324A" w14:textId="77777777" w:rsidR="00AB1496" w:rsidRPr="00AB1496" w:rsidRDefault="00AB1496" w:rsidP="00AB1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496">
        <w:rPr>
          <w:rFonts w:ascii="Times New Roman" w:eastAsia="Times New Roman" w:hAnsi="Times New Roman" w:cs="Times New Roman"/>
          <w:b/>
          <w:bCs/>
          <w:kern w:val="36"/>
          <w:sz w:val="48"/>
          <w:szCs w:val="48"/>
          <w:lang w:eastAsia="en-IN"/>
        </w:rPr>
        <w:lastRenderedPageBreak/>
        <w:t>3. Market Trends and Innovation Landscape</w:t>
      </w:r>
    </w:p>
    <w:p w14:paraId="73EB20A3"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The Water Cut Monitors Market is undergoing a period of significant technological transformation. Traditional mechanical and ultrasonic devices are increasingly complemented or replaced by smart, digitally integrated systems capable of real-time data analysis, predictive maintenance, and remote monitoring. This evolution is reshaping operational practices across the oil and gas value chain, from upstream production to midstream transportation.</w:t>
      </w:r>
    </w:p>
    <w:p w14:paraId="1E5012AA"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Digital Integration and IoT Connectivity</w:t>
      </w:r>
      <w:r w:rsidRPr="00AB1496">
        <w:rPr>
          <w:rFonts w:ascii="Times New Roman" w:eastAsia="Times New Roman" w:hAnsi="Times New Roman" w:cs="Times New Roman"/>
          <w:sz w:val="24"/>
          <w:szCs w:val="24"/>
          <w:lang w:eastAsia="en-IN"/>
        </w:rPr>
        <w:br/>
        <w:t>A major trend is the integration of water cut monitors with IoT platforms and digital oilfield solutions. Modern systems now offer cloud-based monitoring dashboards, enabling engineers to access data remotely and make informed decisions on separation efficiency, production optimization, and pipeline maintenance. These connected devices also allow seamless integration with other field sensors, providing a holistic view of production operations.</w:t>
      </w:r>
    </w:p>
    <w:p w14:paraId="00E8CA92"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Advanced Sensor Technologies</w:t>
      </w:r>
      <w:r w:rsidRPr="00AB1496">
        <w:rPr>
          <w:rFonts w:ascii="Times New Roman" w:eastAsia="Times New Roman" w:hAnsi="Times New Roman" w:cs="Times New Roman"/>
          <w:sz w:val="24"/>
          <w:szCs w:val="24"/>
          <w:lang w:eastAsia="en-IN"/>
        </w:rPr>
        <w:br/>
        <w:t>Recent innovations include multiphase flow meters combined with water cut measurement capabilities. Techniques like microwave, capacitance, and gamma-ray sensors are gaining traction for their ability to provide precise measurements in harsh operational environments. In particular, online microwave-based water cut monitors are preferred for offshore and high-pressure reservoirs, where accuracy and reliability are critical.</w:t>
      </w:r>
    </w:p>
    <w:p w14:paraId="7DAFE919"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AI and Predictive Analytics</w:t>
      </w:r>
      <w:r w:rsidRPr="00AB1496">
        <w:rPr>
          <w:rFonts w:ascii="Times New Roman" w:eastAsia="Times New Roman" w:hAnsi="Times New Roman" w:cs="Times New Roman"/>
          <w:sz w:val="24"/>
          <w:szCs w:val="24"/>
          <w:lang w:eastAsia="en-IN"/>
        </w:rPr>
        <w:br/>
        <w:t>Artificial intelligence and machine learning are beginning to play a role in water cut monitoring. By analyzing historical production data alongside real-time sensor inputs, AI-enabled monitors can predict water breakthrough, optimize separation schedules, and alert operators to abnormal trends before they impact production. This predictive capability reduces downtime, mitigates corrosion risks, and enhances overall operational efficiency.</w:t>
      </w:r>
    </w:p>
    <w:p w14:paraId="608E6EC6"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Portable and Compact Solutions</w:t>
      </w:r>
      <w:r w:rsidRPr="00AB1496">
        <w:rPr>
          <w:rFonts w:ascii="Times New Roman" w:eastAsia="Times New Roman" w:hAnsi="Times New Roman" w:cs="Times New Roman"/>
          <w:sz w:val="24"/>
          <w:szCs w:val="24"/>
          <w:lang w:eastAsia="en-IN"/>
        </w:rPr>
        <w:br/>
        <w:t>Portable water cut monitors are expanding access in remote or smaller-scale operations. These handheld devices allow field engineers to perform quick diagnostic checks without relying on permanent installations. Emerging markets, particularly in Africa and Latin America, are adopting these solutions to improve field diagnostics and production monitoring in areas with limited infrastructure.</w:t>
      </w:r>
    </w:p>
    <w:p w14:paraId="533C8FB3"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Collaborations and Strategic Partnerships</w:t>
      </w:r>
      <w:r w:rsidRPr="00AB1496">
        <w:rPr>
          <w:rFonts w:ascii="Times New Roman" w:eastAsia="Times New Roman" w:hAnsi="Times New Roman" w:cs="Times New Roman"/>
          <w:sz w:val="24"/>
          <w:szCs w:val="24"/>
          <w:lang w:eastAsia="en-IN"/>
        </w:rPr>
        <w:br/>
        <w:t>OEMs and technology providers are increasingly collaborating to deliver integrated solutions. Partnerships between oilfield service companies and sensor manufacturers are enabling customized monitoring packages that combine hardware, software, and data analytics. Some collaborations are also focused on low-cost, scalable solutions for emerging markets, ensuring wider adoption without compromising measurement accuracy.</w:t>
      </w:r>
    </w:p>
    <w:p w14:paraId="5561A3D6"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Environmental Compliance and Sustainability</w:t>
      </w:r>
      <w:r w:rsidRPr="00AB1496">
        <w:rPr>
          <w:rFonts w:ascii="Times New Roman" w:eastAsia="Times New Roman" w:hAnsi="Times New Roman" w:cs="Times New Roman"/>
          <w:sz w:val="24"/>
          <w:szCs w:val="24"/>
          <w:lang w:eastAsia="en-IN"/>
        </w:rPr>
        <w:br/>
        <w:t xml:space="preserve">Water cut monitors are increasingly linked to environmental management systems. Accurate water monitoring reduces the volume of water sent to disposal or treatment facilities, </w:t>
      </w:r>
      <w:r w:rsidRPr="00AB1496">
        <w:rPr>
          <w:rFonts w:ascii="Times New Roman" w:eastAsia="Times New Roman" w:hAnsi="Times New Roman" w:cs="Times New Roman"/>
          <w:sz w:val="24"/>
          <w:szCs w:val="24"/>
          <w:lang w:eastAsia="en-IN"/>
        </w:rPr>
        <w:lastRenderedPageBreak/>
        <w:t>lowering operational costs and environmental impact. Regulatory pressures are encouraging the adoption of devices that not only measure water content but also provide actionable insights to minimize waste and emissions.</w:t>
      </w:r>
    </w:p>
    <w:p w14:paraId="1DD73278"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In summary, the market is moving toward smarter, more connected, and predictive water cut monitoring systems. According to industry experts, the next wave of innovation will focus on enhanced sensor accuracy, AI-driven operational insights, and solutions tailored for remote and offshore operations. The integration of advanced analytics with reliable hardware is redefining how water cut monitoring contributes to production efficiency, cost savings, and regulatory compliance in the oil and gas sector.</w:t>
      </w:r>
    </w:p>
    <w:p w14:paraId="7DE8EF31" w14:textId="77777777" w:rsidR="00AB1496" w:rsidRPr="00AB1496" w:rsidRDefault="00AB1496" w:rsidP="00AB1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496">
        <w:rPr>
          <w:rFonts w:ascii="Times New Roman" w:eastAsia="Times New Roman" w:hAnsi="Times New Roman" w:cs="Times New Roman"/>
          <w:b/>
          <w:bCs/>
          <w:kern w:val="36"/>
          <w:sz w:val="48"/>
          <w:szCs w:val="48"/>
          <w:lang w:eastAsia="en-IN"/>
        </w:rPr>
        <w:t>4. Competitive Intelligence and Benchmarking</w:t>
      </w:r>
    </w:p>
    <w:p w14:paraId="6C2D2AA0"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The Water Cut Monitors Market features a mix of global technology leaders and specialized niche players. Companies are competing not just on device accuracy and reliability but increasingly on digital integration, predictive analytics, and service offerings. The market is moderately consolidated, with several dominant players driving innovation and shaping industry standards.</w:t>
      </w:r>
    </w:p>
    <w:p w14:paraId="1BC937D6"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Schlumberger</w:t>
      </w:r>
      <w:r w:rsidRPr="00AB1496">
        <w:rPr>
          <w:rFonts w:ascii="Times New Roman" w:eastAsia="Times New Roman" w:hAnsi="Times New Roman" w:cs="Times New Roman"/>
          <w:sz w:val="24"/>
          <w:szCs w:val="24"/>
          <w:lang w:eastAsia="en-IN"/>
        </w:rPr>
        <w:br/>
        <w:t>Schlumberger leverages its strong upstream presence and service network to integrate water cut monitoring with broader production optimization solutions. Their devices are often combined with multiphase flow meters and digital oilfield platforms, allowing clients to access real-time data and predictive insights. The company’s strategy emphasizes technological innovation and global reach, particularly in offshore and high-pressure environments.</w:t>
      </w:r>
    </w:p>
    <w:p w14:paraId="116FBC06"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Halliburton</w:t>
      </w:r>
      <w:r w:rsidRPr="00AB1496">
        <w:rPr>
          <w:rFonts w:ascii="Times New Roman" w:eastAsia="Times New Roman" w:hAnsi="Times New Roman" w:cs="Times New Roman"/>
          <w:sz w:val="24"/>
          <w:szCs w:val="24"/>
          <w:lang w:eastAsia="en-IN"/>
        </w:rPr>
        <w:br/>
        <w:t>Halliburton focuses on providing customizable water cut monitoring solutions as part of its production services portfolio. Their offerings include both online and portable monitors, with a strong emphasis on integration with SCADA systems and remote monitoring platforms. Halliburton targets both mature and emerging markets, leveraging its service contracts to embed monitoring solutions in ongoing operations.</w:t>
      </w:r>
    </w:p>
    <w:p w14:paraId="068CFD43"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Emerson Electric</w:t>
      </w:r>
      <w:r w:rsidRPr="00AB1496">
        <w:rPr>
          <w:rFonts w:ascii="Times New Roman" w:eastAsia="Times New Roman" w:hAnsi="Times New Roman" w:cs="Times New Roman"/>
          <w:sz w:val="24"/>
          <w:szCs w:val="24"/>
          <w:lang w:eastAsia="en-IN"/>
        </w:rPr>
        <w:br/>
        <w:t>Emerson’s approach centers on sensor accuracy, digital connectivity, and automation. Their water cut monitors are often paired with advanced analytics software, enabling predictive maintenance and early detection of water breakthrough. Emerson’s global footprint, combined with robust customer support, positions it as a preferred partner for industrial automation projects in the oil and gas sector.</w:t>
      </w:r>
    </w:p>
    <w:p w14:paraId="69DCA6F7"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Yokogawa Electric Corporation</w:t>
      </w:r>
      <w:r w:rsidRPr="00AB1496">
        <w:rPr>
          <w:rFonts w:ascii="Times New Roman" w:eastAsia="Times New Roman" w:hAnsi="Times New Roman" w:cs="Times New Roman"/>
          <w:sz w:val="24"/>
          <w:szCs w:val="24"/>
          <w:lang w:eastAsia="en-IN"/>
        </w:rPr>
        <w:br/>
        <w:t>Yokogawa emphasizes reliability and precision in its monitoring systems. Their water cut monitors are widely used in midstream pipeline monitoring and refinery applications. The company focuses on seamless integration with control systems, data logging, and remote diagnostic capabilities, which are increasingly valued in offshore and distributed operations.</w:t>
      </w:r>
    </w:p>
    <w:p w14:paraId="50FE3157"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lastRenderedPageBreak/>
        <w:t>Roxar (part of Emerson)</w:t>
      </w:r>
      <w:r w:rsidRPr="00AB1496">
        <w:rPr>
          <w:rFonts w:ascii="Times New Roman" w:eastAsia="Times New Roman" w:hAnsi="Times New Roman" w:cs="Times New Roman"/>
          <w:sz w:val="24"/>
          <w:szCs w:val="24"/>
          <w:lang w:eastAsia="en-IN"/>
        </w:rPr>
        <w:br/>
        <w:t>Roxar’s water cut solutions are renowned for multiphase flow measurement integration and adaptability in complex reservoir conditions. By combining measurement hardware with advanced software analytics, Roxar delivers actionable insights to optimize separation and enhance production efficiency. Their systems are particularly relevant for high-volume offshore fields where operational precision is critical.</w:t>
      </w:r>
    </w:p>
    <w:p w14:paraId="42B7A7C1"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Endress+Hauser</w:t>
      </w:r>
      <w:r w:rsidRPr="00AB1496">
        <w:rPr>
          <w:rFonts w:ascii="Times New Roman" w:eastAsia="Times New Roman" w:hAnsi="Times New Roman" w:cs="Times New Roman"/>
          <w:sz w:val="24"/>
          <w:szCs w:val="24"/>
          <w:lang w:eastAsia="en-IN"/>
        </w:rPr>
        <w:br/>
        <w:t>Endress+Hauser targets a broad spectrum of oilfield and industrial customers. Their water cut monitors emphasize ease of installation, maintenance, and long-term operational stability. They provide both online and offline solutions, catering to small-scale production, midstream, and refinery applications, with growing adoption in emerging regions.</w:t>
      </w:r>
    </w:p>
    <w:p w14:paraId="1AAB6617"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Competitive Dynamics Overview</w:t>
      </w:r>
      <w:r w:rsidRPr="00AB1496">
        <w:rPr>
          <w:rFonts w:ascii="Times New Roman" w:eastAsia="Times New Roman" w:hAnsi="Times New Roman" w:cs="Times New Roman"/>
          <w:sz w:val="24"/>
          <w:szCs w:val="24"/>
          <w:lang w:eastAsia="en-IN"/>
        </w:rPr>
        <w:br/>
        <w:t>Global leaders such as Schlumberger and Emerson dominate in high-end installations, leveraging integrated solutions and digital analytics. Halliburton and Roxar carve out strong positions through service-led offerings and multiphase monitoring capabilities. Endress+Hauser focuses on affordability, reliability, and accessibility, capturing mid-market and emerging market demand. Across the board, partnerships, digital integration, and AI-enabled predictive analytics are emerging as differentiators.</w:t>
      </w:r>
    </w:p>
    <w:p w14:paraId="3C784511"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In essence, the competitive landscape is shifting from traditional hardware-centric offerings to solution-oriented, data-driven platforms. Companies that combine measurement accuracy, digital connectivity, and predictive analytics are best positioned to lead the water cut monitors market through 2030.</w:t>
      </w:r>
    </w:p>
    <w:p w14:paraId="61773C05" w14:textId="77777777" w:rsidR="00AB1496" w:rsidRPr="00AB1496" w:rsidRDefault="00AB1496" w:rsidP="00AB1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496">
        <w:rPr>
          <w:rFonts w:ascii="Times New Roman" w:eastAsia="Times New Roman" w:hAnsi="Times New Roman" w:cs="Times New Roman"/>
          <w:b/>
          <w:bCs/>
          <w:kern w:val="36"/>
          <w:sz w:val="48"/>
          <w:szCs w:val="48"/>
          <w:lang w:eastAsia="en-IN"/>
        </w:rPr>
        <w:t>5. Regional Landscape and Adoption Outlook</w:t>
      </w:r>
    </w:p>
    <w:p w14:paraId="364685BA"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The adoption of water cut monitors varies widely across regions, influenced by factors such as oilfield maturity, production volumes, technological readiness, and regulatory frameworks. Understanding these dynamics is critical for stakeholders aiming to prioritize investments and tailor solutions to local operational challenges.</w:t>
      </w:r>
    </w:p>
    <w:p w14:paraId="4A84F85A"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North America</w:t>
      </w:r>
      <w:r w:rsidRPr="00AB1496">
        <w:rPr>
          <w:rFonts w:ascii="Times New Roman" w:eastAsia="Times New Roman" w:hAnsi="Times New Roman" w:cs="Times New Roman"/>
          <w:sz w:val="24"/>
          <w:szCs w:val="24"/>
          <w:lang w:eastAsia="en-IN"/>
        </w:rPr>
        <w:br/>
        <w:t>North America is a mature market and continues to lead in both adoption and technological sophistication. The United States and Canada have extensive upstream infrastructure, including conventional and unconventional oilfields, where water cut monitoring is essential for enhanced oil recovery (EOR) projects and optimized production. Operators are increasingly integrating monitors with digital oilfield platforms, predictive analytics, and remote monitoring systems. Regulatory emphasis on environmental compliance, particularly regarding produced water management, further drives adoption. Offshore operations in the Gulf of Mexico are particularly reliant on online water cut monitors due to complex reservoir conditions and the high cost of downtime.</w:t>
      </w:r>
    </w:p>
    <w:p w14:paraId="6A386EFB"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Europe</w:t>
      </w:r>
      <w:r w:rsidRPr="00AB1496">
        <w:rPr>
          <w:rFonts w:ascii="Times New Roman" w:eastAsia="Times New Roman" w:hAnsi="Times New Roman" w:cs="Times New Roman"/>
          <w:sz w:val="24"/>
          <w:szCs w:val="24"/>
          <w:lang w:eastAsia="en-IN"/>
        </w:rPr>
        <w:br/>
        <w:t xml:space="preserve">Europe exhibits steady growth in water cut monitoring, with the North Sea oilfields in the UK and Norway serving as focal points for adoption. Stringent environmental and safety </w:t>
      </w:r>
      <w:r w:rsidRPr="00AB1496">
        <w:rPr>
          <w:rFonts w:ascii="Times New Roman" w:eastAsia="Times New Roman" w:hAnsi="Times New Roman" w:cs="Times New Roman"/>
          <w:sz w:val="24"/>
          <w:szCs w:val="24"/>
          <w:lang w:eastAsia="en-IN"/>
        </w:rPr>
        <w:lastRenderedPageBreak/>
        <w:t>regulations compel operators to implement accurate water monitoring to prevent pipeline corrosion and ensure efficient water disposal. European operators prioritize system reliability, integration with SCADA and distributed control systems, and data logging for compliance and operational optimization. Emerging projects in Eastern Europe, though smaller in scale, are beginning to adopt online monitoring systems, particularly in onshore oilfields with aging infrastructure.</w:t>
      </w:r>
    </w:p>
    <w:p w14:paraId="12068EAB"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Asia Pacific</w:t>
      </w:r>
      <w:r w:rsidRPr="00AB1496">
        <w:rPr>
          <w:rFonts w:ascii="Times New Roman" w:eastAsia="Times New Roman" w:hAnsi="Times New Roman" w:cs="Times New Roman"/>
          <w:sz w:val="24"/>
          <w:szCs w:val="24"/>
          <w:lang w:eastAsia="en-IN"/>
        </w:rPr>
        <w:br/>
        <w:t>Asia Pacific represents the fastest-growing regional market for water cut monitors. Countries such as China, India, Malaysia, and Indonesia are expanding upstream production and investing heavily in offshore and onshore exploration projects. Rising energy demand, coupled with an emphasis on operational efficiency, is driving the deployment of real-time, online water cut monitoring solutions. Large private and state-owned oil companies are adopting digital oilfield solutions, integrating water cut monitors with IoT platforms and analytics tools to improve separation efficiency and reduce operational costs. Growth is also fueled by government-backed initiatives to modernize energy infrastructure and enhance environmental compliance.</w:t>
      </w:r>
    </w:p>
    <w:p w14:paraId="209BF6C9"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LAMEA (Latin America, Middle East, and Africa)</w:t>
      </w:r>
      <w:r w:rsidRPr="00AB1496">
        <w:rPr>
          <w:rFonts w:ascii="Times New Roman" w:eastAsia="Times New Roman" w:hAnsi="Times New Roman" w:cs="Times New Roman"/>
          <w:sz w:val="24"/>
          <w:szCs w:val="24"/>
          <w:lang w:eastAsia="en-IN"/>
        </w:rPr>
        <w:br/>
        <w:t>The LAMEA region is characterized by emerging opportunities and varying adoption levels. In Latin America, Brazil and Mexico lead due to offshore deepwater developments and government-driven production optimization initiatives. Accurate water cut monitoring is critical to maintaining reservoir efficiency and pipeline integrity. The Middle East, particularly in Saudi Arabia and the UAE, is witnessing rising adoption driven by enhanced oil recovery and large-scale offshore projects. Africa remains a frontier market, with adoption concentrated in South Africa and select North African oilfields. Investments from multinational operators, coupled with partnerships with technology providers, are gradually expanding monitoring infrastructure across the region.</w:t>
      </w:r>
    </w:p>
    <w:p w14:paraId="1A574D7F"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Regional Dynamics Summary</w:t>
      </w:r>
      <w:r w:rsidRPr="00AB1496">
        <w:rPr>
          <w:rFonts w:ascii="Times New Roman" w:eastAsia="Times New Roman" w:hAnsi="Times New Roman" w:cs="Times New Roman"/>
          <w:sz w:val="24"/>
          <w:szCs w:val="24"/>
          <w:lang w:eastAsia="en-IN"/>
        </w:rPr>
        <w:br/>
        <w:t>North America and Europe continue to set technological benchmarks, particularly for offshore and high-volume fields. Asia Pacific offers high-volume growth potential driven by expanding upstream operations. LAMEA is a market of emerging opportunities, where offshore projects and regulatory pressures are key adoption drivers. Across all regions, the success of water cut monitors depends not only on sensor technology but also on integration with digital platforms, predictive analytics, and operational workflows.</w:t>
      </w:r>
    </w:p>
    <w:p w14:paraId="2244B7C3"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Overall, the regional landscape indicates a convergence toward smart, real-time water cut monitoring solutions, with adoption patterns influenced by production complexity, regulatory frameworks, and investment in digital oilfield technologies.</w:t>
      </w:r>
    </w:p>
    <w:p w14:paraId="01A1DA76" w14:textId="77777777" w:rsidR="00AB1496" w:rsidRPr="00AB1496" w:rsidRDefault="00AB1496" w:rsidP="00AB1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496">
        <w:rPr>
          <w:rFonts w:ascii="Times New Roman" w:eastAsia="Times New Roman" w:hAnsi="Times New Roman" w:cs="Times New Roman"/>
          <w:b/>
          <w:bCs/>
          <w:kern w:val="36"/>
          <w:sz w:val="48"/>
          <w:szCs w:val="48"/>
          <w:lang w:eastAsia="en-IN"/>
        </w:rPr>
        <w:t>6. End-User Dynamics and Use Case</w:t>
      </w:r>
    </w:p>
    <w:p w14:paraId="39469B89"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The Water Cut Monitors Market caters to a diverse set of end users across the oil and gas industry, each with distinct operational needs, priorities, and deployment environments. Understanding these dynamics is critical to identifying adoption patterns and the strategic value of monitoring solutions.</w:t>
      </w:r>
    </w:p>
    <w:p w14:paraId="64C9B939"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lastRenderedPageBreak/>
        <w:t>Oilfield Operators</w:t>
      </w:r>
      <w:r w:rsidRPr="00AB1496">
        <w:rPr>
          <w:rFonts w:ascii="Times New Roman" w:eastAsia="Times New Roman" w:hAnsi="Times New Roman" w:cs="Times New Roman"/>
          <w:sz w:val="24"/>
          <w:szCs w:val="24"/>
          <w:lang w:eastAsia="en-IN"/>
        </w:rPr>
        <w:br/>
        <w:t>Oilfield operators are the largest consumers of water cut monitors. They require real-time, accurate measurement to optimize separation processes, enhance reservoir management, and minimize equipment wear due to corrosion. Online water cut monitors integrated with digital oilfield platforms are increasingly preferred, as they allow operators to adjust separation and production processes in real time. This segment prioritizes reliability, precision, and ease of integration into existing production control systems.</w:t>
      </w:r>
    </w:p>
    <w:p w14:paraId="29D3BEF0"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Integrated Oil and Gas Companies</w:t>
      </w:r>
      <w:r w:rsidRPr="00AB1496">
        <w:rPr>
          <w:rFonts w:ascii="Times New Roman" w:eastAsia="Times New Roman" w:hAnsi="Times New Roman" w:cs="Times New Roman"/>
          <w:sz w:val="24"/>
          <w:szCs w:val="24"/>
          <w:lang w:eastAsia="en-IN"/>
        </w:rPr>
        <w:br/>
        <w:t>Major integrated oil and gas companies adopt water cut monitors as part of broader operational efficiency and sustainability strategies. These companies focus on combining monitoring hardware with predictive analytics and IoT-based platforms to reduce downtime, manage produced water efficiently, and comply with environmental regulations. End users in this category often deploy both online and offline monitors across upstream and midstream operations.</w:t>
      </w:r>
    </w:p>
    <w:p w14:paraId="3B50C100"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Service Companies and Engineering Firms</w:t>
      </w:r>
      <w:r w:rsidRPr="00AB1496">
        <w:rPr>
          <w:rFonts w:ascii="Times New Roman" w:eastAsia="Times New Roman" w:hAnsi="Times New Roman" w:cs="Times New Roman"/>
          <w:sz w:val="24"/>
          <w:szCs w:val="24"/>
          <w:lang w:eastAsia="en-IN"/>
        </w:rPr>
        <w:br/>
        <w:t>Service providers and engineering companies purchase water cut monitors to support client operations, particularly in complex reservoir or offshore environments. Their priority is on portable, adaptable, and easy-to-deploy devices that can be integrated into a range of production systems. These end users also rely heavily on post-installation technical support and software integration for data analysis and reporting.</w:t>
      </w:r>
    </w:p>
    <w:p w14:paraId="2408DF3D"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Research and Testing Laboratories</w:t>
      </w:r>
      <w:r w:rsidRPr="00AB1496">
        <w:rPr>
          <w:rFonts w:ascii="Times New Roman" w:eastAsia="Times New Roman" w:hAnsi="Times New Roman" w:cs="Times New Roman"/>
          <w:sz w:val="24"/>
          <w:szCs w:val="24"/>
          <w:lang w:eastAsia="en-IN"/>
        </w:rPr>
        <w:br/>
        <w:t>Laboratories are smaller-volume users of water cut monitors, mainly relying on offline or portable devices. These units are used for diagnostic analysis, equipment calibration, and periodic validation of production streams. Laboratories focus on precision, repeatability, and compatibility with multiphase flow testing systems.</w:t>
      </w:r>
    </w:p>
    <w:p w14:paraId="0368F085"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Use Case Highlight</w:t>
      </w:r>
      <w:r w:rsidRPr="00AB1496">
        <w:rPr>
          <w:rFonts w:ascii="Times New Roman" w:eastAsia="Times New Roman" w:hAnsi="Times New Roman" w:cs="Times New Roman"/>
          <w:sz w:val="24"/>
          <w:szCs w:val="24"/>
          <w:lang w:eastAsia="en-IN"/>
        </w:rPr>
        <w:br/>
        <w:t>A large offshore oilfield in Brazil faced challenges with water breakthrough affecting separation efficiency and pipeline integrity. The operator installed online microwave-based water cut monitors at multiple critical points along the production line. These devices were integrated with a cloud-based monitoring platform, enabling real-time data access and predictive analytics for early water detection. Within three months, the operator reduced unplanned downtime by 25%, improved separation efficiency by 18%, and minimized produced water disposal costs. The monitoring system also helped anticipate maintenance needs, preventing corrosion-related failures and extending equipment life.</w:t>
      </w:r>
    </w:p>
    <w:p w14:paraId="6BDFCB1F"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sz w:val="24"/>
          <w:szCs w:val="24"/>
          <w:lang w:eastAsia="en-IN"/>
        </w:rPr>
        <w:t>This scenario highlights the operational value of water cut monitors: they are not just measurement tools but critical components of production optimization, cost reduction, and regulatory compliance. End users across the upstream, midstream, and service segments increasingly view these monitors as integral to their digital oilfield and operational excellence strategies.</w:t>
      </w:r>
    </w:p>
    <w:p w14:paraId="1C06248C" w14:textId="77777777" w:rsidR="00AB1496" w:rsidRPr="00AB1496" w:rsidRDefault="00AB1496" w:rsidP="00AB1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1496">
        <w:rPr>
          <w:rFonts w:ascii="Times New Roman" w:eastAsia="Times New Roman" w:hAnsi="Times New Roman" w:cs="Times New Roman"/>
          <w:b/>
          <w:bCs/>
          <w:kern w:val="36"/>
          <w:sz w:val="48"/>
          <w:szCs w:val="48"/>
          <w:lang w:eastAsia="en-IN"/>
        </w:rPr>
        <w:t>7. Recent Developments + Opportunities &amp; Restraints</w:t>
      </w:r>
    </w:p>
    <w:p w14:paraId="32B4D0F3"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lastRenderedPageBreak/>
        <w:t>Recent Developments (Last 2 Years)</w:t>
      </w:r>
    </w:p>
    <w:p w14:paraId="5DC0B5B2" w14:textId="7ED42670" w:rsidR="00AB1496" w:rsidRPr="00AB1496" w:rsidRDefault="00AB1496" w:rsidP="00AB14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Schlumberger launched a next-generation online water cut monitoring system</w:t>
      </w:r>
      <w:r w:rsidRPr="00AB1496">
        <w:rPr>
          <w:rFonts w:ascii="Times New Roman" w:eastAsia="Times New Roman" w:hAnsi="Times New Roman" w:cs="Times New Roman"/>
          <w:sz w:val="24"/>
          <w:szCs w:val="24"/>
          <w:lang w:eastAsia="en-IN"/>
        </w:rPr>
        <w:t xml:space="preserve"> in 2024 with enhanced multiphase flow measurement and cloud-based analytics, improving real-time separation efficiency. </w:t>
      </w:r>
    </w:p>
    <w:p w14:paraId="45074914" w14:textId="1F0430E3" w:rsidR="00AB1496" w:rsidRPr="00AB1496" w:rsidRDefault="00AB1496" w:rsidP="00AB14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Halliburton introduced portable water cut monitors</w:t>
      </w:r>
      <w:r w:rsidRPr="00AB1496">
        <w:rPr>
          <w:rFonts w:ascii="Times New Roman" w:eastAsia="Times New Roman" w:hAnsi="Times New Roman" w:cs="Times New Roman"/>
          <w:sz w:val="24"/>
          <w:szCs w:val="24"/>
          <w:lang w:eastAsia="en-IN"/>
        </w:rPr>
        <w:t xml:space="preserve"> in 2023 designed for rapid field diagnostics in offshore and onshore oilfields, targeting emerging markets with smaller infrastructure. </w:t>
      </w:r>
    </w:p>
    <w:p w14:paraId="438B4ED2" w14:textId="43ABA312" w:rsidR="00AB1496" w:rsidRPr="00AB1496" w:rsidRDefault="00AB1496" w:rsidP="00AB14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Emerson Electric expanded its digital water cut monitoring suite</w:t>
      </w:r>
      <w:r w:rsidRPr="00AB1496">
        <w:rPr>
          <w:rFonts w:ascii="Times New Roman" w:eastAsia="Times New Roman" w:hAnsi="Times New Roman" w:cs="Times New Roman"/>
          <w:sz w:val="24"/>
          <w:szCs w:val="24"/>
          <w:lang w:eastAsia="en-IN"/>
        </w:rPr>
        <w:t xml:space="preserve"> in 2024, integrating AI-driven predictive maintenance features and remote monitoring capabilities. </w:t>
      </w:r>
    </w:p>
    <w:p w14:paraId="525B9DDD" w14:textId="44852A11" w:rsidR="00AB1496" w:rsidRPr="00AB1496" w:rsidRDefault="00AB1496" w:rsidP="00AB14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Yokogawa partnered with a major Middle East operator</w:t>
      </w:r>
      <w:r w:rsidRPr="00AB1496">
        <w:rPr>
          <w:rFonts w:ascii="Times New Roman" w:eastAsia="Times New Roman" w:hAnsi="Times New Roman" w:cs="Times New Roman"/>
          <w:sz w:val="24"/>
          <w:szCs w:val="24"/>
          <w:lang w:eastAsia="en-IN"/>
        </w:rPr>
        <w:t xml:space="preserve"> in 2023 to deploy advanced online monitors for offshore pipelines, focusing on corrosion prevention and process optimization. </w:t>
      </w:r>
    </w:p>
    <w:p w14:paraId="1FC3FD61" w14:textId="466C51A6" w:rsidR="00AB1496" w:rsidRPr="00AB1496" w:rsidRDefault="00AB1496" w:rsidP="00AB14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Endress+Hauser rolled out low-cost, compact water cut monitors</w:t>
      </w:r>
      <w:r w:rsidRPr="00AB1496">
        <w:rPr>
          <w:rFonts w:ascii="Times New Roman" w:eastAsia="Times New Roman" w:hAnsi="Times New Roman" w:cs="Times New Roman"/>
          <w:sz w:val="24"/>
          <w:szCs w:val="24"/>
          <w:lang w:eastAsia="en-IN"/>
        </w:rPr>
        <w:t xml:space="preserve"> for small to mid-sized operators in 2024, aimed at improving adoption in underdeveloped and remote regions. </w:t>
      </w:r>
    </w:p>
    <w:p w14:paraId="3CDC40C3"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Opportunities</w:t>
      </w:r>
    </w:p>
    <w:p w14:paraId="68AD6077" w14:textId="77777777" w:rsidR="00AB1496" w:rsidRPr="00AB1496" w:rsidRDefault="00AB1496" w:rsidP="00AB14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Emerging Markets Expansion:</w:t>
      </w:r>
      <w:r w:rsidRPr="00AB1496">
        <w:rPr>
          <w:rFonts w:ascii="Times New Roman" w:eastAsia="Times New Roman" w:hAnsi="Times New Roman" w:cs="Times New Roman"/>
          <w:sz w:val="24"/>
          <w:szCs w:val="24"/>
          <w:lang w:eastAsia="en-IN"/>
        </w:rPr>
        <w:t xml:space="preserve"> Growth potential in Africa, Latin America, and Southeast Asia as upstream and offshore production activities increase.</w:t>
      </w:r>
    </w:p>
    <w:p w14:paraId="5E5A9716" w14:textId="77777777" w:rsidR="00AB1496" w:rsidRPr="00AB1496" w:rsidRDefault="00AB1496" w:rsidP="00AB14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AI and Predictive Analytics Integration:</w:t>
      </w:r>
      <w:r w:rsidRPr="00AB1496">
        <w:rPr>
          <w:rFonts w:ascii="Times New Roman" w:eastAsia="Times New Roman" w:hAnsi="Times New Roman" w:cs="Times New Roman"/>
          <w:sz w:val="24"/>
          <w:szCs w:val="24"/>
          <w:lang w:eastAsia="en-IN"/>
        </w:rPr>
        <w:t xml:space="preserve"> Enhancing operational efficiency, reducing downtime, and supporting digital oilfield initiatives.</w:t>
      </w:r>
    </w:p>
    <w:p w14:paraId="5463095F" w14:textId="77777777" w:rsidR="00AB1496" w:rsidRPr="00AB1496" w:rsidRDefault="00AB1496" w:rsidP="00AB14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Cost-Saving and Operational Efficiency Solutions:</w:t>
      </w:r>
      <w:r w:rsidRPr="00AB1496">
        <w:rPr>
          <w:rFonts w:ascii="Times New Roman" w:eastAsia="Times New Roman" w:hAnsi="Times New Roman" w:cs="Times New Roman"/>
          <w:sz w:val="24"/>
          <w:szCs w:val="24"/>
          <w:lang w:eastAsia="en-IN"/>
        </w:rPr>
        <w:t xml:space="preserve"> Water cut monitors enabling optimized separation, reduced produced water disposal, and extended equipment life.</w:t>
      </w:r>
    </w:p>
    <w:p w14:paraId="766B6E4E" w14:textId="77777777" w:rsidR="00AB1496" w:rsidRPr="00AB1496" w:rsidRDefault="00AB1496" w:rsidP="00AB1496">
      <w:p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Restraints</w:t>
      </w:r>
    </w:p>
    <w:p w14:paraId="12739CA7" w14:textId="77777777" w:rsidR="00AB1496" w:rsidRPr="00AB1496" w:rsidRDefault="00AB1496" w:rsidP="00AB14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High Capital Costs:</w:t>
      </w:r>
      <w:r w:rsidRPr="00AB1496">
        <w:rPr>
          <w:rFonts w:ascii="Times New Roman" w:eastAsia="Times New Roman" w:hAnsi="Times New Roman" w:cs="Times New Roman"/>
          <w:sz w:val="24"/>
          <w:szCs w:val="24"/>
          <w:lang w:eastAsia="en-IN"/>
        </w:rPr>
        <w:t xml:space="preserve"> Advanced online monitors with integrated analytics require significant upfront investment, limiting adoption among smaller operators.</w:t>
      </w:r>
    </w:p>
    <w:p w14:paraId="784D5EF3" w14:textId="77777777" w:rsidR="00AB1496" w:rsidRPr="00AB1496" w:rsidRDefault="00AB1496" w:rsidP="00AB14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1496">
        <w:rPr>
          <w:rFonts w:ascii="Times New Roman" w:eastAsia="Times New Roman" w:hAnsi="Times New Roman" w:cs="Times New Roman"/>
          <w:b/>
          <w:bCs/>
          <w:sz w:val="24"/>
          <w:szCs w:val="24"/>
          <w:lang w:eastAsia="en-IN"/>
        </w:rPr>
        <w:t>Skilled Workforce Gap:</w:t>
      </w:r>
      <w:r w:rsidRPr="00AB1496">
        <w:rPr>
          <w:rFonts w:ascii="Times New Roman" w:eastAsia="Times New Roman" w:hAnsi="Times New Roman" w:cs="Times New Roman"/>
          <w:sz w:val="24"/>
          <w:szCs w:val="24"/>
          <w:lang w:eastAsia="en-IN"/>
        </w:rPr>
        <w:t xml:space="preserve"> Efficient use of advanced monitoring systems requires trained engineers and technicians, which can be scarce in emerging markets.</w:t>
      </w:r>
    </w:p>
    <w:p w14:paraId="1F1EE24E" w14:textId="77777777" w:rsidR="00691D1A" w:rsidRDefault="00691D1A" w:rsidP="00691D1A">
      <w:pPr>
        <w:pStyle w:val="Heading1"/>
        <w:rPr>
          <w:rFonts w:ascii="Times New Roman" w:eastAsia="Times New Roman" w:hAnsi="Times New Roman" w:cs="Times New Roman"/>
          <w:b/>
          <w:bCs/>
          <w:color w:val="auto"/>
          <w:kern w:val="36"/>
          <w:sz w:val="48"/>
          <w:szCs w:val="48"/>
          <w:lang w:eastAsia="en-IN"/>
        </w:rPr>
      </w:pPr>
      <w:r>
        <w:br/>
      </w:r>
      <w:r>
        <w:br/>
      </w:r>
    </w:p>
    <w:p w14:paraId="6CBF1BA1" w14:textId="77777777" w:rsidR="00691D1A" w:rsidRDefault="00691D1A">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634411FF" w14:textId="7EDC83F4" w:rsidR="00691D1A" w:rsidRPr="00691D1A" w:rsidRDefault="00691D1A" w:rsidP="00691D1A">
      <w:pPr>
        <w:pStyle w:val="Heading1"/>
        <w:rPr>
          <w:rFonts w:ascii="Times New Roman" w:eastAsia="Times New Roman" w:hAnsi="Times New Roman" w:cs="Times New Roman"/>
          <w:b/>
          <w:bCs/>
          <w:color w:val="auto"/>
          <w:kern w:val="36"/>
          <w:sz w:val="48"/>
          <w:szCs w:val="48"/>
          <w:lang w:eastAsia="en-IN"/>
        </w:rPr>
      </w:pPr>
      <w:r w:rsidRPr="00691D1A">
        <w:rPr>
          <w:rFonts w:ascii="Times New Roman" w:eastAsia="Times New Roman" w:hAnsi="Times New Roman" w:cs="Times New Roman"/>
          <w:b/>
          <w:bCs/>
          <w:color w:val="auto"/>
          <w:kern w:val="36"/>
          <w:sz w:val="48"/>
          <w:szCs w:val="48"/>
          <w:lang w:eastAsia="en-IN"/>
        </w:rPr>
        <w:lastRenderedPageBreak/>
        <w:t>7.1. Report Coverage Table</w:t>
      </w:r>
    </w:p>
    <w:tbl>
      <w:tblPr>
        <w:tblStyle w:val="PlainTable1"/>
        <w:tblW w:w="0" w:type="auto"/>
        <w:tblLook w:val="04A0" w:firstRow="1" w:lastRow="0" w:firstColumn="1" w:lastColumn="0" w:noHBand="0" w:noVBand="1"/>
      </w:tblPr>
      <w:tblGrid>
        <w:gridCol w:w="2557"/>
        <w:gridCol w:w="6459"/>
      </w:tblGrid>
      <w:tr w:rsidR="00691D1A" w:rsidRPr="00691D1A" w14:paraId="75DE8C49" w14:textId="77777777" w:rsidTr="00691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35C92" w14:textId="77777777" w:rsidR="00691D1A" w:rsidRPr="00691D1A" w:rsidRDefault="00691D1A" w:rsidP="00691D1A">
            <w:pPr>
              <w:jc w:val="cente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Report Attribute</w:t>
            </w:r>
          </w:p>
        </w:tc>
        <w:tc>
          <w:tcPr>
            <w:tcW w:w="0" w:type="auto"/>
            <w:hideMark/>
          </w:tcPr>
          <w:p w14:paraId="75B32D52" w14:textId="77777777" w:rsidR="00691D1A" w:rsidRPr="00691D1A" w:rsidRDefault="00691D1A" w:rsidP="00691D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Details</w:t>
            </w:r>
          </w:p>
        </w:tc>
      </w:tr>
      <w:tr w:rsidR="00691D1A" w:rsidRPr="00691D1A" w14:paraId="6AE6CD11" w14:textId="77777777" w:rsidTr="00691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8C321"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Forecast Period</w:t>
            </w:r>
          </w:p>
        </w:tc>
        <w:tc>
          <w:tcPr>
            <w:tcW w:w="0" w:type="auto"/>
            <w:hideMark/>
          </w:tcPr>
          <w:p w14:paraId="4C22B782" w14:textId="77777777" w:rsidR="00691D1A" w:rsidRPr="00691D1A" w:rsidRDefault="00691D1A" w:rsidP="00691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2024 – 2030</w:t>
            </w:r>
          </w:p>
        </w:tc>
      </w:tr>
      <w:tr w:rsidR="00691D1A" w:rsidRPr="00691D1A" w14:paraId="0558CB91" w14:textId="77777777" w:rsidTr="00691D1A">
        <w:tc>
          <w:tcPr>
            <w:cnfStyle w:val="001000000000" w:firstRow="0" w:lastRow="0" w:firstColumn="1" w:lastColumn="0" w:oddVBand="0" w:evenVBand="0" w:oddHBand="0" w:evenHBand="0" w:firstRowFirstColumn="0" w:firstRowLastColumn="0" w:lastRowFirstColumn="0" w:lastRowLastColumn="0"/>
            <w:tcW w:w="0" w:type="auto"/>
            <w:hideMark/>
          </w:tcPr>
          <w:p w14:paraId="3355F306"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Size Value in 2024</w:t>
            </w:r>
          </w:p>
        </w:tc>
        <w:tc>
          <w:tcPr>
            <w:tcW w:w="0" w:type="auto"/>
            <w:hideMark/>
          </w:tcPr>
          <w:p w14:paraId="0358EBC0" w14:textId="70034E32" w:rsidR="00691D1A" w:rsidRPr="00691D1A" w:rsidRDefault="00691D1A" w:rsidP="00691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450.0</w:t>
            </w:r>
            <w:r w:rsidRPr="00691D1A">
              <w:rPr>
                <w:rFonts w:ascii="Times New Roman" w:eastAsia="Times New Roman" w:hAnsi="Times New Roman" w:cs="Times New Roman"/>
                <w:sz w:val="24"/>
                <w:szCs w:val="24"/>
                <w:lang w:eastAsia="en-IN"/>
              </w:rPr>
              <w:t xml:space="preserve"> Million </w:t>
            </w:r>
          </w:p>
        </w:tc>
      </w:tr>
      <w:tr w:rsidR="00691D1A" w:rsidRPr="00691D1A" w14:paraId="1C43D278" w14:textId="77777777" w:rsidTr="00691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63099"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Revenue Forecast in 2030</w:t>
            </w:r>
          </w:p>
        </w:tc>
        <w:tc>
          <w:tcPr>
            <w:tcW w:w="0" w:type="auto"/>
            <w:hideMark/>
          </w:tcPr>
          <w:p w14:paraId="49033CE4" w14:textId="3890D80B" w:rsidR="00691D1A" w:rsidRPr="00691D1A" w:rsidRDefault="00691D1A" w:rsidP="00691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650.0</w:t>
            </w:r>
            <w:r w:rsidRPr="00691D1A">
              <w:rPr>
                <w:rFonts w:ascii="Times New Roman" w:eastAsia="Times New Roman" w:hAnsi="Times New Roman" w:cs="Times New Roman"/>
                <w:sz w:val="24"/>
                <w:szCs w:val="24"/>
                <w:lang w:eastAsia="en-IN"/>
              </w:rPr>
              <w:t xml:space="preserve"> Million </w:t>
            </w:r>
          </w:p>
        </w:tc>
      </w:tr>
      <w:tr w:rsidR="00691D1A" w:rsidRPr="00691D1A" w14:paraId="2E9E6BE2" w14:textId="77777777" w:rsidTr="00691D1A">
        <w:tc>
          <w:tcPr>
            <w:cnfStyle w:val="001000000000" w:firstRow="0" w:lastRow="0" w:firstColumn="1" w:lastColumn="0" w:oddVBand="0" w:evenVBand="0" w:oddHBand="0" w:evenHBand="0" w:firstRowFirstColumn="0" w:firstRowLastColumn="0" w:lastRowFirstColumn="0" w:lastRowLastColumn="0"/>
            <w:tcW w:w="0" w:type="auto"/>
            <w:hideMark/>
          </w:tcPr>
          <w:p w14:paraId="70EDFEB0"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Overall Growth Rate</w:t>
            </w:r>
          </w:p>
        </w:tc>
        <w:tc>
          <w:tcPr>
            <w:tcW w:w="0" w:type="auto"/>
            <w:hideMark/>
          </w:tcPr>
          <w:p w14:paraId="75508F82" w14:textId="77777777" w:rsidR="00691D1A" w:rsidRPr="00691D1A" w:rsidRDefault="00691D1A" w:rsidP="00691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CAGR of 6.5% (2024 – 2030)</w:t>
            </w:r>
          </w:p>
        </w:tc>
      </w:tr>
      <w:tr w:rsidR="00691D1A" w:rsidRPr="00691D1A" w14:paraId="305916BF" w14:textId="77777777" w:rsidTr="00691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D881C"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Base Year for Estimation</w:t>
            </w:r>
          </w:p>
        </w:tc>
        <w:tc>
          <w:tcPr>
            <w:tcW w:w="0" w:type="auto"/>
            <w:hideMark/>
          </w:tcPr>
          <w:p w14:paraId="4C7B46D4" w14:textId="77777777" w:rsidR="00691D1A" w:rsidRPr="00691D1A" w:rsidRDefault="00691D1A" w:rsidP="00691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2024</w:t>
            </w:r>
          </w:p>
        </w:tc>
      </w:tr>
      <w:tr w:rsidR="00691D1A" w:rsidRPr="00691D1A" w14:paraId="69CFEEA4" w14:textId="77777777" w:rsidTr="00691D1A">
        <w:tc>
          <w:tcPr>
            <w:cnfStyle w:val="001000000000" w:firstRow="0" w:lastRow="0" w:firstColumn="1" w:lastColumn="0" w:oddVBand="0" w:evenVBand="0" w:oddHBand="0" w:evenHBand="0" w:firstRowFirstColumn="0" w:firstRowLastColumn="0" w:lastRowFirstColumn="0" w:lastRowLastColumn="0"/>
            <w:tcW w:w="0" w:type="auto"/>
            <w:hideMark/>
          </w:tcPr>
          <w:p w14:paraId="64CA6E28"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Historical Data</w:t>
            </w:r>
          </w:p>
        </w:tc>
        <w:tc>
          <w:tcPr>
            <w:tcW w:w="0" w:type="auto"/>
            <w:hideMark/>
          </w:tcPr>
          <w:p w14:paraId="44F0ED64" w14:textId="77777777" w:rsidR="00691D1A" w:rsidRPr="00691D1A" w:rsidRDefault="00691D1A" w:rsidP="00691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2019 – 2023</w:t>
            </w:r>
          </w:p>
        </w:tc>
      </w:tr>
      <w:tr w:rsidR="00691D1A" w:rsidRPr="00691D1A" w14:paraId="67714E05" w14:textId="77777777" w:rsidTr="00691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2F732"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Unit</w:t>
            </w:r>
          </w:p>
        </w:tc>
        <w:tc>
          <w:tcPr>
            <w:tcW w:w="0" w:type="auto"/>
            <w:hideMark/>
          </w:tcPr>
          <w:p w14:paraId="31D22F67" w14:textId="77777777" w:rsidR="00691D1A" w:rsidRPr="00691D1A" w:rsidRDefault="00691D1A" w:rsidP="00691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USD Million, CAGR (2024 – 2030)</w:t>
            </w:r>
          </w:p>
        </w:tc>
      </w:tr>
      <w:tr w:rsidR="00691D1A" w:rsidRPr="00691D1A" w14:paraId="1B3A125E" w14:textId="77777777" w:rsidTr="00691D1A">
        <w:tc>
          <w:tcPr>
            <w:cnfStyle w:val="001000000000" w:firstRow="0" w:lastRow="0" w:firstColumn="1" w:lastColumn="0" w:oddVBand="0" w:evenVBand="0" w:oddHBand="0" w:evenHBand="0" w:firstRowFirstColumn="0" w:firstRowLastColumn="0" w:lastRowFirstColumn="0" w:lastRowLastColumn="0"/>
            <w:tcW w:w="0" w:type="auto"/>
            <w:hideMark/>
          </w:tcPr>
          <w:p w14:paraId="00CAFA39"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Segmentation</w:t>
            </w:r>
          </w:p>
        </w:tc>
        <w:tc>
          <w:tcPr>
            <w:tcW w:w="0" w:type="auto"/>
            <w:hideMark/>
          </w:tcPr>
          <w:p w14:paraId="05EE1F79" w14:textId="77777777" w:rsidR="00691D1A" w:rsidRPr="00691D1A" w:rsidRDefault="00691D1A" w:rsidP="00691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By Product Type, Application, End User, Geography</w:t>
            </w:r>
          </w:p>
        </w:tc>
      </w:tr>
      <w:tr w:rsidR="00691D1A" w:rsidRPr="00691D1A" w14:paraId="26119AF8" w14:textId="77777777" w:rsidTr="00691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F61F8"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By Product Type</w:t>
            </w:r>
          </w:p>
        </w:tc>
        <w:tc>
          <w:tcPr>
            <w:tcW w:w="0" w:type="auto"/>
            <w:hideMark/>
          </w:tcPr>
          <w:p w14:paraId="1DBE3C07" w14:textId="77777777" w:rsidR="00691D1A" w:rsidRPr="00691D1A" w:rsidRDefault="00691D1A" w:rsidP="00691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Online Monitors, Offline Monitors</w:t>
            </w:r>
          </w:p>
        </w:tc>
      </w:tr>
      <w:tr w:rsidR="00691D1A" w:rsidRPr="00691D1A" w14:paraId="40006026" w14:textId="77777777" w:rsidTr="00691D1A">
        <w:tc>
          <w:tcPr>
            <w:cnfStyle w:val="001000000000" w:firstRow="0" w:lastRow="0" w:firstColumn="1" w:lastColumn="0" w:oddVBand="0" w:evenVBand="0" w:oddHBand="0" w:evenHBand="0" w:firstRowFirstColumn="0" w:firstRowLastColumn="0" w:lastRowFirstColumn="0" w:lastRowLastColumn="0"/>
            <w:tcW w:w="0" w:type="auto"/>
            <w:hideMark/>
          </w:tcPr>
          <w:p w14:paraId="0C72E3B1"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By Application</w:t>
            </w:r>
          </w:p>
        </w:tc>
        <w:tc>
          <w:tcPr>
            <w:tcW w:w="0" w:type="auto"/>
            <w:hideMark/>
          </w:tcPr>
          <w:p w14:paraId="2E95B2FD" w14:textId="77777777" w:rsidR="00691D1A" w:rsidRPr="00691D1A" w:rsidRDefault="00691D1A" w:rsidP="00691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Upstream Production, Midstream Pipeline, Refinery Operations</w:t>
            </w:r>
          </w:p>
        </w:tc>
      </w:tr>
      <w:tr w:rsidR="00691D1A" w:rsidRPr="00691D1A" w14:paraId="4A93F37C" w14:textId="77777777" w:rsidTr="00691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577E4"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By End User</w:t>
            </w:r>
          </w:p>
        </w:tc>
        <w:tc>
          <w:tcPr>
            <w:tcW w:w="0" w:type="auto"/>
            <w:hideMark/>
          </w:tcPr>
          <w:p w14:paraId="5A856581" w14:textId="77777777" w:rsidR="00691D1A" w:rsidRPr="00691D1A" w:rsidRDefault="00691D1A" w:rsidP="00691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Oilfield Operators, Integrated Oil &amp; Gas Companies, Service Companies, Laboratories</w:t>
            </w:r>
          </w:p>
        </w:tc>
      </w:tr>
      <w:tr w:rsidR="00691D1A" w:rsidRPr="00691D1A" w14:paraId="09E3EFA6" w14:textId="77777777" w:rsidTr="00691D1A">
        <w:tc>
          <w:tcPr>
            <w:cnfStyle w:val="001000000000" w:firstRow="0" w:lastRow="0" w:firstColumn="1" w:lastColumn="0" w:oddVBand="0" w:evenVBand="0" w:oddHBand="0" w:evenHBand="0" w:firstRowFirstColumn="0" w:firstRowLastColumn="0" w:lastRowFirstColumn="0" w:lastRowLastColumn="0"/>
            <w:tcW w:w="0" w:type="auto"/>
            <w:hideMark/>
          </w:tcPr>
          <w:p w14:paraId="28F0ABEC"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By Region</w:t>
            </w:r>
          </w:p>
        </w:tc>
        <w:tc>
          <w:tcPr>
            <w:tcW w:w="0" w:type="auto"/>
            <w:hideMark/>
          </w:tcPr>
          <w:p w14:paraId="34004857" w14:textId="77777777" w:rsidR="00691D1A" w:rsidRPr="00691D1A" w:rsidRDefault="00691D1A" w:rsidP="00691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North America, Europe, Asia Pacific, LAMEA</w:t>
            </w:r>
          </w:p>
        </w:tc>
      </w:tr>
      <w:tr w:rsidR="00691D1A" w:rsidRPr="00691D1A" w14:paraId="2FF0499A" w14:textId="77777777" w:rsidTr="00691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D7612"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Country Scope</w:t>
            </w:r>
          </w:p>
        </w:tc>
        <w:tc>
          <w:tcPr>
            <w:tcW w:w="0" w:type="auto"/>
            <w:hideMark/>
          </w:tcPr>
          <w:p w14:paraId="6A573DF1" w14:textId="77777777" w:rsidR="00691D1A" w:rsidRPr="00691D1A" w:rsidRDefault="00691D1A" w:rsidP="00691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U.S., Canada, U.K., Germany, China, India, Brazil, Saudi Arabia, UAE, South Africa</w:t>
            </w:r>
          </w:p>
        </w:tc>
      </w:tr>
      <w:tr w:rsidR="00691D1A" w:rsidRPr="00691D1A" w14:paraId="578C4D13" w14:textId="77777777" w:rsidTr="00691D1A">
        <w:tc>
          <w:tcPr>
            <w:cnfStyle w:val="001000000000" w:firstRow="0" w:lastRow="0" w:firstColumn="1" w:lastColumn="0" w:oddVBand="0" w:evenVBand="0" w:oddHBand="0" w:evenHBand="0" w:firstRowFirstColumn="0" w:firstRowLastColumn="0" w:lastRowFirstColumn="0" w:lastRowLastColumn="0"/>
            <w:tcW w:w="0" w:type="auto"/>
            <w:hideMark/>
          </w:tcPr>
          <w:p w14:paraId="304466DF"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Drivers</w:t>
            </w:r>
          </w:p>
        </w:tc>
        <w:tc>
          <w:tcPr>
            <w:tcW w:w="0" w:type="auto"/>
            <w:hideMark/>
          </w:tcPr>
          <w:p w14:paraId="4B2B4F41" w14:textId="77777777" w:rsidR="00691D1A" w:rsidRPr="00691D1A" w:rsidRDefault="00691D1A" w:rsidP="00691D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 xml:space="preserve">- Rising demand for operational efficiency in oilfields </w:t>
            </w:r>
            <w:r w:rsidRPr="00691D1A">
              <w:rPr>
                <w:rFonts w:ascii="Times New Roman" w:eastAsia="Times New Roman" w:hAnsi="Times New Roman" w:cs="Times New Roman"/>
                <w:sz w:val="24"/>
                <w:szCs w:val="24"/>
                <w:lang w:eastAsia="en-IN"/>
              </w:rPr>
              <w:br/>
              <w:t xml:space="preserve">- Technological advancements in real-time monitoring and AI analytics </w:t>
            </w:r>
            <w:r w:rsidRPr="00691D1A">
              <w:rPr>
                <w:rFonts w:ascii="Times New Roman" w:eastAsia="Times New Roman" w:hAnsi="Times New Roman" w:cs="Times New Roman"/>
                <w:sz w:val="24"/>
                <w:szCs w:val="24"/>
                <w:lang w:eastAsia="en-IN"/>
              </w:rPr>
              <w:br/>
              <w:t>- Regulatory emphasis on produced water management</w:t>
            </w:r>
          </w:p>
        </w:tc>
      </w:tr>
      <w:tr w:rsidR="00691D1A" w:rsidRPr="00691D1A" w14:paraId="672046F6" w14:textId="77777777" w:rsidTr="00691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5B149" w14:textId="77777777" w:rsidR="00691D1A" w:rsidRPr="00691D1A" w:rsidRDefault="00691D1A" w:rsidP="00691D1A">
            <w:pPr>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Customization Option</w:t>
            </w:r>
          </w:p>
        </w:tc>
        <w:tc>
          <w:tcPr>
            <w:tcW w:w="0" w:type="auto"/>
            <w:hideMark/>
          </w:tcPr>
          <w:p w14:paraId="0A1F2021" w14:textId="77777777" w:rsidR="00691D1A" w:rsidRPr="00691D1A" w:rsidRDefault="00691D1A" w:rsidP="00691D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Available upon request</w:t>
            </w:r>
          </w:p>
        </w:tc>
      </w:tr>
    </w:tbl>
    <w:p w14:paraId="1FABD77D" w14:textId="77777777" w:rsidR="00691D1A" w:rsidRPr="00691D1A" w:rsidRDefault="00691D1A" w:rsidP="00691D1A">
      <w:pPr>
        <w:pStyle w:val="Heading1"/>
        <w:rPr>
          <w:rFonts w:ascii="Times New Roman" w:eastAsia="Times New Roman" w:hAnsi="Times New Roman" w:cs="Times New Roman"/>
          <w:b/>
          <w:bCs/>
          <w:color w:val="auto"/>
          <w:kern w:val="36"/>
          <w:sz w:val="48"/>
          <w:szCs w:val="48"/>
          <w:lang w:eastAsia="en-IN"/>
        </w:rPr>
      </w:pPr>
      <w:r>
        <w:br/>
      </w:r>
      <w:r>
        <w:br/>
      </w:r>
      <w:r w:rsidRPr="00691D1A">
        <w:rPr>
          <w:rFonts w:ascii="Times New Roman" w:eastAsia="Times New Roman" w:hAnsi="Times New Roman" w:cs="Times New Roman"/>
          <w:b/>
          <w:bCs/>
          <w:color w:val="auto"/>
          <w:kern w:val="36"/>
          <w:sz w:val="48"/>
          <w:szCs w:val="48"/>
          <w:lang w:eastAsia="en-IN"/>
        </w:rPr>
        <w:t>8. Report Summary, FAQs, and SEO Schema</w:t>
      </w:r>
    </w:p>
    <w:p w14:paraId="1E769FC4"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A.1. Report Title (Long-Form)</w:t>
      </w:r>
      <w:r w:rsidRPr="00691D1A">
        <w:rPr>
          <w:rFonts w:ascii="Times New Roman" w:eastAsia="Times New Roman" w:hAnsi="Times New Roman" w:cs="Times New Roman"/>
          <w:sz w:val="24"/>
          <w:szCs w:val="24"/>
          <w:lang w:eastAsia="en-IN"/>
        </w:rPr>
        <w:br/>
        <w:t>Water Cut Monitors Market By Product Type (Online Monitors, Offline Monitors); By Application (Upstream Production, Midstream Pipeline, Refinery Operations); By End User (Oilfield Operators, Integrated Oil &amp; Gas Companies, Service Companies, Laboratories); By Geography, Segment Revenue Estimation, Forecast, 2024–2030</w:t>
      </w:r>
    </w:p>
    <w:p w14:paraId="47DBF560"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A.2. Lowercase Market Name</w:t>
      </w:r>
      <w:r w:rsidRPr="00691D1A">
        <w:rPr>
          <w:rFonts w:ascii="Times New Roman" w:eastAsia="Times New Roman" w:hAnsi="Times New Roman" w:cs="Times New Roman"/>
          <w:sz w:val="24"/>
          <w:szCs w:val="24"/>
          <w:lang w:eastAsia="en-IN"/>
        </w:rPr>
        <w:br/>
        <w:t>water cut monitors market</w:t>
      </w:r>
    </w:p>
    <w:p w14:paraId="5C612F2D" w14:textId="169F4860"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A.3. SEO-Friendly Market Size Tagline</w:t>
      </w:r>
      <w:r w:rsidRPr="00691D1A">
        <w:rPr>
          <w:rFonts w:ascii="Times New Roman" w:eastAsia="Times New Roman" w:hAnsi="Times New Roman" w:cs="Times New Roman"/>
          <w:sz w:val="24"/>
          <w:szCs w:val="24"/>
          <w:lang w:eastAsia="en-IN"/>
        </w:rPr>
        <w:br/>
        <w:t>Water Cut Monitors Market Size ($</w:t>
      </w:r>
      <w:r>
        <w:rPr>
          <w:rFonts w:ascii="Times New Roman" w:eastAsia="Times New Roman" w:hAnsi="Times New Roman" w:cs="Times New Roman"/>
          <w:sz w:val="24"/>
          <w:szCs w:val="24"/>
          <w:lang w:eastAsia="en-IN"/>
        </w:rPr>
        <w:t>650.0</w:t>
      </w:r>
      <w:r w:rsidRPr="00691D1A">
        <w:rPr>
          <w:rFonts w:ascii="Times New Roman" w:eastAsia="Times New Roman" w:hAnsi="Times New Roman" w:cs="Times New Roman"/>
          <w:sz w:val="24"/>
          <w:szCs w:val="24"/>
          <w:lang w:eastAsia="en-IN"/>
        </w:rPr>
        <w:t xml:space="preserve"> Million) 2030</w:t>
      </w:r>
    </w:p>
    <w:p w14:paraId="175BC03F"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A.4. SEO-Friendly Market Size Tagline BreadCrumb</w:t>
      </w:r>
      <w:r w:rsidRPr="00691D1A">
        <w:rPr>
          <w:rFonts w:ascii="Times New Roman" w:eastAsia="Times New Roman" w:hAnsi="Times New Roman" w:cs="Times New Roman"/>
          <w:sz w:val="24"/>
          <w:szCs w:val="24"/>
          <w:lang w:eastAsia="en-IN"/>
        </w:rPr>
        <w:br/>
        <w:t>Water Cut Monitors Market Report 2030</w:t>
      </w:r>
    </w:p>
    <w:p w14:paraId="35EADDC5" w14:textId="77777777" w:rsidR="00691D1A" w:rsidRPr="00691D1A" w:rsidRDefault="00691D1A" w:rsidP="00691D1A">
      <w:pPr>
        <w:spacing w:after="0"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lastRenderedPageBreak/>
        <w:pict w14:anchorId="4D36152F">
          <v:rect id="_x0000_i1025" style="width:0;height:1.5pt" o:hralign="center" o:hrstd="t" o:hr="t" fillcolor="#a0a0a0" stroked="f"/>
        </w:pict>
      </w:r>
    </w:p>
    <w:p w14:paraId="0E4AA0D7" w14:textId="77777777" w:rsidR="00691D1A" w:rsidRPr="00691D1A" w:rsidRDefault="00691D1A" w:rsidP="00691D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1D1A">
        <w:rPr>
          <w:rFonts w:ascii="Times New Roman" w:eastAsia="Times New Roman" w:hAnsi="Times New Roman" w:cs="Times New Roman"/>
          <w:b/>
          <w:bCs/>
          <w:sz w:val="36"/>
          <w:szCs w:val="36"/>
          <w:lang w:eastAsia="en-IN"/>
        </w:rPr>
        <w:t>B. Top 5 FAQs</w:t>
      </w:r>
    </w:p>
    <w:p w14:paraId="60091C83" w14:textId="0D80D92A"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Q1. How big is the Water Cut Monitors Market?</w:t>
      </w:r>
      <w:r w:rsidRPr="00691D1A">
        <w:rPr>
          <w:rFonts w:ascii="Times New Roman" w:eastAsia="Times New Roman" w:hAnsi="Times New Roman" w:cs="Times New Roman"/>
          <w:sz w:val="24"/>
          <w:szCs w:val="24"/>
          <w:lang w:eastAsia="en-IN"/>
        </w:rPr>
        <w:br/>
      </w:r>
      <w:r w:rsidRPr="00691D1A">
        <w:rPr>
          <w:rFonts w:ascii="Times New Roman" w:eastAsia="Times New Roman" w:hAnsi="Times New Roman" w:cs="Times New Roman"/>
          <w:b/>
          <w:bCs/>
          <w:sz w:val="24"/>
          <w:szCs w:val="24"/>
          <w:lang w:eastAsia="en-IN"/>
        </w:rPr>
        <w:t>A1.</w:t>
      </w:r>
      <w:r w:rsidRPr="00691D1A">
        <w:rPr>
          <w:rFonts w:ascii="Times New Roman" w:eastAsia="Times New Roman" w:hAnsi="Times New Roman" w:cs="Times New Roman"/>
          <w:sz w:val="24"/>
          <w:szCs w:val="24"/>
          <w:lang w:eastAsia="en-IN"/>
        </w:rPr>
        <w:t xml:space="preserve"> The global Water Cut Monitors Market was valued at USD </w:t>
      </w:r>
      <w:r>
        <w:rPr>
          <w:rFonts w:ascii="Times New Roman" w:eastAsia="Times New Roman" w:hAnsi="Times New Roman" w:cs="Times New Roman"/>
          <w:sz w:val="24"/>
          <w:szCs w:val="24"/>
          <w:lang w:eastAsia="en-IN"/>
        </w:rPr>
        <w:t>450.0</w:t>
      </w:r>
      <w:r w:rsidRPr="00691D1A">
        <w:rPr>
          <w:rFonts w:ascii="Times New Roman" w:eastAsia="Times New Roman" w:hAnsi="Times New Roman" w:cs="Times New Roman"/>
          <w:sz w:val="24"/>
          <w:szCs w:val="24"/>
          <w:lang w:eastAsia="en-IN"/>
        </w:rPr>
        <w:t xml:space="preserve"> million in 2024.</w:t>
      </w:r>
    </w:p>
    <w:p w14:paraId="5897C792"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Q2. What is the CAGR for the forecast period?</w:t>
      </w:r>
      <w:r w:rsidRPr="00691D1A">
        <w:rPr>
          <w:rFonts w:ascii="Times New Roman" w:eastAsia="Times New Roman" w:hAnsi="Times New Roman" w:cs="Times New Roman"/>
          <w:sz w:val="24"/>
          <w:szCs w:val="24"/>
          <w:lang w:eastAsia="en-IN"/>
        </w:rPr>
        <w:br/>
      </w:r>
      <w:r w:rsidRPr="00691D1A">
        <w:rPr>
          <w:rFonts w:ascii="Times New Roman" w:eastAsia="Times New Roman" w:hAnsi="Times New Roman" w:cs="Times New Roman"/>
          <w:b/>
          <w:bCs/>
          <w:sz w:val="24"/>
          <w:szCs w:val="24"/>
          <w:lang w:eastAsia="en-IN"/>
        </w:rPr>
        <w:t>A2.</w:t>
      </w:r>
      <w:r w:rsidRPr="00691D1A">
        <w:rPr>
          <w:rFonts w:ascii="Times New Roman" w:eastAsia="Times New Roman" w:hAnsi="Times New Roman" w:cs="Times New Roman"/>
          <w:sz w:val="24"/>
          <w:szCs w:val="24"/>
          <w:lang w:eastAsia="en-IN"/>
        </w:rPr>
        <w:t xml:space="preserve"> The market is expected to grow at a CAGR of 6.5% from 2024 to 2030.</w:t>
      </w:r>
    </w:p>
    <w:p w14:paraId="51D02127"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Q3. Who are the major players in this market?</w:t>
      </w:r>
      <w:r w:rsidRPr="00691D1A">
        <w:rPr>
          <w:rFonts w:ascii="Times New Roman" w:eastAsia="Times New Roman" w:hAnsi="Times New Roman" w:cs="Times New Roman"/>
          <w:sz w:val="24"/>
          <w:szCs w:val="24"/>
          <w:lang w:eastAsia="en-IN"/>
        </w:rPr>
        <w:br/>
      </w:r>
      <w:r w:rsidRPr="00691D1A">
        <w:rPr>
          <w:rFonts w:ascii="Times New Roman" w:eastAsia="Times New Roman" w:hAnsi="Times New Roman" w:cs="Times New Roman"/>
          <w:b/>
          <w:bCs/>
          <w:sz w:val="24"/>
          <w:szCs w:val="24"/>
          <w:lang w:eastAsia="en-IN"/>
        </w:rPr>
        <w:t>A3.</w:t>
      </w:r>
      <w:r w:rsidRPr="00691D1A">
        <w:rPr>
          <w:rFonts w:ascii="Times New Roman" w:eastAsia="Times New Roman" w:hAnsi="Times New Roman" w:cs="Times New Roman"/>
          <w:sz w:val="24"/>
          <w:szCs w:val="24"/>
          <w:lang w:eastAsia="en-IN"/>
        </w:rPr>
        <w:t xml:space="preserve"> Leading players include Schlumberger, Halliburton, Emerson Electric, Yokogawa Electric Corporation, Roxar, and Endress+Hauser.</w:t>
      </w:r>
    </w:p>
    <w:p w14:paraId="3894AB56"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Q4. Which region dominates the market share?</w:t>
      </w:r>
      <w:r w:rsidRPr="00691D1A">
        <w:rPr>
          <w:rFonts w:ascii="Times New Roman" w:eastAsia="Times New Roman" w:hAnsi="Times New Roman" w:cs="Times New Roman"/>
          <w:sz w:val="24"/>
          <w:szCs w:val="24"/>
          <w:lang w:eastAsia="en-IN"/>
        </w:rPr>
        <w:br/>
      </w:r>
      <w:r w:rsidRPr="00691D1A">
        <w:rPr>
          <w:rFonts w:ascii="Times New Roman" w:eastAsia="Times New Roman" w:hAnsi="Times New Roman" w:cs="Times New Roman"/>
          <w:b/>
          <w:bCs/>
          <w:sz w:val="24"/>
          <w:szCs w:val="24"/>
          <w:lang w:eastAsia="en-IN"/>
        </w:rPr>
        <w:t>A4.</w:t>
      </w:r>
      <w:r w:rsidRPr="00691D1A">
        <w:rPr>
          <w:rFonts w:ascii="Times New Roman" w:eastAsia="Times New Roman" w:hAnsi="Times New Roman" w:cs="Times New Roman"/>
          <w:sz w:val="24"/>
          <w:szCs w:val="24"/>
          <w:lang w:eastAsia="en-IN"/>
        </w:rPr>
        <w:t xml:space="preserve"> North America leads due to its mature oilfield infrastructure and widespread adoption of advanced monitoring technologies.</w:t>
      </w:r>
    </w:p>
    <w:p w14:paraId="3A7DD7BC"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Q5. What factors are driving this market?</w:t>
      </w:r>
      <w:r w:rsidRPr="00691D1A">
        <w:rPr>
          <w:rFonts w:ascii="Times New Roman" w:eastAsia="Times New Roman" w:hAnsi="Times New Roman" w:cs="Times New Roman"/>
          <w:sz w:val="24"/>
          <w:szCs w:val="24"/>
          <w:lang w:eastAsia="en-IN"/>
        </w:rPr>
        <w:br/>
      </w:r>
      <w:r w:rsidRPr="00691D1A">
        <w:rPr>
          <w:rFonts w:ascii="Times New Roman" w:eastAsia="Times New Roman" w:hAnsi="Times New Roman" w:cs="Times New Roman"/>
          <w:b/>
          <w:bCs/>
          <w:sz w:val="24"/>
          <w:szCs w:val="24"/>
          <w:lang w:eastAsia="en-IN"/>
        </w:rPr>
        <w:t>A5.</w:t>
      </w:r>
      <w:r w:rsidRPr="00691D1A">
        <w:rPr>
          <w:rFonts w:ascii="Times New Roman" w:eastAsia="Times New Roman" w:hAnsi="Times New Roman" w:cs="Times New Roman"/>
          <w:sz w:val="24"/>
          <w:szCs w:val="24"/>
          <w:lang w:eastAsia="en-IN"/>
        </w:rPr>
        <w:t xml:space="preserve"> Growth is fueled by technological innovation, real-time monitoring, AI integration, and regulatory emphasis on produced water management.</w:t>
      </w:r>
    </w:p>
    <w:p w14:paraId="08CA2ACE" w14:textId="77777777" w:rsidR="00691D1A" w:rsidRPr="00691D1A" w:rsidRDefault="00691D1A" w:rsidP="00691D1A">
      <w:pPr>
        <w:spacing w:after="0"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pict w14:anchorId="2ED79640">
          <v:rect id="_x0000_i1026" style="width:0;height:1.5pt" o:hralign="center" o:hrstd="t" o:hr="t" fillcolor="#a0a0a0" stroked="f"/>
        </w:pict>
      </w:r>
    </w:p>
    <w:p w14:paraId="4ED8DCB4" w14:textId="77777777" w:rsidR="00691D1A" w:rsidRPr="00691D1A" w:rsidRDefault="00691D1A" w:rsidP="00691D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1D1A">
        <w:rPr>
          <w:rFonts w:ascii="Times New Roman" w:eastAsia="Times New Roman" w:hAnsi="Times New Roman" w:cs="Times New Roman"/>
          <w:b/>
          <w:bCs/>
          <w:sz w:val="36"/>
          <w:szCs w:val="36"/>
          <w:lang w:eastAsia="en-IN"/>
        </w:rPr>
        <w:t>C. JSON-LD SEO Schema</w:t>
      </w:r>
    </w:p>
    <w:p w14:paraId="7097C43F" w14:textId="77777777" w:rsidR="00691D1A" w:rsidRPr="00691D1A" w:rsidRDefault="00691D1A" w:rsidP="00691D1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1D1A">
        <w:rPr>
          <w:rFonts w:ascii="Times New Roman" w:eastAsia="Times New Roman" w:hAnsi="Times New Roman" w:cs="Times New Roman"/>
          <w:b/>
          <w:bCs/>
          <w:sz w:val="27"/>
          <w:szCs w:val="27"/>
          <w:lang w:eastAsia="en-IN"/>
        </w:rPr>
        <w:t>1. Breadcrumb Schema</w:t>
      </w:r>
    </w:p>
    <w:p w14:paraId="0950A372"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w:t>
      </w:r>
    </w:p>
    <w:p w14:paraId="759AF7F2"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"@context": "https://schema.org",</w:t>
      </w:r>
    </w:p>
    <w:p w14:paraId="5526ED35"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"BreadcrumbList",</w:t>
      </w:r>
    </w:p>
    <w:p w14:paraId="5166F27A"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"itemListElement": [</w:t>
      </w:r>
    </w:p>
    <w:p w14:paraId="7571258F"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10BAC6BA"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"ListItem",</w:t>
      </w:r>
    </w:p>
    <w:p w14:paraId="68669713"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"position": 1,</w:t>
      </w:r>
    </w:p>
    <w:p w14:paraId="42BE9502"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"name": "Home",</w:t>
      </w:r>
    </w:p>
    <w:p w14:paraId="24675727"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"item": "https://www.strategicmarketresearch.com/"</w:t>
      </w:r>
    </w:p>
    <w:p w14:paraId="2B873C73"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7E26D3FA"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329F139C"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"ListItem",</w:t>
      </w:r>
    </w:p>
    <w:p w14:paraId="1BC00FD5"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"position": 2,</w:t>
      </w:r>
    </w:p>
    <w:p w14:paraId="322C0EC9" w14:textId="4F2114C4"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"name": "Oil </w:t>
      </w:r>
      <w:r w:rsidR="00362AF1">
        <w:rPr>
          <w:rFonts w:ascii="Courier New" w:eastAsia="Times New Roman" w:hAnsi="Courier New" w:cs="Courier New"/>
          <w:sz w:val="20"/>
          <w:szCs w:val="20"/>
          <w:lang w:eastAsia="en-IN"/>
        </w:rPr>
        <w:t>And</w:t>
      </w:r>
      <w:r w:rsidRPr="00691D1A">
        <w:rPr>
          <w:rFonts w:ascii="Courier New" w:eastAsia="Times New Roman" w:hAnsi="Courier New" w:cs="Courier New"/>
          <w:sz w:val="20"/>
          <w:szCs w:val="20"/>
          <w:lang w:eastAsia="en-IN"/>
        </w:rPr>
        <w:t xml:space="preserve"> Gas",</w:t>
      </w:r>
    </w:p>
    <w:p w14:paraId="5F3FF588" w14:textId="370D16A2"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"item": "https://www.strategicmarketresearch.com/report/oil-and-gas"</w:t>
      </w:r>
    </w:p>
    <w:p w14:paraId="33BB4B4F"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3344D491"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729B815C"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"ListItem",</w:t>
      </w:r>
    </w:p>
    <w:p w14:paraId="52BE9996"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"position": 3,</w:t>
      </w:r>
    </w:p>
    <w:p w14:paraId="7516F05F"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"name": "Water Cut Monitors Market Report 2030",</w:t>
      </w:r>
    </w:p>
    <w:p w14:paraId="0C106766"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"item": "https://www.strategicmarketresearch.com/market-report/water-cut-monitors-market"</w:t>
      </w:r>
    </w:p>
    <w:p w14:paraId="6C5B6355"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08FEA553"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2C1914EE"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w:t>
      </w:r>
    </w:p>
    <w:p w14:paraId="5944B5A4" w14:textId="77777777" w:rsidR="00691D1A" w:rsidRPr="00691D1A" w:rsidRDefault="00691D1A" w:rsidP="00691D1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1D1A">
        <w:rPr>
          <w:rFonts w:ascii="Times New Roman" w:eastAsia="Times New Roman" w:hAnsi="Times New Roman" w:cs="Times New Roman"/>
          <w:b/>
          <w:bCs/>
          <w:sz w:val="27"/>
          <w:szCs w:val="27"/>
          <w:lang w:eastAsia="en-IN"/>
        </w:rPr>
        <w:lastRenderedPageBreak/>
        <w:t>2. FAQ Schema</w:t>
      </w:r>
    </w:p>
    <w:p w14:paraId="3BF943D9"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w:t>
      </w:r>
    </w:p>
    <w:p w14:paraId="64ACAB8E"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"@context": "https://schema.org",</w:t>
      </w:r>
    </w:p>
    <w:p w14:paraId="4F3E4A9D"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"FAQPage",</w:t>
      </w:r>
    </w:p>
    <w:p w14:paraId="23C155AF"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"mainEntity": [</w:t>
      </w:r>
    </w:p>
    <w:p w14:paraId="4B00DC96"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7B1B414D"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"Question",</w:t>
      </w:r>
    </w:p>
    <w:p w14:paraId="5FA52CDE"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"name": "How big is the Water Cut Monitors Market?",</w:t>
      </w:r>
    </w:p>
    <w:p w14:paraId="5EB73144"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"acceptedAnswer": {</w:t>
      </w:r>
    </w:p>
    <w:p w14:paraId="34E9D7C5"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"Answer",</w:t>
      </w:r>
    </w:p>
    <w:p w14:paraId="0A0760C9" w14:textId="62CC945B"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"text": "The global Water Cut Monitors Market was valued at USD </w:t>
      </w:r>
      <w:r>
        <w:rPr>
          <w:rFonts w:ascii="Courier New" w:eastAsia="Times New Roman" w:hAnsi="Courier New" w:cs="Courier New"/>
          <w:sz w:val="20"/>
          <w:szCs w:val="20"/>
          <w:lang w:eastAsia="en-IN"/>
        </w:rPr>
        <w:t>450.0</w:t>
      </w:r>
      <w:r w:rsidRPr="00691D1A">
        <w:rPr>
          <w:rFonts w:ascii="Courier New" w:eastAsia="Times New Roman" w:hAnsi="Courier New" w:cs="Courier New"/>
          <w:sz w:val="20"/>
          <w:szCs w:val="20"/>
          <w:lang w:eastAsia="en-IN"/>
        </w:rPr>
        <w:t xml:space="preserve"> million in 2024."</w:t>
      </w:r>
    </w:p>
    <w:p w14:paraId="5818A5AE"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4498F9EC"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3BB8BA49"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38CF5D69"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"Question",</w:t>
      </w:r>
    </w:p>
    <w:p w14:paraId="063F4549"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"name": "What is the CAGR for the forecast period?",</w:t>
      </w:r>
    </w:p>
    <w:p w14:paraId="4451C794"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"acceptedAnswer": {</w:t>
      </w:r>
    </w:p>
    <w:p w14:paraId="10624C3D"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"Answer",</w:t>
      </w:r>
    </w:p>
    <w:p w14:paraId="261380FA"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"text": "The market is expected to grow at a CAGR of 6.5% from 2024 to 2030."</w:t>
      </w:r>
    </w:p>
    <w:p w14:paraId="5547AEDE"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3A0C4F65"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054E99E1"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33720B74"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"Question",</w:t>
      </w:r>
    </w:p>
    <w:p w14:paraId="392E3C41"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"name": "Who are the major players in this market?",</w:t>
      </w:r>
    </w:p>
    <w:p w14:paraId="3DCA5EA8"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"acceptedAnswer": {</w:t>
      </w:r>
    </w:p>
    <w:p w14:paraId="179E3318"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"Answer",</w:t>
      </w:r>
    </w:p>
    <w:p w14:paraId="2B1ACDF3"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"text": "Leading players include Schlumberger, Halliburton, Emerson Electric, Yokogawa Electric Corporation, Roxar, and Endress+Hauser."</w:t>
      </w:r>
    </w:p>
    <w:p w14:paraId="3E5BBFE4"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60DD54C9"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260A7D63"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7B78F4AF"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"Question",</w:t>
      </w:r>
    </w:p>
    <w:p w14:paraId="6A4FE6D7"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"name": "Which region dominates the market share?",</w:t>
      </w:r>
    </w:p>
    <w:p w14:paraId="1657BD52"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"acceptedAnswer": {</w:t>
      </w:r>
    </w:p>
    <w:p w14:paraId="3F06A5E4"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"Answer",</w:t>
      </w:r>
    </w:p>
    <w:p w14:paraId="7D16F105"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"text": "North America leads due to its mature oilfield infrastructure and widespread adoption of advanced monitoring technologies."</w:t>
      </w:r>
    </w:p>
    <w:p w14:paraId="74293ACF"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6CC209E9"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6B033371"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74D9635E"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"Question",</w:t>
      </w:r>
    </w:p>
    <w:p w14:paraId="52C60DF3"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"name": "What factors are driving this market?",</w:t>
      </w:r>
    </w:p>
    <w:p w14:paraId="13120669"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"acceptedAnswer": {</w:t>
      </w:r>
    </w:p>
    <w:p w14:paraId="358CA989"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"@type": "Answer",</w:t>
      </w:r>
    </w:p>
    <w:p w14:paraId="7050B9DE"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"text": "Growth is fueled by technological innovation, real-time monitoring, AI integration, and regulatory emphasis on produced water management."</w:t>
      </w:r>
    </w:p>
    <w:p w14:paraId="63F77654"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278357F3"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74D1BA2C"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 xml:space="preserve">  ]</w:t>
      </w:r>
    </w:p>
    <w:p w14:paraId="2CE03354" w14:textId="77777777" w:rsidR="00691D1A" w:rsidRPr="00691D1A" w:rsidRDefault="00691D1A" w:rsidP="00691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1D1A">
        <w:rPr>
          <w:rFonts w:ascii="Courier New" w:eastAsia="Times New Roman" w:hAnsi="Courier New" w:cs="Courier New"/>
          <w:sz w:val="20"/>
          <w:szCs w:val="20"/>
          <w:lang w:eastAsia="en-IN"/>
        </w:rPr>
        <w:t>}</w:t>
      </w:r>
    </w:p>
    <w:p w14:paraId="37F1DCCB" w14:textId="77777777" w:rsidR="00691D1A" w:rsidRPr="00691D1A" w:rsidRDefault="00691D1A" w:rsidP="00691D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91D1A">
        <w:rPr>
          <w:rFonts w:ascii="Times New Roman" w:eastAsia="Times New Roman" w:hAnsi="Times New Roman" w:cs="Times New Roman"/>
          <w:b/>
          <w:bCs/>
          <w:kern w:val="36"/>
          <w:sz w:val="48"/>
          <w:szCs w:val="48"/>
          <w:lang w:eastAsia="en-IN"/>
        </w:rPr>
        <w:t>9. Table of Contents</w:t>
      </w:r>
    </w:p>
    <w:p w14:paraId="54B016E9"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lastRenderedPageBreak/>
        <w:t>Executive Summary</w:t>
      </w:r>
    </w:p>
    <w:p w14:paraId="026BC735" w14:textId="77777777" w:rsidR="00691D1A" w:rsidRPr="00691D1A" w:rsidRDefault="00691D1A" w:rsidP="00691D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Overview</w:t>
      </w:r>
    </w:p>
    <w:p w14:paraId="7BC5F891" w14:textId="77777777" w:rsidR="00691D1A" w:rsidRPr="00691D1A" w:rsidRDefault="00691D1A" w:rsidP="00691D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Attractiveness by Product Type, Application, End User, and Region</w:t>
      </w:r>
    </w:p>
    <w:p w14:paraId="74DDDB58" w14:textId="77777777" w:rsidR="00691D1A" w:rsidRPr="00691D1A" w:rsidRDefault="00691D1A" w:rsidP="00691D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Strategic Insights from Key Executives (CXO Perspective)</w:t>
      </w:r>
    </w:p>
    <w:p w14:paraId="7E34BBDF" w14:textId="77777777" w:rsidR="00691D1A" w:rsidRPr="00691D1A" w:rsidRDefault="00691D1A" w:rsidP="00691D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Historical Market Size and Future Projections (2019–2030)</w:t>
      </w:r>
    </w:p>
    <w:p w14:paraId="4818526C" w14:textId="77777777" w:rsidR="00691D1A" w:rsidRPr="00691D1A" w:rsidRDefault="00691D1A" w:rsidP="00691D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Summary of Market Segmentation by Product Type, Application, End User, and Region</w:t>
      </w:r>
    </w:p>
    <w:p w14:paraId="681ECF2D"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Market Share Analysis</w:t>
      </w:r>
    </w:p>
    <w:p w14:paraId="00FED84E" w14:textId="77777777" w:rsidR="00691D1A" w:rsidRPr="00691D1A" w:rsidRDefault="00691D1A" w:rsidP="00691D1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Leading Players by Revenue and Market Share</w:t>
      </w:r>
    </w:p>
    <w:p w14:paraId="4BBCCB7A" w14:textId="77777777" w:rsidR="00691D1A" w:rsidRPr="00691D1A" w:rsidRDefault="00691D1A" w:rsidP="00691D1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Share Analysis by Product Type, Application, and End User</w:t>
      </w:r>
    </w:p>
    <w:p w14:paraId="24D6E86E"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Investment Opportunities in the Water Cut Monitors Market</w:t>
      </w:r>
    </w:p>
    <w:p w14:paraId="639F927C" w14:textId="77777777" w:rsidR="00691D1A" w:rsidRPr="00691D1A" w:rsidRDefault="00691D1A" w:rsidP="00691D1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Key Developments and Innovations</w:t>
      </w:r>
    </w:p>
    <w:p w14:paraId="7BC386AB" w14:textId="77777777" w:rsidR="00691D1A" w:rsidRPr="00691D1A" w:rsidRDefault="00691D1A" w:rsidP="00691D1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Mergers, Acquisitions, and Strategic Partnerships</w:t>
      </w:r>
    </w:p>
    <w:p w14:paraId="17125658" w14:textId="77777777" w:rsidR="00691D1A" w:rsidRPr="00691D1A" w:rsidRDefault="00691D1A" w:rsidP="00691D1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High-Growth Segments for Investment</w:t>
      </w:r>
    </w:p>
    <w:p w14:paraId="35872A23"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Market Introduction</w:t>
      </w:r>
    </w:p>
    <w:p w14:paraId="1D685516" w14:textId="77777777" w:rsidR="00691D1A" w:rsidRPr="00691D1A" w:rsidRDefault="00691D1A" w:rsidP="00691D1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Definition and Scope of the Study</w:t>
      </w:r>
    </w:p>
    <w:p w14:paraId="4694F4B3" w14:textId="77777777" w:rsidR="00691D1A" w:rsidRPr="00691D1A" w:rsidRDefault="00691D1A" w:rsidP="00691D1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Structure and Key Findings</w:t>
      </w:r>
    </w:p>
    <w:p w14:paraId="5B7C4A59" w14:textId="77777777" w:rsidR="00691D1A" w:rsidRPr="00691D1A" w:rsidRDefault="00691D1A" w:rsidP="00691D1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Overview of Top Investment Pockets</w:t>
      </w:r>
    </w:p>
    <w:p w14:paraId="4A3D1192"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Research Methodology</w:t>
      </w:r>
    </w:p>
    <w:p w14:paraId="23D7F4B1" w14:textId="77777777" w:rsidR="00691D1A" w:rsidRPr="00691D1A" w:rsidRDefault="00691D1A" w:rsidP="00691D1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Research Process Overview</w:t>
      </w:r>
    </w:p>
    <w:p w14:paraId="2ED2FE4C" w14:textId="77777777" w:rsidR="00691D1A" w:rsidRPr="00691D1A" w:rsidRDefault="00691D1A" w:rsidP="00691D1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Primary and Secondary Research Approaches</w:t>
      </w:r>
    </w:p>
    <w:p w14:paraId="6F7274D6" w14:textId="77777777" w:rsidR="00691D1A" w:rsidRPr="00691D1A" w:rsidRDefault="00691D1A" w:rsidP="00691D1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Size Estimation and Forecasting Techniques</w:t>
      </w:r>
    </w:p>
    <w:p w14:paraId="14F91DAC"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Market Dynamics</w:t>
      </w:r>
    </w:p>
    <w:p w14:paraId="33F40090" w14:textId="77777777" w:rsidR="00691D1A" w:rsidRPr="00691D1A" w:rsidRDefault="00691D1A" w:rsidP="00691D1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Key Market Drivers</w:t>
      </w:r>
    </w:p>
    <w:p w14:paraId="32C66D2E" w14:textId="77777777" w:rsidR="00691D1A" w:rsidRPr="00691D1A" w:rsidRDefault="00691D1A" w:rsidP="00691D1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Challenges and Restraints Impacting Growth</w:t>
      </w:r>
    </w:p>
    <w:p w14:paraId="01574186" w14:textId="77777777" w:rsidR="00691D1A" w:rsidRPr="00691D1A" w:rsidRDefault="00691D1A" w:rsidP="00691D1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Emerging Opportunities for Stakeholders</w:t>
      </w:r>
    </w:p>
    <w:p w14:paraId="0B7973EB" w14:textId="77777777" w:rsidR="00691D1A" w:rsidRPr="00691D1A" w:rsidRDefault="00691D1A" w:rsidP="00691D1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Impact of Behavioral and Regulatory Factors</w:t>
      </w:r>
    </w:p>
    <w:p w14:paraId="4D60C7BA" w14:textId="77777777" w:rsidR="00691D1A" w:rsidRPr="00691D1A" w:rsidRDefault="00691D1A" w:rsidP="00691D1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Technological Advances in Water Cut Monitoring</w:t>
      </w:r>
    </w:p>
    <w:p w14:paraId="14DB093F"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Global Water Cut Monitors Market Analysis</w:t>
      </w:r>
    </w:p>
    <w:p w14:paraId="31FE6970" w14:textId="77777777" w:rsidR="00691D1A" w:rsidRPr="00691D1A" w:rsidRDefault="00691D1A" w:rsidP="00691D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Historical Market Size and Volume (2019–2023)</w:t>
      </w:r>
    </w:p>
    <w:p w14:paraId="081FC655" w14:textId="77777777" w:rsidR="00691D1A" w:rsidRPr="00691D1A" w:rsidRDefault="00691D1A" w:rsidP="00691D1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Size and Volume Forecasts (2024–2030)</w:t>
      </w:r>
    </w:p>
    <w:p w14:paraId="460859C9" w14:textId="77777777" w:rsidR="00691D1A" w:rsidRPr="00691D1A" w:rsidRDefault="00691D1A" w:rsidP="00691D1A">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Market Analysis by Product Type:</w:t>
      </w:r>
    </w:p>
    <w:p w14:paraId="4969429E"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Online Monitors</w:t>
      </w:r>
    </w:p>
    <w:p w14:paraId="662D95FE"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Offline Monitors</w:t>
      </w:r>
    </w:p>
    <w:p w14:paraId="7DE00F01" w14:textId="77777777" w:rsidR="00691D1A" w:rsidRPr="00691D1A" w:rsidRDefault="00691D1A" w:rsidP="00691D1A">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Market Analysis by Application:</w:t>
      </w:r>
    </w:p>
    <w:p w14:paraId="17ACA27C"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Upstream Production</w:t>
      </w:r>
    </w:p>
    <w:p w14:paraId="54E2321B"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Midstream Pipeline</w:t>
      </w:r>
    </w:p>
    <w:p w14:paraId="04A92575"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lastRenderedPageBreak/>
        <w:t>Refinery Operations</w:t>
      </w:r>
    </w:p>
    <w:p w14:paraId="680E9F57" w14:textId="77777777" w:rsidR="00691D1A" w:rsidRPr="00691D1A" w:rsidRDefault="00691D1A" w:rsidP="00691D1A">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Market Analysis by End User:</w:t>
      </w:r>
    </w:p>
    <w:p w14:paraId="1403C265"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Oilfield Operators</w:t>
      </w:r>
    </w:p>
    <w:p w14:paraId="6F4564D8"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Integrated Oil &amp; Gas Companies</w:t>
      </w:r>
    </w:p>
    <w:p w14:paraId="543AAF99"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Service Companies</w:t>
      </w:r>
    </w:p>
    <w:p w14:paraId="6A6F679B"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Laboratories</w:t>
      </w:r>
    </w:p>
    <w:p w14:paraId="4EE69C25" w14:textId="77777777" w:rsidR="00691D1A" w:rsidRPr="00691D1A" w:rsidRDefault="00691D1A" w:rsidP="00691D1A">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Market Analysis by Region:</w:t>
      </w:r>
    </w:p>
    <w:p w14:paraId="0001146F"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North America</w:t>
      </w:r>
    </w:p>
    <w:p w14:paraId="44798365"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Europe</w:t>
      </w:r>
    </w:p>
    <w:p w14:paraId="04B2A5D1"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Asia Pacific</w:t>
      </w:r>
    </w:p>
    <w:p w14:paraId="54900862" w14:textId="77777777" w:rsidR="00691D1A" w:rsidRPr="00691D1A" w:rsidRDefault="00691D1A" w:rsidP="00691D1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Latin America, Middle East &amp; Africa (LAMEA)</w:t>
      </w:r>
    </w:p>
    <w:p w14:paraId="349E800D"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Regional Market Analysis</w:t>
      </w:r>
    </w:p>
    <w:p w14:paraId="3FA35481" w14:textId="77777777" w:rsidR="00691D1A" w:rsidRPr="00691D1A" w:rsidRDefault="00691D1A" w:rsidP="00691D1A">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North America Water Cut Monitors Market</w:t>
      </w:r>
    </w:p>
    <w:p w14:paraId="77EDB446" w14:textId="77777777" w:rsidR="00691D1A" w:rsidRPr="00691D1A" w:rsidRDefault="00691D1A" w:rsidP="00691D1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Historical Market Size and Volume (2019–2023)</w:t>
      </w:r>
    </w:p>
    <w:p w14:paraId="7529D258" w14:textId="77777777" w:rsidR="00691D1A" w:rsidRPr="00691D1A" w:rsidRDefault="00691D1A" w:rsidP="00691D1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Size and Volume Forecasts (2024–2030)</w:t>
      </w:r>
    </w:p>
    <w:p w14:paraId="60776FFB" w14:textId="77777777" w:rsidR="00691D1A" w:rsidRPr="00691D1A" w:rsidRDefault="00691D1A" w:rsidP="00691D1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Analysis by Product Type, Application, and End User</w:t>
      </w:r>
    </w:p>
    <w:p w14:paraId="610FCD51" w14:textId="77777777" w:rsidR="00691D1A" w:rsidRPr="00691D1A" w:rsidRDefault="00691D1A" w:rsidP="00691D1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Country-Level Breakdown: United States, Canada, Mexico</w:t>
      </w:r>
    </w:p>
    <w:p w14:paraId="36449429" w14:textId="77777777" w:rsidR="00691D1A" w:rsidRPr="00691D1A" w:rsidRDefault="00691D1A" w:rsidP="00691D1A">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Europe Water Cut Monitors Market</w:t>
      </w:r>
    </w:p>
    <w:p w14:paraId="7FF4CCC5" w14:textId="77777777" w:rsidR="00691D1A" w:rsidRPr="00691D1A" w:rsidRDefault="00691D1A" w:rsidP="00691D1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Country-Level Breakdown: Germany, United Kingdom, France, Italy, Spain, Rest of Europe</w:t>
      </w:r>
    </w:p>
    <w:p w14:paraId="6D60A6A3" w14:textId="77777777" w:rsidR="00691D1A" w:rsidRPr="00691D1A" w:rsidRDefault="00691D1A" w:rsidP="00691D1A">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Asia-Pacific Water Cut Monitors Market</w:t>
      </w:r>
    </w:p>
    <w:p w14:paraId="2FE5ABD5" w14:textId="77777777" w:rsidR="00691D1A" w:rsidRPr="00691D1A" w:rsidRDefault="00691D1A" w:rsidP="00691D1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Country-Level Breakdown: China, India, Japan, South Korea, Rest of Asia-Pacific</w:t>
      </w:r>
    </w:p>
    <w:p w14:paraId="18FDE485" w14:textId="77777777" w:rsidR="00691D1A" w:rsidRPr="00691D1A" w:rsidRDefault="00691D1A" w:rsidP="00691D1A">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Latin America Water Cut Monitors Market</w:t>
      </w:r>
    </w:p>
    <w:p w14:paraId="5F34897F" w14:textId="77777777" w:rsidR="00691D1A" w:rsidRPr="00691D1A" w:rsidRDefault="00691D1A" w:rsidP="00691D1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Country-Level Breakdown: Brazil, Argentina, Rest of Latin America</w:t>
      </w:r>
    </w:p>
    <w:p w14:paraId="7D8BBC67" w14:textId="77777777" w:rsidR="00691D1A" w:rsidRPr="00691D1A" w:rsidRDefault="00691D1A" w:rsidP="00691D1A">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691D1A">
        <w:rPr>
          <w:rFonts w:ascii="Times New Roman" w:eastAsia="Times New Roman" w:hAnsi="Times New Roman" w:cs="Times New Roman"/>
          <w:b/>
          <w:bCs/>
          <w:sz w:val="24"/>
          <w:szCs w:val="24"/>
          <w:lang w:eastAsia="en-IN"/>
        </w:rPr>
        <w:t>Middle East &amp; Africa Water Cut Monitors Market</w:t>
      </w:r>
    </w:p>
    <w:p w14:paraId="74C7B181" w14:textId="77777777" w:rsidR="00691D1A" w:rsidRPr="00691D1A" w:rsidRDefault="00691D1A" w:rsidP="00691D1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Country-Level Breakdown: GCC Countries, South Africa, Rest of MEA</w:t>
      </w:r>
    </w:p>
    <w:p w14:paraId="2BF185E5"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Key Players and Competitive Analysis</w:t>
      </w:r>
    </w:p>
    <w:p w14:paraId="6BAA688C" w14:textId="77777777" w:rsidR="00691D1A" w:rsidRPr="00691D1A" w:rsidRDefault="00691D1A" w:rsidP="00691D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Schlumberger</w:t>
      </w:r>
    </w:p>
    <w:p w14:paraId="0379B235" w14:textId="77777777" w:rsidR="00691D1A" w:rsidRPr="00691D1A" w:rsidRDefault="00691D1A" w:rsidP="00691D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Halliburton</w:t>
      </w:r>
    </w:p>
    <w:p w14:paraId="6EB64BBB" w14:textId="77777777" w:rsidR="00691D1A" w:rsidRPr="00691D1A" w:rsidRDefault="00691D1A" w:rsidP="00691D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Emerson Electric</w:t>
      </w:r>
    </w:p>
    <w:p w14:paraId="628432C7" w14:textId="77777777" w:rsidR="00691D1A" w:rsidRPr="00691D1A" w:rsidRDefault="00691D1A" w:rsidP="00691D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Yokogawa Electric Corporation</w:t>
      </w:r>
    </w:p>
    <w:p w14:paraId="049CE13A" w14:textId="77777777" w:rsidR="00691D1A" w:rsidRPr="00691D1A" w:rsidRDefault="00691D1A" w:rsidP="00691D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Roxar</w:t>
      </w:r>
    </w:p>
    <w:p w14:paraId="117914E3" w14:textId="77777777" w:rsidR="00691D1A" w:rsidRPr="00691D1A" w:rsidRDefault="00691D1A" w:rsidP="00691D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Endress+Hauser</w:t>
      </w:r>
    </w:p>
    <w:p w14:paraId="6D22FF63"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Appendix</w:t>
      </w:r>
    </w:p>
    <w:p w14:paraId="72AC5845" w14:textId="77777777" w:rsidR="00691D1A" w:rsidRPr="00691D1A" w:rsidRDefault="00691D1A" w:rsidP="00691D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Abbreviations and Terminologies Used in the Report</w:t>
      </w:r>
    </w:p>
    <w:p w14:paraId="58C35111" w14:textId="77777777" w:rsidR="00691D1A" w:rsidRPr="00691D1A" w:rsidRDefault="00691D1A" w:rsidP="00691D1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References and Sources</w:t>
      </w:r>
    </w:p>
    <w:p w14:paraId="5809D8B5"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List of Tables</w:t>
      </w:r>
    </w:p>
    <w:p w14:paraId="0CCB884D" w14:textId="77777777" w:rsidR="00691D1A" w:rsidRPr="00691D1A" w:rsidRDefault="00691D1A" w:rsidP="00691D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Size by Product Type, Application, End User, and Region (2024–2030)</w:t>
      </w:r>
    </w:p>
    <w:p w14:paraId="77389EB4" w14:textId="77777777" w:rsidR="00691D1A" w:rsidRPr="00691D1A" w:rsidRDefault="00691D1A" w:rsidP="00691D1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Regional Market Breakdown by Segment Type (2024–2030)</w:t>
      </w:r>
    </w:p>
    <w:p w14:paraId="522D4A16" w14:textId="77777777" w:rsidR="00691D1A" w:rsidRPr="00691D1A" w:rsidRDefault="00691D1A" w:rsidP="00691D1A">
      <w:p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b/>
          <w:bCs/>
          <w:sz w:val="24"/>
          <w:szCs w:val="24"/>
          <w:lang w:eastAsia="en-IN"/>
        </w:rPr>
        <w:t>List of Figures</w:t>
      </w:r>
    </w:p>
    <w:p w14:paraId="2E802102" w14:textId="77777777" w:rsidR="00691D1A" w:rsidRPr="00691D1A" w:rsidRDefault="00691D1A" w:rsidP="00691D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lastRenderedPageBreak/>
        <w:t>Market Drivers, Challenges, and Opportunities</w:t>
      </w:r>
    </w:p>
    <w:p w14:paraId="047F1C9A" w14:textId="77777777" w:rsidR="00691D1A" w:rsidRPr="00691D1A" w:rsidRDefault="00691D1A" w:rsidP="00691D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Regional Market Snapshot</w:t>
      </w:r>
    </w:p>
    <w:p w14:paraId="1B78EF61" w14:textId="77777777" w:rsidR="00691D1A" w:rsidRPr="00691D1A" w:rsidRDefault="00691D1A" w:rsidP="00691D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Competitive Landscape by Market Share</w:t>
      </w:r>
    </w:p>
    <w:p w14:paraId="09840EE5" w14:textId="77777777" w:rsidR="00691D1A" w:rsidRPr="00691D1A" w:rsidRDefault="00691D1A" w:rsidP="00691D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Growth Strategies Adopted by Key Players</w:t>
      </w:r>
    </w:p>
    <w:p w14:paraId="2A3C1294" w14:textId="77777777" w:rsidR="00691D1A" w:rsidRPr="00691D1A" w:rsidRDefault="00691D1A" w:rsidP="00691D1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91D1A">
        <w:rPr>
          <w:rFonts w:ascii="Times New Roman" w:eastAsia="Times New Roman" w:hAnsi="Times New Roman" w:cs="Times New Roman"/>
          <w:sz w:val="24"/>
          <w:szCs w:val="24"/>
          <w:lang w:eastAsia="en-IN"/>
        </w:rPr>
        <w:t>Market Share by Product Type, Application, and End User (2024 vs. 2030)</w:t>
      </w:r>
    </w:p>
    <w:p w14:paraId="7326A572" w14:textId="301DF568"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39D5"/>
    <w:multiLevelType w:val="multilevel"/>
    <w:tmpl w:val="B71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79C4"/>
    <w:multiLevelType w:val="multilevel"/>
    <w:tmpl w:val="3D7C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06B2"/>
    <w:multiLevelType w:val="multilevel"/>
    <w:tmpl w:val="28B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C755D"/>
    <w:multiLevelType w:val="multilevel"/>
    <w:tmpl w:val="8AC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549A1"/>
    <w:multiLevelType w:val="multilevel"/>
    <w:tmpl w:val="EA6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30E3F"/>
    <w:multiLevelType w:val="multilevel"/>
    <w:tmpl w:val="8DE6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266F7"/>
    <w:multiLevelType w:val="multilevel"/>
    <w:tmpl w:val="B6DA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C262C"/>
    <w:multiLevelType w:val="multilevel"/>
    <w:tmpl w:val="432C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66774"/>
    <w:multiLevelType w:val="multilevel"/>
    <w:tmpl w:val="104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A0DF7"/>
    <w:multiLevelType w:val="multilevel"/>
    <w:tmpl w:val="F89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97A28"/>
    <w:multiLevelType w:val="multilevel"/>
    <w:tmpl w:val="41385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5607C"/>
    <w:multiLevelType w:val="multilevel"/>
    <w:tmpl w:val="82F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2A1E2D"/>
    <w:multiLevelType w:val="multilevel"/>
    <w:tmpl w:val="CBA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A3DCC"/>
    <w:multiLevelType w:val="multilevel"/>
    <w:tmpl w:val="D6A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26BDA"/>
    <w:multiLevelType w:val="multilevel"/>
    <w:tmpl w:val="966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5"/>
  </w:num>
  <w:num w:numId="4">
    <w:abstractNumId w:val="14"/>
  </w:num>
  <w:num w:numId="5">
    <w:abstractNumId w:val="3"/>
  </w:num>
  <w:num w:numId="6">
    <w:abstractNumId w:val="9"/>
  </w:num>
  <w:num w:numId="7">
    <w:abstractNumId w:val="11"/>
  </w:num>
  <w:num w:numId="8">
    <w:abstractNumId w:val="12"/>
  </w:num>
  <w:num w:numId="9">
    <w:abstractNumId w:val="8"/>
  </w:num>
  <w:num w:numId="10">
    <w:abstractNumId w:val="1"/>
  </w:num>
  <w:num w:numId="11">
    <w:abstractNumId w:val="10"/>
  </w:num>
  <w:num w:numId="12">
    <w:abstractNumId w:val="13"/>
  </w:num>
  <w:num w:numId="13">
    <w:abstractNumId w:val="4"/>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96"/>
    <w:rsid w:val="00362AF1"/>
    <w:rsid w:val="0038114E"/>
    <w:rsid w:val="00691D1A"/>
    <w:rsid w:val="00A11F02"/>
    <w:rsid w:val="00AB1496"/>
    <w:rsid w:val="00EA6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213E"/>
  <w15:chartTrackingRefBased/>
  <w15:docId w15:val="{A1986D86-58E5-4B2C-8280-19F20A372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D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91D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91D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D1A"/>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691D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691D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91D1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794842">
      <w:bodyDiv w:val="1"/>
      <w:marLeft w:val="0"/>
      <w:marRight w:val="0"/>
      <w:marTop w:val="0"/>
      <w:marBottom w:val="0"/>
      <w:divBdr>
        <w:top w:val="none" w:sz="0" w:space="0" w:color="auto"/>
        <w:left w:val="none" w:sz="0" w:space="0" w:color="auto"/>
        <w:bottom w:val="none" w:sz="0" w:space="0" w:color="auto"/>
        <w:right w:val="none" w:sz="0" w:space="0" w:color="auto"/>
      </w:divBdr>
      <w:divsChild>
        <w:div w:id="1736321970">
          <w:marLeft w:val="0"/>
          <w:marRight w:val="0"/>
          <w:marTop w:val="0"/>
          <w:marBottom w:val="0"/>
          <w:divBdr>
            <w:top w:val="none" w:sz="0" w:space="0" w:color="auto"/>
            <w:left w:val="none" w:sz="0" w:space="0" w:color="auto"/>
            <w:bottom w:val="none" w:sz="0" w:space="0" w:color="auto"/>
            <w:right w:val="none" w:sz="0" w:space="0" w:color="auto"/>
          </w:divBdr>
          <w:divsChild>
            <w:div w:id="1593198540">
              <w:marLeft w:val="0"/>
              <w:marRight w:val="0"/>
              <w:marTop w:val="0"/>
              <w:marBottom w:val="0"/>
              <w:divBdr>
                <w:top w:val="none" w:sz="0" w:space="0" w:color="auto"/>
                <w:left w:val="none" w:sz="0" w:space="0" w:color="auto"/>
                <w:bottom w:val="none" w:sz="0" w:space="0" w:color="auto"/>
                <w:right w:val="none" w:sz="0" w:space="0" w:color="auto"/>
              </w:divBdr>
            </w:div>
          </w:divsChild>
        </w:div>
        <w:div w:id="1776825949">
          <w:marLeft w:val="0"/>
          <w:marRight w:val="0"/>
          <w:marTop w:val="0"/>
          <w:marBottom w:val="0"/>
          <w:divBdr>
            <w:top w:val="none" w:sz="0" w:space="0" w:color="auto"/>
            <w:left w:val="none" w:sz="0" w:space="0" w:color="auto"/>
            <w:bottom w:val="none" w:sz="0" w:space="0" w:color="auto"/>
            <w:right w:val="none" w:sz="0" w:space="0" w:color="auto"/>
          </w:divBdr>
          <w:divsChild>
            <w:div w:id="13250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8454">
      <w:bodyDiv w:val="1"/>
      <w:marLeft w:val="0"/>
      <w:marRight w:val="0"/>
      <w:marTop w:val="0"/>
      <w:marBottom w:val="0"/>
      <w:divBdr>
        <w:top w:val="none" w:sz="0" w:space="0" w:color="auto"/>
        <w:left w:val="none" w:sz="0" w:space="0" w:color="auto"/>
        <w:bottom w:val="none" w:sz="0" w:space="0" w:color="auto"/>
        <w:right w:val="none" w:sz="0" w:space="0" w:color="auto"/>
      </w:divBdr>
    </w:div>
    <w:div w:id="690912508">
      <w:bodyDiv w:val="1"/>
      <w:marLeft w:val="0"/>
      <w:marRight w:val="0"/>
      <w:marTop w:val="0"/>
      <w:marBottom w:val="0"/>
      <w:divBdr>
        <w:top w:val="none" w:sz="0" w:space="0" w:color="auto"/>
        <w:left w:val="none" w:sz="0" w:space="0" w:color="auto"/>
        <w:bottom w:val="none" w:sz="0" w:space="0" w:color="auto"/>
        <w:right w:val="none" w:sz="0" w:space="0" w:color="auto"/>
      </w:divBdr>
      <w:divsChild>
        <w:div w:id="603154650">
          <w:marLeft w:val="0"/>
          <w:marRight w:val="0"/>
          <w:marTop w:val="0"/>
          <w:marBottom w:val="0"/>
          <w:divBdr>
            <w:top w:val="none" w:sz="0" w:space="0" w:color="auto"/>
            <w:left w:val="none" w:sz="0" w:space="0" w:color="auto"/>
            <w:bottom w:val="none" w:sz="0" w:space="0" w:color="auto"/>
            <w:right w:val="none" w:sz="0" w:space="0" w:color="auto"/>
          </w:divBdr>
          <w:divsChild>
            <w:div w:id="19130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2068">
      <w:bodyDiv w:val="1"/>
      <w:marLeft w:val="0"/>
      <w:marRight w:val="0"/>
      <w:marTop w:val="0"/>
      <w:marBottom w:val="0"/>
      <w:divBdr>
        <w:top w:val="none" w:sz="0" w:space="0" w:color="auto"/>
        <w:left w:val="none" w:sz="0" w:space="0" w:color="auto"/>
        <w:bottom w:val="none" w:sz="0" w:space="0" w:color="auto"/>
        <w:right w:val="none" w:sz="0" w:space="0" w:color="auto"/>
      </w:divBdr>
    </w:div>
    <w:div w:id="1087383612">
      <w:bodyDiv w:val="1"/>
      <w:marLeft w:val="0"/>
      <w:marRight w:val="0"/>
      <w:marTop w:val="0"/>
      <w:marBottom w:val="0"/>
      <w:divBdr>
        <w:top w:val="none" w:sz="0" w:space="0" w:color="auto"/>
        <w:left w:val="none" w:sz="0" w:space="0" w:color="auto"/>
        <w:bottom w:val="none" w:sz="0" w:space="0" w:color="auto"/>
        <w:right w:val="none" w:sz="0" w:space="0" w:color="auto"/>
      </w:divBdr>
    </w:div>
    <w:div w:id="1255826582">
      <w:bodyDiv w:val="1"/>
      <w:marLeft w:val="0"/>
      <w:marRight w:val="0"/>
      <w:marTop w:val="0"/>
      <w:marBottom w:val="0"/>
      <w:divBdr>
        <w:top w:val="none" w:sz="0" w:space="0" w:color="auto"/>
        <w:left w:val="none" w:sz="0" w:space="0" w:color="auto"/>
        <w:bottom w:val="none" w:sz="0" w:space="0" w:color="auto"/>
        <w:right w:val="none" w:sz="0" w:space="0" w:color="auto"/>
      </w:divBdr>
    </w:div>
    <w:div w:id="1321617042">
      <w:bodyDiv w:val="1"/>
      <w:marLeft w:val="0"/>
      <w:marRight w:val="0"/>
      <w:marTop w:val="0"/>
      <w:marBottom w:val="0"/>
      <w:divBdr>
        <w:top w:val="none" w:sz="0" w:space="0" w:color="auto"/>
        <w:left w:val="none" w:sz="0" w:space="0" w:color="auto"/>
        <w:bottom w:val="none" w:sz="0" w:space="0" w:color="auto"/>
        <w:right w:val="none" w:sz="0" w:space="0" w:color="auto"/>
      </w:divBdr>
    </w:div>
    <w:div w:id="1586570295">
      <w:bodyDiv w:val="1"/>
      <w:marLeft w:val="0"/>
      <w:marRight w:val="0"/>
      <w:marTop w:val="0"/>
      <w:marBottom w:val="0"/>
      <w:divBdr>
        <w:top w:val="none" w:sz="0" w:space="0" w:color="auto"/>
        <w:left w:val="none" w:sz="0" w:space="0" w:color="auto"/>
        <w:bottom w:val="none" w:sz="0" w:space="0" w:color="auto"/>
        <w:right w:val="none" w:sz="0" w:space="0" w:color="auto"/>
      </w:divBdr>
    </w:div>
    <w:div w:id="1757240533">
      <w:bodyDiv w:val="1"/>
      <w:marLeft w:val="0"/>
      <w:marRight w:val="0"/>
      <w:marTop w:val="0"/>
      <w:marBottom w:val="0"/>
      <w:divBdr>
        <w:top w:val="none" w:sz="0" w:space="0" w:color="auto"/>
        <w:left w:val="none" w:sz="0" w:space="0" w:color="auto"/>
        <w:bottom w:val="none" w:sz="0" w:space="0" w:color="auto"/>
        <w:right w:val="none" w:sz="0" w:space="0" w:color="auto"/>
      </w:divBdr>
    </w:div>
    <w:div w:id="192167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14</Pages>
  <Words>4546</Words>
  <Characters>25918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2</cp:revision>
  <dcterms:created xsi:type="dcterms:W3CDTF">2025-10-14T08:51:00Z</dcterms:created>
  <dcterms:modified xsi:type="dcterms:W3CDTF">2025-10-14T10:02:00Z</dcterms:modified>
</cp:coreProperties>
</file>