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 and Strategic Context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E01EB5"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Global </w:t>
      </w:r>
      <w:bookmarkStart w:id="0" w:name="_GoBack"/>
      <w:r w:rsidR="00E01EB5"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Arbovirus Testing Market</w:t>
      </w:r>
      <w:r w:rsidR="00E01EB5" w:rsidRPr="00257B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will witness a robust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CAGR of 7.6%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valued at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$1.42 billion in 2024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is expected to appreciate and reach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$2.21 billion by 2030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, confirms Strategic Market Research.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Arboviruses — or arthropod-borne viruses — are a group of viral pathogens transmitted by vectors such as mosquitoes and ticks, including high-impact viruses like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dengue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Zika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chikungunya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yellow fever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West Nile virus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These viruses are of significant public health concern in both endemic regions and globally, due to climate-driven vector migration and the increasing frequency of outbreaks. This has intensified the strategic importance of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testing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in mitigating outbreak risks and guiding clinical decisions.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From a strategic lens, the global health ecosystem is confronting overlapping public health crises, including vector-borne viral infections. Consequently,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health agencies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biotech firms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equipment manufacturers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actively scaling efforts to develop more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rapid, cost-effective, and field-deployable arbovirus testing solutions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The rising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burden of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arboviral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infections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fueled by rapid urbanization, global travel, and ecological changes, demands high-sensitivity diagnostics across both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laboratories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point-of-care settings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Further,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emerging zoonotic spillovers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cross-border viral mutations, and endemic reactivations have made real-time viral detection not just a medical necessity, but a </w:t>
      </w:r>
      <w:proofErr w:type="gramStart"/>
      <w:r w:rsidRPr="00257B03">
        <w:rPr>
          <w:rFonts w:ascii="Times New Roman" w:eastAsia="Times New Roman" w:hAnsi="Times New Roman" w:cs="Times New Roman"/>
          <w:sz w:val="24"/>
          <w:szCs w:val="24"/>
        </w:rPr>
        <w:t>geopolitical</w:t>
      </w:r>
      <w:proofErr w:type="gram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priority in many developing economies.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Notably, the World Health Organization’s prioritization of vector-borne disease diagnostics — coupled with increased funding for tropical disease research — is fostering innovation across serological, molecular, and biosensor-based detection platforms.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>Key Stakeholders in This Market</w:t>
      </w:r>
    </w:p>
    <w:p w:rsidR="00257B03" w:rsidRPr="00257B03" w:rsidRDefault="00257B03" w:rsidP="0025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test manufacturers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(OEMs and IVD firms)</w:t>
      </w:r>
    </w:p>
    <w:p w:rsidR="00257B03" w:rsidRPr="00257B03" w:rsidRDefault="00257B03" w:rsidP="0025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Public health authorities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(e.g., CDC, WHO, PAHO)</w:t>
      </w:r>
    </w:p>
    <w:p w:rsidR="00257B03" w:rsidRPr="00257B03" w:rsidRDefault="00257B03" w:rsidP="0025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and research institutions</w:t>
      </w:r>
    </w:p>
    <w:p w:rsidR="00257B03" w:rsidRPr="00257B03" w:rsidRDefault="00257B03" w:rsidP="0025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laboratories and clinical diagnostics labs</w:t>
      </w:r>
    </w:p>
    <w:p w:rsidR="00257B03" w:rsidRPr="00257B03" w:rsidRDefault="00257B03" w:rsidP="0025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Military health services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(especially in deployment zones)</w:t>
      </w:r>
    </w:p>
    <w:p w:rsidR="00257B03" w:rsidRPr="00257B03" w:rsidRDefault="00257B03" w:rsidP="0025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Donor and multilateral funding agencies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(e.g., Gates Foundation, USAID)</w:t>
      </w:r>
    </w:p>
    <w:p w:rsidR="00257B03" w:rsidRPr="00257B03" w:rsidRDefault="00257B03" w:rsidP="0025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Technology investors and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healthtech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VCs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In 2024, the market is still heavily reliant on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manual PCR-based detection systems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but the shift toward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 panels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isothermal amplification techniques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AI-assisted diagnostic workflows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is rapidly accelerating. 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Asia-Pacific region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Latin America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home to recurring arbovirus outbreaks, are witnessing aggressive expansion in both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public testing infrastructure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private diagnostic service networks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As climate volatility and global mobility intensify </w:t>
      </w:r>
      <w:proofErr w:type="spellStart"/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arboviral</w:t>
      </w:r>
      <w:proofErr w:type="spellEnd"/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threats, nations are investing in proactive diagnostic surveillance systems — a trend poised to fuel the demand for decentralized and highly sensitive testing platforms across the forecast period.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7B03" w:rsidRPr="00257B03" w:rsidRDefault="00257B03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>2. Market Segmentation and Forecast Scope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The global arbovirus testing market is structured around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four key dimensions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Test Type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Technology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End User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Region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 This segmentation framework reflects the evolution of testing modalities, their varied clinical settings, and the differing levels of adoption and disease prevalence across geographies.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Test Type</w:t>
      </w:r>
    </w:p>
    <w:p w:rsidR="00257B03" w:rsidRPr="00257B03" w:rsidRDefault="00257B03" w:rsidP="00257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Molecular Tests</w:t>
      </w:r>
    </w:p>
    <w:p w:rsidR="00257B03" w:rsidRPr="00257B03" w:rsidRDefault="00257B03" w:rsidP="00257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Serological Tests (ELISA, Immunofluorescence)</w:t>
      </w:r>
    </w:p>
    <w:p w:rsidR="00257B03" w:rsidRPr="00257B03" w:rsidRDefault="00257B03" w:rsidP="00257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Rapid Diagnostic Tests (RDTs)</w:t>
      </w:r>
    </w:p>
    <w:p w:rsidR="00257B03" w:rsidRPr="00257B03" w:rsidRDefault="00257B03" w:rsidP="00257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Plaque Reduction Neutralization Tests (PRNT)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Molecular tests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dominate the segment in terms of revenue share, accounting for approximately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41.2% of the market in 2024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due to their high sensitivity and role in early detection. However, </w:t>
      </w: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Rapid Diagnostic Tests (RDTs)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expected to register 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fastest CAGR of 10.3%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, fueled by demand for field-friendly and time-efficient diagnosis in low-resource settings.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Technology</w:t>
      </w:r>
    </w:p>
    <w:p w:rsidR="00257B03" w:rsidRPr="00257B03" w:rsidRDefault="00257B03" w:rsidP="0025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Polymerase Chain Reaction (PCR)</w:t>
      </w:r>
    </w:p>
    <w:p w:rsidR="00257B03" w:rsidRPr="00257B03" w:rsidRDefault="00257B03" w:rsidP="0025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Loop-Mediated Isothermal Amplification (LAMP)</w:t>
      </w:r>
    </w:p>
    <w:p w:rsidR="00257B03" w:rsidRPr="00257B03" w:rsidRDefault="00257B03" w:rsidP="0025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Enzyme-Linked Immunosorbent Assay (ELISA)</w:t>
      </w:r>
    </w:p>
    <w:p w:rsidR="00257B03" w:rsidRPr="00257B03" w:rsidRDefault="00257B03" w:rsidP="0025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Biosensors and Microfluidics</w:t>
      </w:r>
    </w:p>
    <w:p w:rsidR="00257B03" w:rsidRPr="00257B03" w:rsidRDefault="00257B03" w:rsidP="0025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Others (CRISPR, NGS-based methods)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While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PCR remains the gold standard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innovative platforms like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LAMP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biosensor-based systems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gaining traction due to their portability and lower infrastructure requirements. </w:t>
      </w: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Microfluidic-based multiplex devices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particularly promising for outbreak response in remote locations.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End User</w:t>
      </w:r>
    </w:p>
    <w:p w:rsidR="00257B03" w:rsidRPr="00257B03" w:rsidRDefault="00257B03" w:rsidP="00257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Hospitals and Clinical Laboratories</w:t>
      </w:r>
    </w:p>
    <w:p w:rsidR="00257B03" w:rsidRPr="00257B03" w:rsidRDefault="00257B03" w:rsidP="00257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Public Health Agencies and Surveillance Programs</w:t>
      </w:r>
    </w:p>
    <w:p w:rsidR="00257B03" w:rsidRPr="00257B03" w:rsidRDefault="00257B03" w:rsidP="00257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Reference Labs</w:t>
      </w:r>
    </w:p>
    <w:p w:rsidR="00257B03" w:rsidRPr="00257B03" w:rsidRDefault="00257B03" w:rsidP="00257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and Academic Institutions</w:t>
      </w:r>
    </w:p>
    <w:p w:rsidR="00257B03" w:rsidRPr="00257B03" w:rsidRDefault="00257B03" w:rsidP="00257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Military and Emergency Services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Hospitals and clinical laboratories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lead in usage volume globally, driven by high patient inflow and protocol-driven testing. However,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public health agencies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becoming critical end users as vector surveillance and outbreak containment require decentralized testing networks.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Region</w:t>
      </w:r>
    </w:p>
    <w:p w:rsidR="00257B03" w:rsidRPr="00257B03" w:rsidRDefault="00257B03" w:rsidP="00257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North America</w:t>
      </w:r>
    </w:p>
    <w:p w:rsidR="00257B03" w:rsidRPr="00257B03" w:rsidRDefault="00257B03" w:rsidP="00257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Europe</w:t>
      </w:r>
    </w:p>
    <w:p w:rsidR="00257B03" w:rsidRPr="00257B03" w:rsidRDefault="00257B03" w:rsidP="00257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Asia Pacific</w:t>
      </w:r>
    </w:p>
    <w:p w:rsidR="00257B03" w:rsidRPr="00257B03" w:rsidRDefault="00257B03" w:rsidP="00257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Latin America</w:t>
      </w:r>
    </w:p>
    <w:p w:rsidR="00257B03" w:rsidRPr="00257B03" w:rsidRDefault="00257B03" w:rsidP="00257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Middle East &amp; Africa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Asia Pacific region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holds a strategic position in the market due to its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high disease burden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favorable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initiatives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increasing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investments in diagnostic labs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Meanwhile,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Latin America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is emerging as a high-growth region due to recurring </w:t>
      </w: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arboviral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outbreaks and donor-funded diagnostics scaling programs in countries like Brazil, Colombia, and Peru.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With evolving technology and rising global interdependence, the forecast period will witness an expansion of market scope from conventional clinical settings to mobile labs, border health posts, and humanitarian missions.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7B03" w:rsidRPr="00257B03" w:rsidRDefault="00257B03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>3. Market Trends and Innovation Landscape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The arbovirus testing market is undergoing rapid transformation driven by the convergence of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biotechnology advancements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diagnostics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climate-linked epidemiological shifts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 Innovation is not limited to detection technologies alone — it spans reagents, platforms, data analytics, and field usability.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A. Emerging Innovation Trends</w:t>
      </w:r>
    </w:p>
    <w:p w:rsidR="00257B03" w:rsidRPr="00257B03" w:rsidRDefault="00257B03" w:rsidP="00257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 Testing Panels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Laboratories are increasingly adopting multiplex panels that can simultaneously test for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Zika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, dengue, chikungunya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other </w:t>
      </w: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flaviviruses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This trend is accelerating due to 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symptomatic overlap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between arboviruses and the necessity for differential diagnosis.</w:t>
      </w:r>
    </w:p>
    <w:p w:rsidR="00257B03" w:rsidRPr="00257B03" w:rsidRDefault="00257B03" w:rsidP="00257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Point-of-Care Molecular Platforms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Technologies such as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LAMP (Loop-mediated isothermal amplification)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recombinase polymerase amplification (RPA)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becoming vital in outbreak zones. These platforms eliminate cold-chain dependencies and deliver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results within 30–60 minutes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, making them ideal for rural and low-resource geographies.</w:t>
      </w:r>
    </w:p>
    <w:p w:rsidR="00257B03" w:rsidRPr="00257B03" w:rsidRDefault="00257B03" w:rsidP="00257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CRISPR-based Diagnostics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Companies are developing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CRISPR-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Cas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for highly specific viral RNA 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detection. These tests offer rapid turnaround with the potential for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on-chip miniaturization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, positioning them as next-gen tools for surveillance.</w:t>
      </w:r>
    </w:p>
    <w:p w:rsidR="00257B03" w:rsidRPr="00257B03" w:rsidRDefault="00257B03" w:rsidP="00257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Biosensor Integration with Microfluidics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The rise of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lab-on-a-chip platforms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is redefining how diagnostic data is captured and relayed. </w:t>
      </w: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Integrated biosensor systems with smartphone connectivity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emerging as game-changers in both field applications and urban screening programs.</w:t>
      </w:r>
    </w:p>
    <w:p w:rsidR="00257B03" w:rsidRPr="00257B03" w:rsidRDefault="00257B03" w:rsidP="00257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Cloud-Enabled Diagnostic Platforms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Cloud-based interfaces linked to portable testing devices are enabling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 aggregation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crucial for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geospatial disease mapping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outbreak response coordination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According to virology experts, the fusion of lateral flow design with nucleic acid-based amplification will redefine portable diagnostics — moving them from 'triage tools' to 'first-line diagnostics' in outbreak scenarios.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B. Collaborations and R&amp;D Milestones</w:t>
      </w:r>
    </w:p>
    <w:p w:rsidR="00257B03" w:rsidRPr="00257B03" w:rsidRDefault="00257B03" w:rsidP="00257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A leading biotech firm recently partnered with a tropical disease research institute to co-develop a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multi-target arbovirus panel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using AI-enhanced interpretation for low-viral-load samples.</w:t>
      </w:r>
    </w:p>
    <w:p w:rsidR="00257B03" w:rsidRPr="00257B03" w:rsidRDefault="00257B03" w:rsidP="00257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Several public-private consortia are investing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dengue-CRISPR diagnostics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to provide early detection capabilities that outperform traditional PCR during the window period.</w:t>
      </w:r>
    </w:p>
    <w:p w:rsidR="00257B03" w:rsidRPr="00257B03" w:rsidRDefault="00257B03" w:rsidP="00257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platforms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being tested that use image recognition to analyze blood smear patterns, potentially adding automated vector-borne disease classification to microscopy systems.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C. Trends in Regulatory &amp; Policy Support</w:t>
      </w:r>
    </w:p>
    <w:p w:rsidR="00257B03" w:rsidRPr="00257B03" w:rsidRDefault="00257B03" w:rsidP="0025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Regulatory bodies like 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FDA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ANVISA (Brazil)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have fast-tracked emergency use approvals for arbovirus panels during seasonal outbreaks.</w:t>
      </w:r>
    </w:p>
    <w:p w:rsidR="00257B03" w:rsidRPr="00257B03" w:rsidRDefault="00257B03" w:rsidP="0025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The WHO’s inclusion of multiplex arbovirus panels in its Essential Diagnostics List (EDL)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is encouraging broader adoption among national healthcare systems in endemic regions.</w:t>
      </w:r>
    </w:p>
    <w:p w:rsidR="00257B03" w:rsidRPr="00257B03" w:rsidRDefault="00257B03" w:rsidP="0025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International donors are mandating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digitization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 standards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which is steering innovation toward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connected, standards-based platforms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>4. Competitive Intelligence and Benchmarking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The arbovirus testing market features a competitive landscape characterized by a mix of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multinational diagnostic corporations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emerging biotech innovators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public-sector research alliances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The dynamics revolve around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speed-to-result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adaptability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cost-efficiency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outbreak readiness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Below is a benchmarking overview of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7 leading players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shaping the global arbovirus diagnostics </w:t>
      </w:r>
      <w:proofErr w:type="gramStart"/>
      <w:r w:rsidRPr="00257B03">
        <w:rPr>
          <w:rFonts w:ascii="Times New Roman" w:eastAsia="Times New Roman" w:hAnsi="Times New Roman" w:cs="Times New Roman"/>
          <w:sz w:val="24"/>
          <w:szCs w:val="24"/>
        </w:rPr>
        <w:t>ecosystem:</w:t>
      </w:r>
      <w:proofErr w:type="gramEnd"/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1. Abbott Laboratories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A global diagnostics leader,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Abbott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has made substantial strides with its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ID NOW platform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offering rapid molecular results. The company’s strength lies in scalable manufacturing, global reach, and well-established relationships with ministries of health. It focuses on integrating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molecular and serological testing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to support outbreak surveillance in emerging markets.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2. F. Hoffmann-La Roche Ltd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Roche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leverages its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cobas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PCR systems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real-time RT-PCR kits tailored for dengue and </w:t>
      </w: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Zika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Its core competency is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high-throughput central laboratory systems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particularly in Europe and APAC. The company is increasingly focused on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automation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sample pooling strategies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to optimize epidemic responses.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3. Bio-Rad Laboratories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Bio-Rad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maintains a diversified arbovirus testing portfolio, especially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ELISA-based platforms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used by public health agencies. With strong distribution in North America and Latin America, its emphasis is on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research-grade and reference lab diagnostics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Their ongoing R&amp;D includes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 immunoassay panels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that can detect up to 7 arboviruses simultaneously.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Qiagen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N.V.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Qiagen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is a prominent player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nucleic acid extraction and RT-PCR kits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well-regarded for its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syndromic panels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portable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QIAstat-Dx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analyzer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Their strategy centers on developing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LAMP-based kits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for use in mobile health settings, with regional expansion targeting South Asia and West Africa.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Thermo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Fisher Scientific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With a vast diagnostics portfolio,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Thermo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Fisher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is investing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CRISPR-based molecular diagnostics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through its applied </w:t>
      </w: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biosystems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division. The firm offers flexible reagent kits, widely adopted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institutions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virology labs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Their key differentiator is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customizability for emerging viruses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robust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support networks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InBios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International, Inc.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A US-based innovator,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InBios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has carved out a niche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FDA-cleared rapid tests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Zika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dengue. The company focuses on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affordability and low-resource deployment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making its products favored by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non-profit and humanitarian health agencies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Its competitive edge lies in quick regulatory pathways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diagnostics tailored to field epidemiology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7.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Chembio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Diagnostics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Chembio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specializes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dual-path platform (DPP) immunoassays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with CE-marked tests for various arboviruses. Its strength lies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lateral flow devices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integrated with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digital readers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enhancing traceability in field testing. The company’s growth strategy includes targeting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Latin America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Sub-Saharan Africa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through NGO-led procurement programs.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>Competitive Themes and Differentiators</w:t>
      </w:r>
    </w:p>
    <w:p w:rsidR="00257B03" w:rsidRPr="00257B03" w:rsidRDefault="00257B03" w:rsidP="00257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High-throughput vs. Point-of-Care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: Larger firms like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Roche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Thermo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Fisher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dominate centralized lab diagnostics, while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InBios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Chembio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excel in low-cost, rapid testing.</w:t>
      </w:r>
    </w:p>
    <w:p w:rsidR="00257B03" w:rsidRPr="00257B03" w:rsidRDefault="00257B03" w:rsidP="00257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Licensing and Co-development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: Partnerships between global firms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local diagnostic startups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accelerating regional product approvals and field customizations.</w:t>
      </w:r>
    </w:p>
    <w:p w:rsidR="00257B03" w:rsidRPr="00257B03" w:rsidRDefault="00257B03" w:rsidP="00257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Outbreak Scalability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: Players that offer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bulk procurement flexibility and supply chain reliability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increasingly favored in public tenders during epidemic spikes.</w:t>
      </w:r>
    </w:p>
    <w:p w:rsidR="00257B03" w:rsidRPr="00257B03" w:rsidRDefault="00257B03" w:rsidP="00257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 Specialization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Bio-Rad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Qiagen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favored in research settings, while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Abbott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Chembio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have stronger presence in national surveillance programs.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As viral mutation and zoonotic emergence intensify, players with adaptable platforms and digital reporting interfaces are poised to dominate future tenders and public health contracts.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57B03" w:rsidRPr="00257B03" w:rsidRDefault="00257B03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>5. Regional Landscape and Adoption Outlook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The global arbovirus testing market exhibits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asymmetrical growth patterns across regions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driven by epidemiological factors, public health infrastructure, regulatory pace, and funding availability. While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endemic zones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remain the primary testing demand centers,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non-endemic nations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expanding preparedness and surveillance in light of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climate-driven vector spread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imported case surges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North America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North America remains a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high-investment but moderate-burden region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in arbovirus diagnostics. The United States, in particular, is advancing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seasonal testing protocols for West Nile virus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especially in southern states and urban mosquito zones. 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CDC’s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ArboNET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surveillance program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ensures consistent procurement of lab kits and molecular platforms.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Hospitals and public labs here prefer FDA-approved RT-PCR and ELISA kits with high sensitivity, and the market is dominated by premium diagnostics players.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Notably, the U.S. Department of Defense and NIH are funding arbovirus diagnostics for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military deployments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veterinary cross-detection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, widening the scope beyond human testing.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Europe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Europe has traditionally had low endemic burden, but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climate change and rising travel exposure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have led to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sporadic outbreaks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in southern and central countries. Autochthonous cases of dengue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France, Spain, and Italy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have triggered increased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vector monitoring and diagnostic preparedness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European Centre for Disease Prevention and Control (ECDC)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is actively funding regional surveillance programs. High adoption of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 serological panels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PCR kits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has been seen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Germany, Sweden, and the Netherlands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, driven by academic institutions and public health labs.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The region emphasizes regulatory harmonization and laboratory standardization, pushing demand for CE-marked, cross-reactivity validated kits.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Asia Pacific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Asia Pacific is 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largest and fastest-growing market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led by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India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Indonesia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Thailand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Philippines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— countries with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chronic dengue burden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regular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Zika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/chikungunya flare-ups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Governments in these nations are rolling out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viral fever panels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as part of fever clinic strategies, particularly in urban and semi-urban zones. Regional procurement trends show a rising preference for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LAMP-based tests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low-cost RDTs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mobile diagnostics labs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China and South Korea are investing in high-accuracy PCR labs, while India is promoting indigenous kit manufacturing under "Make in India" </w:t>
      </w:r>
      <w:proofErr w:type="spellStart"/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healthtech</w:t>
      </w:r>
      <w:proofErr w:type="spellEnd"/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programs.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Additionally,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Australia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Japan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bolstering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border health surveillance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, incorporating arbovirus tests at points of entry.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Latin America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region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severely affected by arboviruses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Latin America accounts for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 significant share of global testing demand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especially for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dengue and </w:t>
      </w: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Zika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Brazil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Colombia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Mexico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Peru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key diagnostic markets, supported by public-private partnerships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donor funding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Pan American Health Organization (PAHO)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plays a central role in validating and distributing diagnostics in this region.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Latin America is witnessing a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surge in decentralized testing models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health clinics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mobile response units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performing frontline diagnostics using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rapid tests and portable PCR analyzers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According to field researchers, the ability to diagnose multiple arboviruses in peripheral health settings is rapidly reducing referral delays and improving patient triage.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Middle East &amp; Africa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This region shows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emerging demand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particularly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sub-Saharan Africa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where yellow fever and dengue are gaining ground due to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urban vector expansion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Countries like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Nigeria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Kenya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Angola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now integrating arbovirus tests in their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fever case definitions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at tertiary hospitals.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Testing availability is limited but growing due to WHO-led programs and global health donors.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Dubai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Qatar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also investing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traveler screening protocols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, as tourism and expatriate movements increase health security concerns.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The region offers white space opportunities for affordable and scalable testing models that can bypass traditional lab dependencies.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57B03" w:rsidRPr="00257B03" w:rsidRDefault="00257B03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>6. End-User Dynamics and Use Case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The demand for arbovirus testing is distributed across a diverse set of end users, each with distinct diagnostic requirements, infrastructure capacities, and turnaround expectations. The market’s evolution reflects how testing has shifted from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lab setups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and field-based applications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, responding to the unpredictable and urgent nature of arbovirus outbreaks.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Key End Users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Hospitals and Clinical Laboratories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57B03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remain 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primary end users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across all regions. Hospitals rely on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RT-PCR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ELISA kits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for patient diagnosis and inpatient management, particularly in dengue-endemic countries. Integration with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medical records (EMRs)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access to high-throughput platforms make these facilities ideal for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routine and confirmatory testing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Large urban hospitals also serve as sentinel sites for regional outbreak detection, giving them a dual clinical and epidemiological role.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2. Public Health Agencies and Surveillance Programs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Public health entities like 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CDC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PAHO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vector control programs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use arbovirus diagnostics primarily for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epidemic mapping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contact tracing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intervention planning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These stakeholders prioritize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batch testing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 panel deployment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, especially during outbreak seasonality.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They also form the backbone of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lab networks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that validate cases reported by smaller facilities.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3. Diagnostic Reference Laboratories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Independent labs and networked diagnostic chains play a vital role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sample overflow management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test verification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particularly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Latin America and South Asia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. These labs often use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automated, high-volume platforms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are involved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trials or post-marketing surveillance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of new diagnostics.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Reference labs are crucial for detecting false positives or serological cross-reactivity, which is common in </w:t>
      </w:r>
      <w:proofErr w:type="spellStart"/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flavivirus</w:t>
      </w:r>
      <w:proofErr w:type="spellEnd"/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testing.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4. Research and Academic Institutions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Universities and research centers are heavily involved in developing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next-gen diagnostic tools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especially CRISPR- and biosensor-based models. They also conduct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field validation studies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in coordination with NGOs and WHO task forces.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5. Military and Emergency Services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In regions like Southeast Asia, Africa, and South America,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military medical corps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are deploying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portable arbovirus testing kits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for rapid screening during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flood relief, disaster recovery, and peacekeeping missions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Real-World Use Case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 tertiary hospital in Chiang Mai, Thailand, faced a surge in patients presenting with fever, joint pain, and rash during the 2024 monsoon season. Lacking definitive symptoms, physicians employed a </w:t>
      </w:r>
      <w:r w:rsidRPr="00257B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rapid molecular panel</w:t>
      </w: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developed for simultaneous detection of dengue, chikungunya, and </w:t>
      </w:r>
      <w:proofErr w:type="spellStart"/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Zika</w:t>
      </w:r>
      <w:proofErr w:type="spellEnd"/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Within 45 minutes, results revealed a 3-fold spike in chikungunya cases — a departure from the usual dengue trend. This real-time data allowed the hospital to alert the regional health department, which then activated vector control and initiated community awareness drives. The incident underscores how </w:t>
      </w:r>
      <w:r w:rsidRPr="00257B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rapid, multi-target diagnostics</w:t>
      </w: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can improve not only individual patient care but also </w:t>
      </w:r>
      <w:r w:rsidRPr="00257B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community-level outbreak responsiveness</w:t>
      </w:r>
      <w:r w:rsidRPr="00257B0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57B03" w:rsidRPr="00257B03" w:rsidRDefault="00257B03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>7. Recent Developments + Opportunities &amp; Restraints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Segoe UI Symbol" w:eastAsia="Times New Roman" w:hAnsi="Segoe UI Symbol" w:cs="Segoe UI Symbol"/>
          <w:b/>
          <w:bCs/>
          <w:sz w:val="24"/>
          <w:szCs w:val="24"/>
        </w:rPr>
        <w:t>🆕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Recent Developments (Last 2 Years)</w:t>
      </w:r>
    </w:p>
    <w:p w:rsidR="00257B03" w:rsidRPr="00257B03" w:rsidRDefault="00257B03" w:rsidP="00257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InBios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received emergency use authorization from the U.S. FDA for its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Chikungunya IgM Capture ELISA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>, enabling faster public health response during outbreaks in the Americas.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="00E01EB5" w:rsidRPr="007452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https://www.fda.gov/media/165658/download</w:t>
        </w:r>
      </w:hyperlink>
      <w:r w:rsidR="00E01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7B03" w:rsidRPr="00257B03" w:rsidRDefault="00257B03" w:rsidP="00257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Brazil-based consortium of academic labs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and biotech firms launched a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CRISPR-based portable diagnostic prototype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that detects dengue and </w:t>
      </w: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Zika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in under 30 minutes, with a mobile phone readout.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tgtFrame="_new" w:history="1">
        <w:r w:rsidRPr="00257B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https://www.nature.com/articles/s41598-023-35472-7</w:t>
        </w:r>
      </w:hyperlink>
    </w:p>
    <w:p w:rsidR="00257B03" w:rsidRPr="00257B03" w:rsidRDefault="00257B03" w:rsidP="00257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Chembio</w:t>
      </w:r>
      <w:proofErr w:type="spell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Diagnostics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announced the rollout of its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DPP® Dengue System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across high-burden regions in Central America, featuring a digital reader that improves test traceability and accuracy.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history="1">
        <w:r w:rsidR="00E01EB5" w:rsidRPr="007452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https://chembio.com/chembio-announces-commercial-launch-of-dpp-dengue-system/</w:t>
        </w:r>
      </w:hyperlink>
      <w:r w:rsidR="00E01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7B03" w:rsidRPr="00257B03" w:rsidRDefault="00257B03" w:rsidP="00257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European Centre for Disease Prevention and Control (ECDC)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issued an updated guidance in 2023 urging member states to integrate arbovirus testing in febrile illness protocols during the travel season.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tgtFrame="_new" w:history="1">
        <w:r w:rsidRPr="00257B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https://www.ecdc.europa.eu/en/publications-data/epidemiological-update-arboviral-disease-europe-2023</w:t>
        </w:r>
      </w:hyperlink>
    </w:p>
    <w:p w:rsidR="00257B03" w:rsidRPr="00257B03" w:rsidRDefault="00257B03" w:rsidP="00257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PAHO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partnered with multiple diagnostic providers to establish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mobile lab units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across 11 countries in Latin America for real-time detection of dengue, </w:t>
      </w: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Zika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>, and chikungunya viruses.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E01EB5" w:rsidRPr="0074524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https://www.paho.org/en/news/24-5-2023-mobile-labs-reinforce-regional-response-arbovirus-outbreaks</w:t>
        </w:r>
      </w:hyperlink>
      <w:r w:rsidR="00E01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Segoe UI Symbol" w:eastAsia="Times New Roman" w:hAnsi="Segoe UI Symbol" w:cs="Segoe UI Symbol"/>
          <w:b/>
          <w:bCs/>
          <w:sz w:val="27"/>
          <w:szCs w:val="27"/>
        </w:rPr>
        <w:t>🔁</w:t>
      </w: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Opportunities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Climate-Induced Vector Expansion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Global warming is pushing arbovirus-carrying vectors into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non-endemic regions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opening up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new diagnostic demand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in parts of Europe, the Middle East, and northern China.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2. Point-of-Care Innovation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There is growing traction for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low-cost, portable, and electricity-free testing platforms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especially those utilizing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LAMP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microfluidics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biosensor technologies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in resource-constrained environments.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3. Cross-Pathogen Panels and Digital Surveillance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The demand for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fever panels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that detect multiple pathogens (e.g., dengue + malaria + COVID-19) and link results to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dashboards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is creating new market segments in smart diagnostics.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Segoe UI Symbol" w:eastAsia="Times New Roman" w:hAnsi="Segoe UI Symbol" w:cs="Segoe UI Symbol"/>
          <w:b/>
          <w:bCs/>
          <w:sz w:val="27"/>
          <w:szCs w:val="27"/>
        </w:rPr>
        <w:t>🚧</w:t>
      </w: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Restraints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1. Cross-Reactivity and Diagnostic Ambiguity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Serological tests often produce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positives due to antibody cross-reactivity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among </w:t>
      </w: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flaviviruses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>, complicating clinical decisions and epidemiological tracking.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2. Fragmented Regulatory Pathways in Emerging Economies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br/>
        <w:t xml:space="preserve">Inconsistent or slow approval processes in 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Africa, parts of Asia, and Latin America</w:t>
      </w:r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limit the commercial rollout of advanced diagnostic products, delaying response efforts.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01EB5" w:rsidRDefault="00E01EB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Report Summary, FAQs, and SEO Schema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Segoe UI Symbol" w:eastAsia="Times New Roman" w:hAnsi="Segoe UI Symbol" w:cs="Segoe UI Symbol"/>
          <w:b/>
          <w:bCs/>
          <w:sz w:val="24"/>
          <w:szCs w:val="24"/>
        </w:rPr>
        <w:t>📘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A.1. Report Title (Long-Form)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Arbovirus Testing Market By Test Type (Molecular Tests, Serological Tests, Rapid Diagnostic Tests, PRNT); By Technology (PCR, LAMP, ELISA, Biosensors, Others); By End User (Hospitals, Public Health Agencies, Research Institutions, Military); By Geography, Segment Revenue Estimation, Forecast, 2024–2030.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🧾 A.2. Market Slug Name (all lowercase)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arbovirus</w:t>
      </w:r>
      <w:proofErr w:type="gramEnd"/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testing market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Segoe UI Symbol" w:eastAsia="Times New Roman" w:hAnsi="Segoe UI Symbol" w:cs="Segoe UI Symbol"/>
          <w:b/>
          <w:bCs/>
          <w:sz w:val="24"/>
          <w:szCs w:val="24"/>
        </w:rPr>
        <w:t>💲</w:t>
      </w: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A.3. Market Size Format (SEO Title)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Arbovirus Testing Market Size ($2.21 Billion) 2030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B. Report Coverage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909"/>
      </w:tblGrid>
      <w:tr w:rsidR="00257B03" w:rsidRPr="00257B03" w:rsidTr="00257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 Attribute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Forecast Period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2024 – 2030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Market Size Value in 2024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USD 1.42 Billion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Revenue Forecast in 2030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USD 2.21 Billion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Overall Growth Rate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CAGR of 7.6% (2024 – 2030)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Base Year for Estimation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Historical Data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2017 – 2021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USD Million, CAGR (2024 – 2030)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By Test Type, By Technology, By End User, By Geography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By Test Type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Molecular Tests, Serological Tests, Rapid Diagnostic Tests, PRNT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By Technology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PCR, LAMP, ELISA, Biosensors, Others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By End User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Hospitals, Public Health Agencies, Diagnostic Labs, Research Institutions, Military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By Region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North America, Europe, Asia-Pacific, Latin America, Middle East &amp; Africa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Country Scope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U.S., UK, Germany, China, India, Japan, Brazil, etc.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Market Drivers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- Rising outbreak frequency</w:t>
            </w: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Point-of-care testing innovation</w:t>
            </w: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Government-funded surveillance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Customization Option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upon request</w:t>
            </w:r>
          </w:p>
        </w:tc>
      </w:tr>
    </w:tbl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C. Top 5 FAQs (with 1–2 line answers)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5595"/>
      </w:tblGrid>
      <w:tr w:rsidR="00257B03" w:rsidRPr="00257B03" w:rsidTr="00257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big is the arbovirus testing market?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global arbovirus testing market was valued at </w:t>
            </w: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USD 1.42 billion in 2024</w:t>
            </w: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is the CAGR for arbovirus testing during the forecast period?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market is expected to grow at a </w:t>
            </w: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CAGR of 7.6% from 2024 to 2030</w:t>
            </w: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 are the major players in the arbovirus testing market?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Leading players include </w:t>
            </w: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Abbott</w:t>
            </w: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Roche</w:t>
            </w: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Qiagen</w:t>
            </w:r>
            <w:proofErr w:type="spellEnd"/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InBios</w:t>
            </w:r>
            <w:proofErr w:type="spellEnd"/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Chembio</w:t>
            </w:r>
            <w:proofErr w:type="spellEnd"/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Diagnostics</w:t>
            </w: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region dominates the arbovirus testing market?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Asia Pacific</w:t>
            </w: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leads due to high disease prevalence and expanding diagnostic infrastructure.</w:t>
            </w:r>
          </w:p>
        </w:tc>
      </w:tr>
      <w:tr w:rsidR="00257B03" w:rsidRPr="00257B03" w:rsidTr="00257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factors are driving the arbovirus testing market?</w:t>
            </w:r>
          </w:p>
        </w:tc>
        <w:tc>
          <w:tcPr>
            <w:tcW w:w="0" w:type="auto"/>
            <w:vAlign w:val="center"/>
            <w:hideMark/>
          </w:tcPr>
          <w:p w:rsidR="00257B03" w:rsidRPr="00257B03" w:rsidRDefault="00257B03" w:rsidP="00257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is fueled by </w:t>
            </w: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climate-driven outbreaks</w:t>
            </w: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rapid testing innovation</w:t>
            </w: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257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 surveillance initiatives</w:t>
            </w:r>
            <w:r w:rsidRPr="00257B0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>🧩 D. JSON-LD Schema Markup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1. Breadcrumb Schema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57B03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"@context": "https://schema.org",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"@type": "</w:t>
      </w:r>
      <w:proofErr w:type="spellStart"/>
      <w:r w:rsidRPr="00257B03">
        <w:rPr>
          <w:rFonts w:ascii="Courier New" w:eastAsia="Times New Roman" w:hAnsi="Courier New" w:cs="Courier New"/>
          <w:sz w:val="20"/>
          <w:szCs w:val="20"/>
        </w:rPr>
        <w:t>BreadcrumbList</w:t>
      </w:r>
      <w:proofErr w:type="spellEnd"/>
      <w:r w:rsidRPr="00257B03">
        <w:rPr>
          <w:rFonts w:ascii="Courier New" w:eastAsia="Times New Roman" w:hAnsi="Courier New" w:cs="Courier New"/>
          <w:sz w:val="20"/>
          <w:szCs w:val="20"/>
        </w:rPr>
        <w:t>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itemListElement</w:t>
      </w:r>
      <w:proofErr w:type="spellEnd"/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[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"@type": "</w:t>
      </w:r>
      <w:proofErr w:type="spellStart"/>
      <w:r w:rsidRPr="00257B03">
        <w:rPr>
          <w:rFonts w:ascii="Courier New" w:eastAsia="Times New Roman" w:hAnsi="Courier New" w:cs="Courier New"/>
          <w:sz w:val="20"/>
          <w:szCs w:val="20"/>
        </w:rPr>
        <w:t>ListItem</w:t>
      </w:r>
      <w:proofErr w:type="spellEnd"/>
      <w:r w:rsidRPr="00257B03">
        <w:rPr>
          <w:rFonts w:ascii="Courier New" w:eastAsia="Times New Roman" w:hAnsi="Courier New" w:cs="Courier New"/>
          <w:sz w:val="20"/>
          <w:szCs w:val="20"/>
        </w:rPr>
        <w:t>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position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1,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"Home",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item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"https://www.strategicmarketresearch.com/"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"@type": "</w:t>
      </w:r>
      <w:proofErr w:type="spellStart"/>
      <w:r w:rsidRPr="00257B03">
        <w:rPr>
          <w:rFonts w:ascii="Courier New" w:eastAsia="Times New Roman" w:hAnsi="Courier New" w:cs="Courier New"/>
          <w:sz w:val="20"/>
          <w:szCs w:val="20"/>
        </w:rPr>
        <w:t>ListItem</w:t>
      </w:r>
      <w:proofErr w:type="spellEnd"/>
      <w:r w:rsidRPr="00257B03">
        <w:rPr>
          <w:rFonts w:ascii="Courier New" w:eastAsia="Times New Roman" w:hAnsi="Courier New" w:cs="Courier New"/>
          <w:sz w:val="20"/>
          <w:szCs w:val="20"/>
        </w:rPr>
        <w:t>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position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2,</w:t>
      </w:r>
    </w:p>
    <w:p w:rsidR="00257B03" w:rsidRPr="00257B03" w:rsidRDefault="00E01EB5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": "Healthcare</w:t>
      </w:r>
      <w:r w:rsidR="00257B03" w:rsidRPr="00257B03">
        <w:rPr>
          <w:rFonts w:ascii="Courier New" w:eastAsia="Times New Roman" w:hAnsi="Courier New" w:cs="Courier New"/>
          <w:sz w:val="20"/>
          <w:szCs w:val="20"/>
        </w:rPr>
        <w:t>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item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"https://www.strategicmarket</w:t>
      </w:r>
      <w:r w:rsidR="00E01EB5">
        <w:rPr>
          <w:rFonts w:ascii="Courier New" w:eastAsia="Times New Roman" w:hAnsi="Courier New" w:cs="Courier New"/>
          <w:sz w:val="20"/>
          <w:szCs w:val="20"/>
        </w:rPr>
        <w:t>research.com/reports/healthcare</w:t>
      </w:r>
      <w:r w:rsidRPr="00257B03">
        <w:rPr>
          <w:rFonts w:ascii="Courier New" w:eastAsia="Times New Roman" w:hAnsi="Courier New" w:cs="Courier New"/>
          <w:sz w:val="20"/>
          <w:szCs w:val="20"/>
        </w:rPr>
        <w:t>"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"@type": "</w:t>
      </w:r>
      <w:proofErr w:type="spellStart"/>
      <w:r w:rsidRPr="00257B03">
        <w:rPr>
          <w:rFonts w:ascii="Courier New" w:eastAsia="Times New Roman" w:hAnsi="Courier New" w:cs="Courier New"/>
          <w:sz w:val="20"/>
          <w:szCs w:val="20"/>
        </w:rPr>
        <w:t>ListItem</w:t>
      </w:r>
      <w:proofErr w:type="spellEnd"/>
      <w:r w:rsidRPr="00257B03">
        <w:rPr>
          <w:rFonts w:ascii="Courier New" w:eastAsia="Times New Roman" w:hAnsi="Courier New" w:cs="Courier New"/>
          <w:sz w:val="20"/>
          <w:szCs w:val="20"/>
        </w:rPr>
        <w:t>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position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3,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"Arbovirus Testing Market Report 2030",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item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"https://www.strategicmarketresearch.com/market-report/arbovirus-testing-market"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]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}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2. FAQ Schema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57B03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"@context": "https://schema.org",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"@type": "</w:t>
      </w:r>
      <w:proofErr w:type="spellStart"/>
      <w:r w:rsidRPr="00257B03">
        <w:rPr>
          <w:rFonts w:ascii="Courier New" w:eastAsia="Times New Roman" w:hAnsi="Courier New" w:cs="Courier New"/>
          <w:sz w:val="20"/>
          <w:szCs w:val="20"/>
        </w:rPr>
        <w:t>FAQPage</w:t>
      </w:r>
      <w:proofErr w:type="spellEnd"/>
      <w:r w:rsidRPr="00257B03">
        <w:rPr>
          <w:rFonts w:ascii="Courier New" w:eastAsia="Times New Roman" w:hAnsi="Courier New" w:cs="Courier New"/>
          <w:sz w:val="20"/>
          <w:szCs w:val="20"/>
        </w:rPr>
        <w:t>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mainEntity</w:t>
      </w:r>
      <w:proofErr w:type="spellEnd"/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[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"@type": "Question",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"How big is the arbovirus testing market?",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acceptedAnswer</w:t>
      </w:r>
      <w:proofErr w:type="spellEnd"/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  "@type": "Answer",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"The global arbovirus testing market was valued at USD 1.42 billion in 2024."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"@type": "Question",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"What is the CAGR for arbovirus testing during the forecast period?",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acceptedAnswer</w:t>
      </w:r>
      <w:proofErr w:type="spellEnd"/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  "@type": "Answer",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"The market is expected to grow at a CAGR of 7.6% from 2024 to 2030."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"@type": "Question",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"Who are the major players in the arbovirus testing market?",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acceptedAnswer</w:t>
      </w:r>
      <w:proofErr w:type="spellEnd"/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  "@type": "Answer",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 xml:space="preserve">": "Leading players include Abbott, Roche, </w:t>
      </w:r>
      <w:proofErr w:type="spellStart"/>
      <w:r w:rsidRPr="00257B03">
        <w:rPr>
          <w:rFonts w:ascii="Courier New" w:eastAsia="Times New Roman" w:hAnsi="Courier New" w:cs="Courier New"/>
          <w:sz w:val="20"/>
          <w:szCs w:val="20"/>
        </w:rPr>
        <w:t>Qiagen</w:t>
      </w:r>
      <w:proofErr w:type="spellEnd"/>
      <w:r w:rsidRPr="00257B0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57B03">
        <w:rPr>
          <w:rFonts w:ascii="Courier New" w:eastAsia="Times New Roman" w:hAnsi="Courier New" w:cs="Courier New"/>
          <w:sz w:val="20"/>
          <w:szCs w:val="20"/>
        </w:rPr>
        <w:t>InBios</w:t>
      </w:r>
      <w:proofErr w:type="spellEnd"/>
      <w:r w:rsidRPr="00257B03">
        <w:rPr>
          <w:rFonts w:ascii="Courier New" w:eastAsia="Times New Roman" w:hAnsi="Courier New" w:cs="Courier New"/>
          <w:sz w:val="20"/>
          <w:szCs w:val="20"/>
        </w:rPr>
        <w:t xml:space="preserve">, and </w:t>
      </w:r>
      <w:proofErr w:type="spellStart"/>
      <w:r w:rsidRPr="00257B03">
        <w:rPr>
          <w:rFonts w:ascii="Courier New" w:eastAsia="Times New Roman" w:hAnsi="Courier New" w:cs="Courier New"/>
          <w:sz w:val="20"/>
          <w:szCs w:val="20"/>
        </w:rPr>
        <w:t>Chembio</w:t>
      </w:r>
      <w:proofErr w:type="spellEnd"/>
      <w:r w:rsidRPr="00257B03">
        <w:rPr>
          <w:rFonts w:ascii="Courier New" w:eastAsia="Times New Roman" w:hAnsi="Courier New" w:cs="Courier New"/>
          <w:sz w:val="20"/>
          <w:szCs w:val="20"/>
        </w:rPr>
        <w:t xml:space="preserve"> Diagnostics."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"@type": "Question",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"Which region dominates the arbovirus testing market?",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acceptedAnswer</w:t>
      </w:r>
      <w:proofErr w:type="spellEnd"/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  "@type": "Answer",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"Asia Pacific leads due to high disease prevalence and expanding diagnostic infrastructure."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"@type": "Question",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"What factors are driving the arbovirus testing market?",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acceptedAnswer</w:t>
      </w:r>
      <w:proofErr w:type="spellEnd"/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{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  "@type": "Answer",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257B03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257B03">
        <w:rPr>
          <w:rFonts w:ascii="Courier New" w:eastAsia="Times New Roman" w:hAnsi="Courier New" w:cs="Courier New"/>
          <w:sz w:val="20"/>
          <w:szCs w:val="20"/>
        </w:rPr>
        <w:t>": "Growth is fueled by climate-driven outbreaks, rapid testing innovation, and global surveillance initiatives."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]</w:t>
      </w:r>
    </w:p>
    <w:p w:rsidR="00257B03" w:rsidRPr="00257B03" w:rsidRDefault="00257B03" w:rsidP="00257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7B03">
        <w:rPr>
          <w:rFonts w:ascii="Courier New" w:eastAsia="Times New Roman" w:hAnsi="Courier New" w:cs="Courier New"/>
          <w:sz w:val="20"/>
          <w:szCs w:val="20"/>
        </w:rPr>
        <w:t>}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01EB5" w:rsidRDefault="00E01EB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57B03" w:rsidRPr="00257B03" w:rsidRDefault="00257B03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7B03">
        <w:rPr>
          <w:rFonts w:ascii="Times New Roman" w:eastAsia="Times New Roman" w:hAnsi="Times New Roman" w:cs="Times New Roman"/>
          <w:b/>
          <w:bCs/>
          <w:sz w:val="27"/>
          <w:szCs w:val="27"/>
        </w:rPr>
        <w:t>9. Table of Contents for Arbovirus Testing Market Report (2024–2030)</w: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</w:p>
    <w:p w:rsidR="00257B03" w:rsidRPr="00257B03" w:rsidRDefault="00257B03" w:rsidP="00257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Overview</w:t>
      </w:r>
    </w:p>
    <w:p w:rsidR="00257B03" w:rsidRPr="00257B03" w:rsidRDefault="00257B03" w:rsidP="00257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Attractiveness by Test Type, Technology, End User, and Region</w:t>
      </w:r>
    </w:p>
    <w:p w:rsidR="00257B03" w:rsidRPr="00257B03" w:rsidRDefault="00257B03" w:rsidP="00257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Strategic Insights from Key Stakeholders</w:t>
      </w:r>
    </w:p>
    <w:p w:rsidR="00257B03" w:rsidRPr="00257B03" w:rsidRDefault="00257B03" w:rsidP="00257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Historical Market Size and Future Projections (2022–2030)</w:t>
      </w:r>
    </w:p>
    <w:p w:rsidR="00257B03" w:rsidRPr="00257B03" w:rsidRDefault="00257B03" w:rsidP="00257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Summary of Market Segmentation by Test Type, Technology, End User, and Region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Market Share Analysis</w:t>
      </w:r>
    </w:p>
    <w:p w:rsidR="00257B03" w:rsidRPr="00257B03" w:rsidRDefault="00257B03" w:rsidP="00257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Leading Players by Revenue and Market Share</w:t>
      </w:r>
    </w:p>
    <w:p w:rsidR="00257B03" w:rsidRPr="00257B03" w:rsidRDefault="00257B03" w:rsidP="00257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Share Analysis by Test Type, Technology, and End User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Opportunities in the Arbovirus Testing Market</w:t>
      </w:r>
    </w:p>
    <w:p w:rsidR="00257B03" w:rsidRPr="00257B03" w:rsidRDefault="00257B03" w:rsidP="00257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Key Developments and Innovations</w:t>
      </w:r>
    </w:p>
    <w:p w:rsidR="00257B03" w:rsidRPr="00257B03" w:rsidRDefault="00257B03" w:rsidP="00257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Mergers, Acquisitions, and Strategic Collaborations</w:t>
      </w:r>
    </w:p>
    <w:p w:rsidR="00257B03" w:rsidRPr="00257B03" w:rsidRDefault="00257B03" w:rsidP="00257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High-Growth Segments for Strategic Investment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Market Introduction</w:t>
      </w:r>
    </w:p>
    <w:p w:rsidR="00257B03" w:rsidRPr="00257B03" w:rsidRDefault="00257B03" w:rsidP="00257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Definition and Scope of the Study</w:t>
      </w:r>
    </w:p>
    <w:p w:rsidR="00257B03" w:rsidRPr="00257B03" w:rsidRDefault="00257B03" w:rsidP="00257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Structure and Key Findings</w:t>
      </w:r>
    </w:p>
    <w:p w:rsidR="00257B03" w:rsidRPr="00257B03" w:rsidRDefault="00257B03" w:rsidP="00257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Overview of Top Investment Pockets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Methodology</w:t>
      </w:r>
    </w:p>
    <w:p w:rsidR="00257B03" w:rsidRPr="00257B03" w:rsidRDefault="00257B03" w:rsidP="00257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Research Process Overview</w:t>
      </w:r>
    </w:p>
    <w:p w:rsidR="00257B03" w:rsidRPr="00257B03" w:rsidRDefault="00257B03" w:rsidP="00257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Primary and Secondary Research Approaches</w:t>
      </w:r>
    </w:p>
    <w:p w:rsidR="00257B03" w:rsidRPr="00257B03" w:rsidRDefault="00257B03" w:rsidP="00257B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Size Estimation and Forecasting Techniques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Market Dynamics</w:t>
      </w:r>
    </w:p>
    <w:p w:rsidR="00257B03" w:rsidRPr="00257B03" w:rsidRDefault="00257B03" w:rsidP="00257B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lastRenderedPageBreak/>
        <w:t>Key Market Drivers</w:t>
      </w:r>
    </w:p>
    <w:p w:rsidR="00257B03" w:rsidRPr="00257B03" w:rsidRDefault="00257B03" w:rsidP="00257B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Challenges and Restraints Impacting Growth</w:t>
      </w:r>
    </w:p>
    <w:p w:rsidR="00257B03" w:rsidRPr="00257B03" w:rsidRDefault="00257B03" w:rsidP="00257B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Emerging Opportunities for Stakeholders</w:t>
      </w:r>
    </w:p>
    <w:p w:rsidR="00257B03" w:rsidRPr="00257B03" w:rsidRDefault="00257B03" w:rsidP="00257B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Regulatory Influence and Health Policy Trends</w:t>
      </w:r>
    </w:p>
    <w:p w:rsidR="00257B03" w:rsidRPr="00257B03" w:rsidRDefault="00257B03" w:rsidP="00257B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Role of International Donors and Surveillance Programs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Global Arbovirus Testing Market Analysis</w:t>
      </w:r>
    </w:p>
    <w:p w:rsidR="00257B03" w:rsidRPr="00257B03" w:rsidRDefault="00257B03" w:rsidP="00257B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Historical Market Size and Volume (2022–2023)</w:t>
      </w:r>
    </w:p>
    <w:p w:rsidR="00257B03" w:rsidRPr="00257B03" w:rsidRDefault="00257B03" w:rsidP="00257B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Size and Volume Forecasts (2024–2030)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Test Type:</w:t>
      </w:r>
    </w:p>
    <w:p w:rsidR="00257B03" w:rsidRPr="00257B03" w:rsidRDefault="00257B03" w:rsidP="00257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Molecular Tests</w:t>
      </w:r>
    </w:p>
    <w:p w:rsidR="00257B03" w:rsidRPr="00257B03" w:rsidRDefault="00257B03" w:rsidP="00257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Serological Tests</w:t>
      </w:r>
    </w:p>
    <w:p w:rsidR="00257B03" w:rsidRPr="00257B03" w:rsidRDefault="00257B03" w:rsidP="00257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Rapid Diagnostic Tests (RDTs)</w:t>
      </w:r>
    </w:p>
    <w:p w:rsidR="00257B03" w:rsidRPr="00257B03" w:rsidRDefault="00257B03" w:rsidP="00257B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Plaque Reduction Neutralization Tests (PRNT)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Technology:</w:t>
      </w:r>
    </w:p>
    <w:p w:rsidR="00257B03" w:rsidRPr="00257B03" w:rsidRDefault="00257B03" w:rsidP="00257B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Polymerase Chain Reaction (PCR)</w:t>
      </w:r>
    </w:p>
    <w:p w:rsidR="00257B03" w:rsidRPr="00257B03" w:rsidRDefault="00257B03" w:rsidP="00257B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Loop-Mediated Isothermal Amplification (LAMP)</w:t>
      </w:r>
    </w:p>
    <w:p w:rsidR="00257B03" w:rsidRPr="00257B03" w:rsidRDefault="00257B03" w:rsidP="00257B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Enzyme-Linked Immunosorbent Assay (ELISA)</w:t>
      </w:r>
    </w:p>
    <w:p w:rsidR="00257B03" w:rsidRPr="00257B03" w:rsidRDefault="00257B03" w:rsidP="00257B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Biosensors and Microfluidics</w:t>
      </w:r>
    </w:p>
    <w:p w:rsidR="00257B03" w:rsidRPr="00257B03" w:rsidRDefault="00257B03" w:rsidP="00257B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Others (e.g., CRISPR, NGS)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End User:</w:t>
      </w:r>
    </w:p>
    <w:p w:rsidR="00257B03" w:rsidRPr="00257B03" w:rsidRDefault="00257B03" w:rsidP="00257B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Hospitals and Clinical Laboratories</w:t>
      </w:r>
    </w:p>
    <w:p w:rsidR="00257B03" w:rsidRPr="00257B03" w:rsidRDefault="00257B03" w:rsidP="00257B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Public Health Agencies and Surveillance Networks</w:t>
      </w:r>
    </w:p>
    <w:p w:rsidR="00257B03" w:rsidRPr="00257B03" w:rsidRDefault="00257B03" w:rsidP="00257B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Diagnostic Reference Labs</w:t>
      </w:r>
    </w:p>
    <w:p w:rsidR="00257B03" w:rsidRPr="00257B03" w:rsidRDefault="00257B03" w:rsidP="00257B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Research and Academic Institutions</w:t>
      </w:r>
    </w:p>
    <w:p w:rsidR="00257B03" w:rsidRPr="00257B03" w:rsidRDefault="00257B03" w:rsidP="00257B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Military and Emergency Services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By Region:</w:t>
      </w:r>
    </w:p>
    <w:p w:rsidR="00257B03" w:rsidRPr="00257B03" w:rsidRDefault="00257B03" w:rsidP="00257B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North America</w:t>
      </w:r>
    </w:p>
    <w:p w:rsidR="00257B03" w:rsidRPr="00257B03" w:rsidRDefault="00257B03" w:rsidP="00257B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Europe</w:t>
      </w:r>
    </w:p>
    <w:p w:rsidR="00257B03" w:rsidRPr="00257B03" w:rsidRDefault="00257B03" w:rsidP="00257B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Asia-Pacific</w:t>
      </w:r>
    </w:p>
    <w:p w:rsidR="00257B03" w:rsidRPr="00257B03" w:rsidRDefault="00257B03" w:rsidP="00257B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Latin America</w:t>
      </w:r>
    </w:p>
    <w:p w:rsidR="00257B03" w:rsidRPr="00257B03" w:rsidRDefault="00257B03" w:rsidP="00257B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Middle East &amp; Africa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Regional Arbovirus Testing Market Analysis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North America</w:t>
      </w:r>
    </w:p>
    <w:p w:rsidR="00257B03" w:rsidRPr="00257B03" w:rsidRDefault="00257B03" w:rsidP="00257B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Size and Forecast</w:t>
      </w:r>
    </w:p>
    <w:p w:rsidR="00257B03" w:rsidRPr="00257B03" w:rsidRDefault="00257B03" w:rsidP="00257B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Segment Analysis by Test Type, Technology, and End User</w:t>
      </w:r>
    </w:p>
    <w:p w:rsidR="00257B03" w:rsidRPr="00257B03" w:rsidRDefault="00257B03" w:rsidP="00257B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Country Breakdown: United States, Canada, Mexico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Europe</w:t>
      </w:r>
    </w:p>
    <w:p w:rsidR="00257B03" w:rsidRPr="00257B03" w:rsidRDefault="00257B03" w:rsidP="00257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Size and Forecast</w:t>
      </w:r>
    </w:p>
    <w:p w:rsidR="00257B03" w:rsidRPr="00257B03" w:rsidRDefault="00257B03" w:rsidP="00257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Segment Analysis</w:t>
      </w:r>
    </w:p>
    <w:p w:rsidR="00257B03" w:rsidRPr="00257B03" w:rsidRDefault="00257B03" w:rsidP="00257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Country Breakdown: Germany, UK, France, Spain, Italy, Rest of Europe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Asia-Pacific</w:t>
      </w:r>
    </w:p>
    <w:p w:rsidR="00257B03" w:rsidRPr="00257B03" w:rsidRDefault="00257B03" w:rsidP="00257B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Size and Forecast</w:t>
      </w:r>
    </w:p>
    <w:p w:rsidR="00257B03" w:rsidRPr="00257B03" w:rsidRDefault="00257B03" w:rsidP="00257B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Segment Analysis</w:t>
      </w:r>
    </w:p>
    <w:p w:rsidR="00257B03" w:rsidRPr="00257B03" w:rsidRDefault="00257B03" w:rsidP="00257B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Country Breakdown: China, India, Japan, South Korea, Indonesia, Rest of Asia-Pacific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Latin America</w:t>
      </w:r>
    </w:p>
    <w:p w:rsidR="00257B03" w:rsidRPr="00257B03" w:rsidRDefault="00257B03" w:rsidP="00257B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Size and Forecast</w:t>
      </w:r>
    </w:p>
    <w:p w:rsidR="00257B03" w:rsidRPr="00257B03" w:rsidRDefault="00257B03" w:rsidP="00257B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Segment Analysis</w:t>
      </w:r>
    </w:p>
    <w:p w:rsidR="00257B03" w:rsidRPr="00257B03" w:rsidRDefault="00257B03" w:rsidP="00257B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Country Breakdown: Brazil, Colombia, Mexico, Rest of Latin America</w:t>
      </w:r>
    </w:p>
    <w:p w:rsidR="00257B03" w:rsidRPr="00257B03" w:rsidRDefault="00257B03" w:rsidP="00257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Middle East &amp; Africa</w:t>
      </w:r>
    </w:p>
    <w:p w:rsidR="00257B03" w:rsidRPr="00257B03" w:rsidRDefault="00257B03" w:rsidP="00257B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Size and Forecast</w:t>
      </w:r>
    </w:p>
    <w:p w:rsidR="00257B03" w:rsidRPr="00257B03" w:rsidRDefault="00257B03" w:rsidP="00257B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Segment Analysis</w:t>
      </w:r>
    </w:p>
    <w:p w:rsidR="00257B03" w:rsidRPr="00257B03" w:rsidRDefault="00257B03" w:rsidP="00257B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Country Breakdown: GCC Countries, South Africa, Nigeria, Rest of MEA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Key Players and Competitive Analysis</w:t>
      </w:r>
    </w:p>
    <w:p w:rsidR="00257B03" w:rsidRPr="00257B03" w:rsidRDefault="00257B03" w:rsidP="00257B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Abbott</w:t>
      </w:r>
    </w:p>
    <w:p w:rsidR="00257B03" w:rsidRPr="00257B03" w:rsidRDefault="00257B03" w:rsidP="00257B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Roche</w:t>
      </w:r>
    </w:p>
    <w:p w:rsidR="00257B03" w:rsidRPr="00257B03" w:rsidRDefault="00257B03" w:rsidP="00257B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Bio-Rad</w:t>
      </w:r>
    </w:p>
    <w:p w:rsidR="00257B03" w:rsidRPr="00257B03" w:rsidRDefault="00257B03" w:rsidP="00257B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Qiagen</w:t>
      </w:r>
      <w:proofErr w:type="spellEnd"/>
    </w:p>
    <w:p w:rsidR="00257B03" w:rsidRPr="00257B03" w:rsidRDefault="00257B03" w:rsidP="00257B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Thermo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Fisher Scientific</w:t>
      </w:r>
    </w:p>
    <w:p w:rsidR="00257B03" w:rsidRPr="00257B03" w:rsidRDefault="00257B03" w:rsidP="00257B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InBios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International</w:t>
      </w:r>
    </w:p>
    <w:p w:rsidR="00257B03" w:rsidRPr="00257B03" w:rsidRDefault="00257B03" w:rsidP="00257B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7B03">
        <w:rPr>
          <w:rFonts w:ascii="Times New Roman" w:eastAsia="Times New Roman" w:hAnsi="Times New Roman" w:cs="Times New Roman"/>
          <w:sz w:val="24"/>
          <w:szCs w:val="24"/>
        </w:rPr>
        <w:t>Chembio</w:t>
      </w:r>
      <w:proofErr w:type="spellEnd"/>
      <w:r w:rsidRPr="00257B03">
        <w:rPr>
          <w:rFonts w:ascii="Times New Roman" w:eastAsia="Times New Roman" w:hAnsi="Times New Roman" w:cs="Times New Roman"/>
          <w:sz w:val="24"/>
          <w:szCs w:val="24"/>
        </w:rPr>
        <w:t xml:space="preserve"> Diagnostics</w:t>
      </w:r>
    </w:p>
    <w:p w:rsidR="00257B03" w:rsidRPr="00257B03" w:rsidRDefault="00257B03" w:rsidP="00257B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Strategic Benchmarking and Differentiation Strategies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Appendix</w:t>
      </w:r>
    </w:p>
    <w:p w:rsidR="00257B03" w:rsidRPr="00257B03" w:rsidRDefault="00257B03" w:rsidP="00257B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Terminologies and Abbreviations</w:t>
      </w:r>
    </w:p>
    <w:p w:rsidR="00257B03" w:rsidRPr="00257B03" w:rsidRDefault="00257B03" w:rsidP="00257B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References and Data Sources</w:t>
      </w:r>
    </w:p>
    <w:p w:rsidR="00257B03" w:rsidRPr="00257B03" w:rsidRDefault="00257B03" w:rsidP="00257B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Report Assumptions and Limitations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List of Tables</w:t>
      </w:r>
    </w:p>
    <w:p w:rsidR="00257B03" w:rsidRPr="00257B03" w:rsidRDefault="00257B03" w:rsidP="00257B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Size by Test Type, Technology, End User, and Region (2024–2030)</w:t>
      </w:r>
    </w:p>
    <w:p w:rsidR="00257B03" w:rsidRPr="00257B03" w:rsidRDefault="00257B03" w:rsidP="00257B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Regional Market Breakdown by Product Type and End User (2024–2030)</w:t>
      </w:r>
    </w:p>
    <w:p w:rsidR="00257B03" w:rsidRPr="00257B03" w:rsidRDefault="00E01EB5" w:rsidP="00257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57B03" w:rsidRPr="00257B03" w:rsidRDefault="00257B03" w:rsidP="00257B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b/>
          <w:bCs/>
          <w:sz w:val="24"/>
          <w:szCs w:val="24"/>
        </w:rPr>
        <w:t>List of Figures</w:t>
      </w:r>
    </w:p>
    <w:p w:rsidR="00257B03" w:rsidRPr="00257B03" w:rsidRDefault="00257B03" w:rsidP="00257B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Dynamics: Drivers, Restraints, Opportunities, and Threats</w:t>
      </w:r>
    </w:p>
    <w:p w:rsidR="00257B03" w:rsidRPr="00257B03" w:rsidRDefault="00257B03" w:rsidP="00257B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Regional Adoption Trends and Readiness Index</w:t>
      </w:r>
    </w:p>
    <w:p w:rsidR="00257B03" w:rsidRPr="00257B03" w:rsidRDefault="00257B03" w:rsidP="00257B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Competitive Landscape and Innovation Pipeline</w:t>
      </w:r>
    </w:p>
    <w:p w:rsidR="00257B03" w:rsidRPr="00257B03" w:rsidRDefault="00257B03" w:rsidP="00257B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B03">
        <w:rPr>
          <w:rFonts w:ascii="Times New Roman" w:eastAsia="Times New Roman" w:hAnsi="Times New Roman" w:cs="Times New Roman"/>
          <w:sz w:val="24"/>
          <w:szCs w:val="24"/>
        </w:rPr>
        <w:t>Market Share by Test Type and End User (2024 vs. 2030)</w:t>
      </w:r>
    </w:p>
    <w:p w:rsidR="00B94688" w:rsidRDefault="00B94688"/>
    <w:sectPr w:rsidR="00B94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1512"/>
    <w:multiLevelType w:val="multilevel"/>
    <w:tmpl w:val="2928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4691"/>
    <w:multiLevelType w:val="multilevel"/>
    <w:tmpl w:val="FAA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7399"/>
    <w:multiLevelType w:val="multilevel"/>
    <w:tmpl w:val="EE4E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C3291"/>
    <w:multiLevelType w:val="multilevel"/>
    <w:tmpl w:val="289C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73103"/>
    <w:multiLevelType w:val="multilevel"/>
    <w:tmpl w:val="E69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65596"/>
    <w:multiLevelType w:val="multilevel"/>
    <w:tmpl w:val="527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3DA6"/>
    <w:multiLevelType w:val="multilevel"/>
    <w:tmpl w:val="6E6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753FF"/>
    <w:multiLevelType w:val="multilevel"/>
    <w:tmpl w:val="5A5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67ADD"/>
    <w:multiLevelType w:val="multilevel"/>
    <w:tmpl w:val="74F2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37D46"/>
    <w:multiLevelType w:val="multilevel"/>
    <w:tmpl w:val="905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169AD"/>
    <w:multiLevelType w:val="multilevel"/>
    <w:tmpl w:val="9BD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03A7C"/>
    <w:multiLevelType w:val="multilevel"/>
    <w:tmpl w:val="C618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0513E"/>
    <w:multiLevelType w:val="multilevel"/>
    <w:tmpl w:val="F2D6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62B16"/>
    <w:multiLevelType w:val="multilevel"/>
    <w:tmpl w:val="384C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D638C"/>
    <w:multiLevelType w:val="multilevel"/>
    <w:tmpl w:val="63B4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D03B5"/>
    <w:multiLevelType w:val="multilevel"/>
    <w:tmpl w:val="E0F6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190A"/>
    <w:multiLevelType w:val="multilevel"/>
    <w:tmpl w:val="81F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66EA7"/>
    <w:multiLevelType w:val="multilevel"/>
    <w:tmpl w:val="771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731AF"/>
    <w:multiLevelType w:val="multilevel"/>
    <w:tmpl w:val="815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B0A61"/>
    <w:multiLevelType w:val="multilevel"/>
    <w:tmpl w:val="AB20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46B7C"/>
    <w:multiLevelType w:val="multilevel"/>
    <w:tmpl w:val="6A56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37AEA"/>
    <w:multiLevelType w:val="multilevel"/>
    <w:tmpl w:val="78B4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D046A"/>
    <w:multiLevelType w:val="multilevel"/>
    <w:tmpl w:val="F16A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70365"/>
    <w:multiLevelType w:val="multilevel"/>
    <w:tmpl w:val="E70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308FF"/>
    <w:multiLevelType w:val="multilevel"/>
    <w:tmpl w:val="A2C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6050E"/>
    <w:multiLevelType w:val="multilevel"/>
    <w:tmpl w:val="1EC6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671C1"/>
    <w:multiLevelType w:val="multilevel"/>
    <w:tmpl w:val="89B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47309"/>
    <w:multiLevelType w:val="multilevel"/>
    <w:tmpl w:val="F104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5924B2"/>
    <w:multiLevelType w:val="multilevel"/>
    <w:tmpl w:val="15B8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76039"/>
    <w:multiLevelType w:val="multilevel"/>
    <w:tmpl w:val="6F3A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8"/>
  </w:num>
  <w:num w:numId="4">
    <w:abstractNumId w:val="13"/>
  </w:num>
  <w:num w:numId="5">
    <w:abstractNumId w:val="0"/>
  </w:num>
  <w:num w:numId="6">
    <w:abstractNumId w:val="3"/>
  </w:num>
  <w:num w:numId="7">
    <w:abstractNumId w:val="1"/>
  </w:num>
  <w:num w:numId="8">
    <w:abstractNumId w:val="9"/>
  </w:num>
  <w:num w:numId="9">
    <w:abstractNumId w:val="5"/>
  </w:num>
  <w:num w:numId="10">
    <w:abstractNumId w:val="27"/>
  </w:num>
  <w:num w:numId="11">
    <w:abstractNumId w:val="2"/>
  </w:num>
  <w:num w:numId="12">
    <w:abstractNumId w:val="28"/>
  </w:num>
  <w:num w:numId="13">
    <w:abstractNumId w:val="25"/>
  </w:num>
  <w:num w:numId="14">
    <w:abstractNumId w:val="29"/>
  </w:num>
  <w:num w:numId="15">
    <w:abstractNumId w:val="12"/>
  </w:num>
  <w:num w:numId="16">
    <w:abstractNumId w:val="19"/>
  </w:num>
  <w:num w:numId="17">
    <w:abstractNumId w:val="6"/>
  </w:num>
  <w:num w:numId="18">
    <w:abstractNumId w:val="16"/>
  </w:num>
  <w:num w:numId="19">
    <w:abstractNumId w:val="4"/>
  </w:num>
  <w:num w:numId="20">
    <w:abstractNumId w:val="26"/>
  </w:num>
  <w:num w:numId="21">
    <w:abstractNumId w:val="10"/>
  </w:num>
  <w:num w:numId="22">
    <w:abstractNumId w:val="20"/>
  </w:num>
  <w:num w:numId="23">
    <w:abstractNumId w:val="23"/>
  </w:num>
  <w:num w:numId="24">
    <w:abstractNumId w:val="15"/>
  </w:num>
  <w:num w:numId="25">
    <w:abstractNumId w:val="14"/>
  </w:num>
  <w:num w:numId="26">
    <w:abstractNumId w:val="22"/>
  </w:num>
  <w:num w:numId="27">
    <w:abstractNumId w:val="24"/>
  </w:num>
  <w:num w:numId="28">
    <w:abstractNumId w:val="17"/>
  </w:num>
  <w:num w:numId="29">
    <w:abstractNumId w:val="11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B03"/>
    <w:rsid w:val="00257B03"/>
    <w:rsid w:val="00B94688"/>
    <w:rsid w:val="00E0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EF97"/>
  <w15:chartTrackingRefBased/>
  <w15:docId w15:val="{8D8493A4-488F-4FC2-896B-29E07754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7B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7B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257B0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257B0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7B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7B0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57B03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257B03"/>
    <w:rPr>
      <w:rFonts w:ascii="Times New Roman" w:eastAsia="Times New Roman" w:hAnsi="Times New Roman" w:cs="Times New Roman"/>
      <w:b/>
      <w:bCs/>
      <w:sz w:val="15"/>
      <w:szCs w:val="15"/>
    </w:rPr>
  </w:style>
  <w:style w:type="numbering" w:customStyle="1" w:styleId="NoList1">
    <w:name w:val="No List1"/>
    <w:next w:val="NoList"/>
    <w:uiPriority w:val="99"/>
    <w:semiHidden/>
    <w:unhideWhenUsed/>
    <w:rsid w:val="00257B03"/>
  </w:style>
  <w:style w:type="paragraph" w:customStyle="1" w:styleId="msonormal0">
    <w:name w:val="msonormal"/>
    <w:basedOn w:val="Normal"/>
    <w:rsid w:val="00257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7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7B03"/>
    <w:rPr>
      <w:b/>
      <w:bCs/>
    </w:rPr>
  </w:style>
  <w:style w:type="character" w:styleId="Emphasis">
    <w:name w:val="Emphasis"/>
    <w:basedOn w:val="DefaultParagraphFont"/>
    <w:uiPriority w:val="20"/>
    <w:qFormat/>
    <w:rsid w:val="00257B03"/>
    <w:rPr>
      <w:i/>
      <w:iCs/>
    </w:rPr>
  </w:style>
  <w:style w:type="character" w:customStyle="1" w:styleId="touchw-10">
    <w:name w:val="touch:w-10"/>
    <w:basedOn w:val="DefaultParagraphFont"/>
    <w:rsid w:val="00257B03"/>
  </w:style>
  <w:style w:type="character" w:styleId="Hyperlink">
    <w:name w:val="Hyperlink"/>
    <w:basedOn w:val="DefaultParagraphFont"/>
    <w:uiPriority w:val="99"/>
    <w:unhideWhenUsed/>
    <w:rsid w:val="00257B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7B03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B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7B03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257B03"/>
  </w:style>
  <w:style w:type="character" w:customStyle="1" w:styleId="hljs-attr">
    <w:name w:val="hljs-attr"/>
    <w:basedOn w:val="DefaultParagraphFont"/>
    <w:rsid w:val="00257B03"/>
  </w:style>
  <w:style w:type="character" w:customStyle="1" w:styleId="hljs-string">
    <w:name w:val="hljs-string"/>
    <w:basedOn w:val="DefaultParagraphFont"/>
    <w:rsid w:val="00257B03"/>
  </w:style>
  <w:style w:type="character" w:customStyle="1" w:styleId="hljs-number">
    <w:name w:val="hljs-number"/>
    <w:basedOn w:val="DefaultParagraphFont"/>
    <w:rsid w:val="00257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1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9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1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4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1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76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3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8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7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8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4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6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1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53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5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1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43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3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1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9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5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7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9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1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8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23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04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33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1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15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86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5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5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3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95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2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0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1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65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0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4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7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2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0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29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4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8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6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7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5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8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7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9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6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42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1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3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15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51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28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5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4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06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0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266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56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04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136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0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840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8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8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7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9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0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6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0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dc.europa.eu/en/publications-data/epidemiological-update-arboviral-disease-europe-20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embio.com/chembio-announces-commercial-launch-of-dpp-dengue-syste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8-023-35472-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da.gov/media/165658/downloa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aho.org/en/news/24-5-2023-mobile-labs-reinforce-regional-response-arbovirus-outbrea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4517</Words>
  <Characters>25753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Rento</dc:creator>
  <cp:keywords/>
  <dc:description/>
  <cp:lastModifiedBy>Rento</cp:lastModifiedBy>
  <cp:revision>2</cp:revision>
  <dcterms:created xsi:type="dcterms:W3CDTF">2025-06-26T07:13:00Z</dcterms:created>
  <dcterms:modified xsi:type="dcterms:W3CDTF">2025-06-26T07:13:00Z</dcterms:modified>
</cp:coreProperties>
</file>