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AA0A9"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w:eastAsia="Times New Roman" w:hAnsi="Segoe UI" w:cs="Segoe UI"/>
          <w:b/>
          <w:bCs/>
          <w:color w:val="0D0D0D"/>
          <w:sz w:val="30"/>
          <w:szCs w:val="30"/>
          <w:lang w:eastAsia="en-IN"/>
        </w:rPr>
        <w:t>1. Introduction and Strategic Context</w:t>
      </w:r>
    </w:p>
    <w:p w14:paraId="35826E6E" w14:textId="1D069D4B"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 xml:space="preserve">The </w:t>
      </w:r>
      <w:r w:rsidR="00F62C78" w:rsidRPr="00011261">
        <w:rPr>
          <w:rFonts w:ascii="Segoe UI" w:eastAsia="Times New Roman" w:hAnsi="Segoe UI" w:cs="Segoe UI"/>
          <w:b/>
          <w:bCs/>
          <w:color w:val="0D0D0D"/>
          <w:sz w:val="24"/>
          <w:szCs w:val="24"/>
          <w:lang w:eastAsia="en-IN"/>
        </w:rPr>
        <w:t>Global Circular Dichroism Spectrometer Market</w:t>
      </w:r>
      <w:r w:rsidR="00F62C78" w:rsidRPr="00011261">
        <w:rPr>
          <w:rFonts w:ascii="Segoe UI" w:eastAsia="Times New Roman" w:hAnsi="Segoe UI" w:cs="Segoe UI"/>
          <w:color w:val="0D0D0D"/>
          <w:sz w:val="24"/>
          <w:szCs w:val="24"/>
          <w:lang w:eastAsia="en-IN"/>
        </w:rPr>
        <w:t> </w:t>
      </w:r>
      <w:r w:rsidRPr="00011261">
        <w:rPr>
          <w:rFonts w:ascii="Segoe UI" w:eastAsia="Times New Roman" w:hAnsi="Segoe UI" w:cs="Segoe UI"/>
          <w:color w:val="0D0D0D"/>
          <w:sz w:val="24"/>
          <w:szCs w:val="24"/>
          <w:lang w:eastAsia="en-IN"/>
        </w:rPr>
        <w:t>will witness a robust CAGR of </w:t>
      </w:r>
      <w:r w:rsidR="00F62C78">
        <w:rPr>
          <w:rFonts w:ascii="Segoe UI" w:eastAsia="Times New Roman" w:hAnsi="Segoe UI" w:cs="Segoe UI"/>
          <w:b/>
          <w:bCs/>
          <w:color w:val="0D0D0D"/>
          <w:sz w:val="24"/>
          <w:szCs w:val="24"/>
          <w:lang w:eastAsia="en-IN"/>
        </w:rPr>
        <w:t>7.3</w:t>
      </w:r>
      <w:r w:rsidRPr="00011261">
        <w:rPr>
          <w:rFonts w:ascii="Segoe UI" w:eastAsia="Times New Roman" w:hAnsi="Segoe UI" w:cs="Segoe UI"/>
          <w:b/>
          <w:bCs/>
          <w:color w:val="0D0D0D"/>
          <w:sz w:val="24"/>
          <w:szCs w:val="24"/>
          <w:lang w:eastAsia="en-IN"/>
        </w:rPr>
        <w:t>%</w:t>
      </w:r>
      <w:r w:rsidRPr="00011261">
        <w:rPr>
          <w:rFonts w:ascii="Segoe UI" w:eastAsia="Times New Roman" w:hAnsi="Segoe UI" w:cs="Segoe UI"/>
          <w:color w:val="0D0D0D"/>
          <w:sz w:val="24"/>
          <w:szCs w:val="24"/>
          <w:lang w:eastAsia="en-IN"/>
        </w:rPr>
        <w:t>, valued at </w:t>
      </w:r>
      <w:r w:rsidRPr="00011261">
        <w:rPr>
          <w:rFonts w:ascii="Segoe UI" w:eastAsia="Times New Roman" w:hAnsi="Segoe UI" w:cs="Segoe UI"/>
          <w:b/>
          <w:bCs/>
          <w:color w:val="0D0D0D"/>
          <w:sz w:val="24"/>
          <w:szCs w:val="24"/>
          <w:lang w:eastAsia="en-IN"/>
        </w:rPr>
        <w:t>$61.5 million in 2024</w:t>
      </w:r>
      <w:r w:rsidRPr="00011261">
        <w:rPr>
          <w:rFonts w:ascii="Segoe UI" w:eastAsia="Times New Roman" w:hAnsi="Segoe UI" w:cs="Segoe UI"/>
          <w:color w:val="0D0D0D"/>
          <w:sz w:val="24"/>
          <w:szCs w:val="24"/>
          <w:lang w:eastAsia="en-IN"/>
        </w:rPr>
        <w:t>, and is expected to appreciate significantly to reach </w:t>
      </w:r>
      <w:r w:rsidRPr="00011261">
        <w:rPr>
          <w:rFonts w:ascii="Segoe UI" w:eastAsia="Times New Roman" w:hAnsi="Segoe UI" w:cs="Segoe UI"/>
          <w:b/>
          <w:bCs/>
          <w:color w:val="0D0D0D"/>
          <w:sz w:val="24"/>
          <w:szCs w:val="24"/>
          <w:lang w:eastAsia="en-IN"/>
        </w:rPr>
        <w:t>$</w:t>
      </w:r>
      <w:r w:rsidR="00F62C78">
        <w:rPr>
          <w:rFonts w:ascii="Segoe UI" w:eastAsia="Times New Roman" w:hAnsi="Segoe UI" w:cs="Segoe UI"/>
          <w:b/>
          <w:bCs/>
          <w:color w:val="0D0D0D"/>
          <w:sz w:val="24"/>
          <w:szCs w:val="24"/>
          <w:lang w:eastAsia="en-IN"/>
        </w:rPr>
        <w:t>94.04</w:t>
      </w:r>
      <w:r w:rsidRPr="00011261">
        <w:rPr>
          <w:rFonts w:ascii="Segoe UI" w:eastAsia="Times New Roman" w:hAnsi="Segoe UI" w:cs="Segoe UI"/>
          <w:b/>
          <w:bCs/>
          <w:color w:val="0D0D0D"/>
          <w:sz w:val="24"/>
          <w:szCs w:val="24"/>
          <w:lang w:eastAsia="en-IN"/>
        </w:rPr>
        <w:t xml:space="preserve"> million by 2030</w:t>
      </w:r>
      <w:r w:rsidRPr="00011261">
        <w:rPr>
          <w:rFonts w:ascii="Segoe UI" w:eastAsia="Times New Roman" w:hAnsi="Segoe UI" w:cs="Segoe UI"/>
          <w:color w:val="0D0D0D"/>
          <w:sz w:val="24"/>
          <w:szCs w:val="24"/>
          <w:lang w:eastAsia="en-IN"/>
        </w:rPr>
        <w:t>, confirms Strategic Market Research.</w:t>
      </w:r>
    </w:p>
    <w:p w14:paraId="67D32F2D"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 xml:space="preserve">Circular dichroism (CD) spectrometers are high-precision instruments used to study chiral molecules and their optical activity by </w:t>
      </w:r>
      <w:proofErr w:type="spellStart"/>
      <w:r w:rsidRPr="00011261">
        <w:rPr>
          <w:rFonts w:ascii="Segoe UI" w:eastAsia="Times New Roman" w:hAnsi="Segoe UI" w:cs="Segoe UI"/>
          <w:color w:val="0D0D0D"/>
          <w:sz w:val="24"/>
          <w:szCs w:val="24"/>
          <w:lang w:eastAsia="en-IN"/>
        </w:rPr>
        <w:t>analyzing</w:t>
      </w:r>
      <w:proofErr w:type="spellEnd"/>
      <w:r w:rsidRPr="00011261">
        <w:rPr>
          <w:rFonts w:ascii="Segoe UI" w:eastAsia="Times New Roman" w:hAnsi="Segoe UI" w:cs="Segoe UI"/>
          <w:color w:val="0D0D0D"/>
          <w:sz w:val="24"/>
          <w:szCs w:val="24"/>
          <w:lang w:eastAsia="en-IN"/>
        </w:rPr>
        <w:t xml:space="preserve"> differential absorption of left- and right-circularly polarized light. This technique plays an essential role in protein secondary structure analysis, biopharmaceutical quality control, and conformational studies of nucleic acids. The technology’s sensitivity to molecular symmetry and structural changes has made it indispensable in life sciences, pharmaceuticals, and materials research.</w:t>
      </w:r>
    </w:p>
    <w:p w14:paraId="2BC5BA8C"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In the strategic context of </w:t>
      </w:r>
      <w:r w:rsidRPr="00011261">
        <w:rPr>
          <w:rFonts w:ascii="Segoe UI" w:eastAsia="Times New Roman" w:hAnsi="Segoe UI" w:cs="Segoe UI"/>
          <w:b/>
          <w:bCs/>
          <w:color w:val="0D0D0D"/>
          <w:sz w:val="24"/>
          <w:szCs w:val="24"/>
          <w:lang w:eastAsia="en-IN"/>
        </w:rPr>
        <w:t>2024–2030</w:t>
      </w:r>
      <w:r w:rsidRPr="00011261">
        <w:rPr>
          <w:rFonts w:ascii="Segoe UI" w:eastAsia="Times New Roman" w:hAnsi="Segoe UI" w:cs="Segoe UI"/>
          <w:color w:val="0D0D0D"/>
          <w:sz w:val="24"/>
          <w:szCs w:val="24"/>
          <w:lang w:eastAsia="en-IN"/>
        </w:rPr>
        <w:t>, several macro-level forces are elevating the importance of CD spectrometry. First, the </w:t>
      </w:r>
      <w:r w:rsidRPr="00011261">
        <w:rPr>
          <w:rFonts w:ascii="Segoe UI" w:eastAsia="Times New Roman" w:hAnsi="Segoe UI" w:cs="Segoe UI"/>
          <w:b/>
          <w:bCs/>
          <w:color w:val="0D0D0D"/>
          <w:sz w:val="24"/>
          <w:szCs w:val="24"/>
          <w:lang w:eastAsia="en-IN"/>
        </w:rPr>
        <w:t>global surge in biopharmaceutical development</w:t>
      </w:r>
      <w:r w:rsidRPr="00011261">
        <w:rPr>
          <w:rFonts w:ascii="Segoe UI" w:eastAsia="Times New Roman" w:hAnsi="Segoe UI" w:cs="Segoe UI"/>
          <w:color w:val="0D0D0D"/>
          <w:sz w:val="24"/>
          <w:szCs w:val="24"/>
          <w:lang w:eastAsia="en-IN"/>
        </w:rPr>
        <w:t>, especially monoclonal antibodies and mRNA vaccines, is creating a sustained demand for secondary structure characterization tools. Second, advancements in </w:t>
      </w:r>
      <w:r w:rsidRPr="00011261">
        <w:rPr>
          <w:rFonts w:ascii="Segoe UI" w:eastAsia="Times New Roman" w:hAnsi="Segoe UI" w:cs="Segoe UI"/>
          <w:b/>
          <w:bCs/>
          <w:color w:val="0D0D0D"/>
          <w:sz w:val="24"/>
          <w:szCs w:val="24"/>
          <w:lang w:eastAsia="en-IN"/>
        </w:rPr>
        <w:t>miniaturized optics, high-speed detectors, and quantum-enhanced calibration systems</w:t>
      </w:r>
      <w:r w:rsidRPr="00011261">
        <w:rPr>
          <w:rFonts w:ascii="Segoe UI" w:eastAsia="Times New Roman" w:hAnsi="Segoe UI" w:cs="Segoe UI"/>
          <w:color w:val="0D0D0D"/>
          <w:sz w:val="24"/>
          <w:szCs w:val="24"/>
          <w:lang w:eastAsia="en-IN"/>
        </w:rPr>
        <w:t> are enabling more portable, faster, and precise CD instruments suitable for real-time and in-process analytics.</w:t>
      </w:r>
    </w:p>
    <w:p w14:paraId="5B926799"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Additionally, </w:t>
      </w:r>
      <w:r w:rsidRPr="00011261">
        <w:rPr>
          <w:rFonts w:ascii="Segoe UI" w:eastAsia="Times New Roman" w:hAnsi="Segoe UI" w:cs="Segoe UI"/>
          <w:b/>
          <w:bCs/>
          <w:color w:val="0D0D0D"/>
          <w:sz w:val="24"/>
          <w:szCs w:val="24"/>
          <w:lang w:eastAsia="en-IN"/>
        </w:rPr>
        <w:t>stringent regulatory requirements by agencies such as the FDA and EMA</w:t>
      </w:r>
      <w:r w:rsidRPr="00011261">
        <w:rPr>
          <w:rFonts w:ascii="Segoe UI" w:eastAsia="Times New Roman" w:hAnsi="Segoe UI" w:cs="Segoe UI"/>
          <w:color w:val="0D0D0D"/>
          <w:sz w:val="24"/>
          <w:szCs w:val="24"/>
          <w:lang w:eastAsia="en-IN"/>
        </w:rPr>
        <w:t> for structural characterization in drug development pipelines are compelling pharmaceutical companies to integrate CD spectroscopy into quality assurance workflows. The shift toward personalized medicine and biosimilars also increases the reliance on CD tools for analytical comparability and formulation integrity.</w:t>
      </w:r>
    </w:p>
    <w:p w14:paraId="1A9D3126"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Moreover, </w:t>
      </w:r>
      <w:r w:rsidRPr="00011261">
        <w:rPr>
          <w:rFonts w:ascii="Segoe UI" w:eastAsia="Times New Roman" w:hAnsi="Segoe UI" w:cs="Segoe UI"/>
          <w:b/>
          <w:bCs/>
          <w:color w:val="0D0D0D"/>
          <w:sz w:val="24"/>
          <w:szCs w:val="24"/>
          <w:lang w:eastAsia="en-IN"/>
        </w:rPr>
        <w:t>government research grants and public-private partnerships</w:t>
      </w:r>
      <w:r w:rsidRPr="00011261">
        <w:rPr>
          <w:rFonts w:ascii="Segoe UI" w:eastAsia="Times New Roman" w:hAnsi="Segoe UI" w:cs="Segoe UI"/>
          <w:color w:val="0D0D0D"/>
          <w:sz w:val="24"/>
          <w:szCs w:val="24"/>
          <w:lang w:eastAsia="en-IN"/>
        </w:rPr>
        <w:t xml:space="preserve">, particularly in North America and Europe, are </w:t>
      </w:r>
      <w:proofErr w:type="spellStart"/>
      <w:r w:rsidRPr="00011261">
        <w:rPr>
          <w:rFonts w:ascii="Segoe UI" w:eastAsia="Times New Roman" w:hAnsi="Segoe UI" w:cs="Segoe UI"/>
          <w:color w:val="0D0D0D"/>
          <w:sz w:val="24"/>
          <w:szCs w:val="24"/>
          <w:lang w:eastAsia="en-IN"/>
        </w:rPr>
        <w:t>fueling</w:t>
      </w:r>
      <w:proofErr w:type="spellEnd"/>
      <w:r w:rsidRPr="00011261">
        <w:rPr>
          <w:rFonts w:ascii="Segoe UI" w:eastAsia="Times New Roman" w:hAnsi="Segoe UI" w:cs="Segoe UI"/>
          <w:color w:val="0D0D0D"/>
          <w:sz w:val="24"/>
          <w:szCs w:val="24"/>
          <w:lang w:eastAsia="en-IN"/>
        </w:rPr>
        <w:t xml:space="preserve"> investments in academic and translational research facilities—further boosting the market for spectroscopic instrumentation.</w:t>
      </w:r>
    </w:p>
    <w:p w14:paraId="1B734D1B"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Key stakeholders influencing the market trajectory include:</w:t>
      </w:r>
    </w:p>
    <w:p w14:paraId="3161D788" w14:textId="77777777" w:rsidR="00011261" w:rsidRPr="00011261" w:rsidRDefault="00011261" w:rsidP="0001126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Original Equipment Manufacturers (OEMs)</w:t>
      </w:r>
      <w:r w:rsidRPr="00011261">
        <w:rPr>
          <w:rFonts w:ascii="Segoe UI" w:eastAsia="Times New Roman" w:hAnsi="Segoe UI" w:cs="Segoe UI"/>
          <w:color w:val="0D0D0D"/>
          <w:sz w:val="24"/>
          <w:szCs w:val="24"/>
          <w:lang w:eastAsia="en-IN"/>
        </w:rPr>
        <w:t> such as those specializing in analytical instrumentation</w:t>
      </w:r>
    </w:p>
    <w:p w14:paraId="11964444" w14:textId="77777777" w:rsidR="00011261" w:rsidRPr="00011261" w:rsidRDefault="00011261" w:rsidP="0001126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Pharmaceutical and biotechnology companies</w:t>
      </w:r>
      <w:r w:rsidRPr="00011261">
        <w:rPr>
          <w:rFonts w:ascii="Segoe UI" w:eastAsia="Times New Roman" w:hAnsi="Segoe UI" w:cs="Segoe UI"/>
          <w:color w:val="0D0D0D"/>
          <w:sz w:val="24"/>
          <w:szCs w:val="24"/>
          <w:lang w:eastAsia="en-IN"/>
        </w:rPr>
        <w:t> leveraging CD spectrometry for drug development</w:t>
      </w:r>
    </w:p>
    <w:p w14:paraId="4CC59F99" w14:textId="77777777" w:rsidR="00011261" w:rsidRPr="00011261" w:rsidRDefault="00011261" w:rsidP="0001126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Academic and research institutions</w:t>
      </w:r>
      <w:r w:rsidRPr="00011261">
        <w:rPr>
          <w:rFonts w:ascii="Segoe UI" w:eastAsia="Times New Roman" w:hAnsi="Segoe UI" w:cs="Segoe UI"/>
          <w:color w:val="0D0D0D"/>
          <w:sz w:val="24"/>
          <w:szCs w:val="24"/>
          <w:lang w:eastAsia="en-IN"/>
        </w:rPr>
        <w:t> focusing on protein folding, structural biology, and molecular diagnostics</w:t>
      </w:r>
    </w:p>
    <w:p w14:paraId="54888194" w14:textId="77777777" w:rsidR="00011261" w:rsidRPr="00011261" w:rsidRDefault="00011261" w:rsidP="0001126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Government and regulatory bodies</w:t>
      </w:r>
      <w:r w:rsidRPr="00011261">
        <w:rPr>
          <w:rFonts w:ascii="Segoe UI" w:eastAsia="Times New Roman" w:hAnsi="Segoe UI" w:cs="Segoe UI"/>
          <w:color w:val="0D0D0D"/>
          <w:sz w:val="24"/>
          <w:szCs w:val="24"/>
          <w:lang w:eastAsia="en-IN"/>
        </w:rPr>
        <w:t> that define compliance protocols for molecular characterization</w:t>
      </w:r>
    </w:p>
    <w:p w14:paraId="13DFF22B" w14:textId="77777777" w:rsidR="00011261" w:rsidRPr="00011261" w:rsidRDefault="00011261" w:rsidP="00011261">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lastRenderedPageBreak/>
        <w:t>Investors and private equity firms</w:t>
      </w:r>
      <w:r w:rsidRPr="00011261">
        <w:rPr>
          <w:rFonts w:ascii="Segoe UI" w:eastAsia="Times New Roman" w:hAnsi="Segoe UI" w:cs="Segoe UI"/>
          <w:color w:val="0D0D0D"/>
          <w:sz w:val="24"/>
          <w:szCs w:val="24"/>
          <w:lang w:eastAsia="en-IN"/>
        </w:rPr>
        <w:t> looking to capitalize on niche high-tech scientific instrumentation markets</w:t>
      </w:r>
    </w:p>
    <w:p w14:paraId="115A2893"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As pharmaceutical innovation accelerates and structural biology becomes increasingly central to life sciences, circular dichroism spectrometers will transition from niche research tools to mainstream quality and compliance instruments.</w:t>
      </w:r>
    </w:p>
    <w:p w14:paraId="3B416A6C"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w:eastAsia="Times New Roman" w:hAnsi="Segoe UI" w:cs="Segoe UI"/>
          <w:b/>
          <w:bCs/>
          <w:color w:val="0D0D0D"/>
          <w:sz w:val="30"/>
          <w:szCs w:val="30"/>
          <w:lang w:eastAsia="en-IN"/>
        </w:rPr>
        <w:t>2. Market Segmentation and Forecast Scope</w:t>
      </w:r>
    </w:p>
    <w:p w14:paraId="579C8B13"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w:t>
      </w:r>
      <w:r w:rsidRPr="00011261">
        <w:rPr>
          <w:rFonts w:ascii="Segoe UI" w:eastAsia="Times New Roman" w:hAnsi="Segoe UI" w:cs="Segoe UI"/>
          <w:b/>
          <w:bCs/>
          <w:color w:val="0D0D0D"/>
          <w:sz w:val="24"/>
          <w:szCs w:val="24"/>
          <w:lang w:eastAsia="en-IN"/>
        </w:rPr>
        <w:t>circular dichroism spectrometer market</w:t>
      </w:r>
      <w:r w:rsidRPr="00011261">
        <w:rPr>
          <w:rFonts w:ascii="Segoe UI" w:eastAsia="Times New Roman" w:hAnsi="Segoe UI" w:cs="Segoe UI"/>
          <w:color w:val="0D0D0D"/>
          <w:sz w:val="24"/>
          <w:szCs w:val="24"/>
          <w:lang w:eastAsia="en-IN"/>
        </w:rPr>
        <w:t> is structured along multiple axes that define its commercial and functional landscape. For the 2024–2030 forecast period, the market is best segmented by </w:t>
      </w:r>
      <w:r w:rsidRPr="00011261">
        <w:rPr>
          <w:rFonts w:ascii="Segoe UI" w:eastAsia="Times New Roman" w:hAnsi="Segoe UI" w:cs="Segoe UI"/>
          <w:b/>
          <w:bCs/>
          <w:color w:val="0D0D0D"/>
          <w:sz w:val="24"/>
          <w:szCs w:val="24"/>
          <w:lang w:eastAsia="en-IN"/>
        </w:rPr>
        <w:t>Product Type</w:t>
      </w:r>
      <w:r w:rsidRPr="00011261">
        <w:rPr>
          <w:rFonts w:ascii="Segoe UI" w:eastAsia="Times New Roman" w:hAnsi="Segoe UI" w:cs="Segoe UI"/>
          <w:color w:val="0D0D0D"/>
          <w:sz w:val="24"/>
          <w:szCs w:val="24"/>
          <w:lang w:eastAsia="en-IN"/>
        </w:rPr>
        <w:t>, </w:t>
      </w:r>
      <w:r w:rsidRPr="00011261">
        <w:rPr>
          <w:rFonts w:ascii="Segoe UI" w:eastAsia="Times New Roman" w:hAnsi="Segoe UI" w:cs="Segoe UI"/>
          <w:b/>
          <w:bCs/>
          <w:color w:val="0D0D0D"/>
          <w:sz w:val="24"/>
          <w:szCs w:val="24"/>
          <w:lang w:eastAsia="en-IN"/>
        </w:rPr>
        <w:t>Application</w:t>
      </w:r>
      <w:r w:rsidRPr="00011261">
        <w:rPr>
          <w:rFonts w:ascii="Segoe UI" w:eastAsia="Times New Roman" w:hAnsi="Segoe UI" w:cs="Segoe UI"/>
          <w:color w:val="0D0D0D"/>
          <w:sz w:val="24"/>
          <w:szCs w:val="24"/>
          <w:lang w:eastAsia="en-IN"/>
        </w:rPr>
        <w:t>, </w:t>
      </w:r>
      <w:r w:rsidRPr="00011261">
        <w:rPr>
          <w:rFonts w:ascii="Segoe UI" w:eastAsia="Times New Roman" w:hAnsi="Segoe UI" w:cs="Segoe UI"/>
          <w:b/>
          <w:bCs/>
          <w:color w:val="0D0D0D"/>
          <w:sz w:val="24"/>
          <w:szCs w:val="24"/>
          <w:lang w:eastAsia="en-IN"/>
        </w:rPr>
        <w:t>End User</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Region</w:t>
      </w:r>
      <w:r w:rsidRPr="00011261">
        <w:rPr>
          <w:rFonts w:ascii="Segoe UI" w:eastAsia="Times New Roman" w:hAnsi="Segoe UI" w:cs="Segoe UI"/>
          <w:color w:val="0D0D0D"/>
          <w:sz w:val="24"/>
          <w:szCs w:val="24"/>
          <w:lang w:eastAsia="en-IN"/>
        </w:rPr>
        <w:t>.</w:t>
      </w:r>
    </w:p>
    <w:p w14:paraId="2B902993"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3B83430C">
          <v:rect id="_x0000_i1025" style="width:0;height:0" o:hralign="center" o:hrstd="t" o:hrnoshade="t" o:hr="t" fillcolor="#0d0d0d" stroked="f"/>
        </w:pict>
      </w:r>
    </w:p>
    <w:p w14:paraId="5497C5CA"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By Product Type</w:t>
      </w:r>
    </w:p>
    <w:p w14:paraId="5D8BCAF8"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CD spectrometers are classified into the following primary categories:</w:t>
      </w:r>
    </w:p>
    <w:p w14:paraId="56F67E35" w14:textId="77777777" w:rsidR="00011261" w:rsidRPr="00011261" w:rsidRDefault="00011261" w:rsidP="0001126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Linearly Polarized CD Spectrometers</w:t>
      </w:r>
    </w:p>
    <w:p w14:paraId="4954A998" w14:textId="77777777" w:rsidR="00011261" w:rsidRPr="00011261" w:rsidRDefault="00011261" w:rsidP="0001126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Circularly Polarized CD Spectrometers</w:t>
      </w:r>
    </w:p>
    <w:p w14:paraId="4FFB0D1A" w14:textId="77777777" w:rsidR="00011261" w:rsidRPr="00011261" w:rsidRDefault="00011261" w:rsidP="0001126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Modular/Benchtop CD Spectrometers</w:t>
      </w:r>
    </w:p>
    <w:p w14:paraId="6D3272F6" w14:textId="77777777" w:rsidR="00011261" w:rsidRPr="00011261" w:rsidRDefault="00011261" w:rsidP="00011261">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Portable CD Spectrometers</w:t>
      </w:r>
    </w:p>
    <w:p w14:paraId="43714360"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Modular/Benchtop CD Spectrometers</w:t>
      </w:r>
      <w:r w:rsidRPr="00011261">
        <w:rPr>
          <w:rFonts w:ascii="Segoe UI" w:eastAsia="Times New Roman" w:hAnsi="Segoe UI" w:cs="Segoe UI"/>
          <w:color w:val="0D0D0D"/>
          <w:sz w:val="24"/>
          <w:szCs w:val="24"/>
          <w:lang w:eastAsia="en-IN"/>
        </w:rPr>
        <w:t> dominated the market in </w:t>
      </w:r>
      <w:r w:rsidRPr="00011261">
        <w:rPr>
          <w:rFonts w:ascii="Segoe UI" w:eastAsia="Times New Roman" w:hAnsi="Segoe UI" w:cs="Segoe UI"/>
          <w:b/>
          <w:bCs/>
          <w:color w:val="0D0D0D"/>
          <w:sz w:val="24"/>
          <w:szCs w:val="24"/>
          <w:lang w:eastAsia="en-IN"/>
        </w:rPr>
        <w:t>2024</w:t>
      </w:r>
      <w:r w:rsidRPr="00011261">
        <w:rPr>
          <w:rFonts w:ascii="Segoe UI" w:eastAsia="Times New Roman" w:hAnsi="Segoe UI" w:cs="Segoe UI"/>
          <w:color w:val="0D0D0D"/>
          <w:sz w:val="24"/>
          <w:szCs w:val="24"/>
          <w:lang w:eastAsia="en-IN"/>
        </w:rPr>
        <w:t>, accounting for approximately </w:t>
      </w:r>
      <w:r w:rsidRPr="00011261">
        <w:rPr>
          <w:rFonts w:ascii="Segoe UI" w:eastAsia="Times New Roman" w:hAnsi="Segoe UI" w:cs="Segoe UI"/>
          <w:b/>
          <w:bCs/>
          <w:color w:val="0D0D0D"/>
          <w:sz w:val="24"/>
          <w:szCs w:val="24"/>
          <w:lang w:eastAsia="en-IN"/>
        </w:rPr>
        <w:t>54.2%</w:t>
      </w:r>
      <w:r w:rsidRPr="00011261">
        <w:rPr>
          <w:rFonts w:ascii="Segoe UI" w:eastAsia="Times New Roman" w:hAnsi="Segoe UI" w:cs="Segoe UI"/>
          <w:color w:val="0D0D0D"/>
          <w:sz w:val="24"/>
          <w:szCs w:val="24"/>
          <w:lang w:eastAsia="en-IN"/>
        </w:rPr>
        <w:t> of global revenue due to their precision, stability, and widespread adoption in academic and pharmaceutical laboratories. However, </w:t>
      </w:r>
      <w:r w:rsidRPr="00011261">
        <w:rPr>
          <w:rFonts w:ascii="Segoe UI" w:eastAsia="Times New Roman" w:hAnsi="Segoe UI" w:cs="Segoe UI"/>
          <w:b/>
          <w:bCs/>
          <w:color w:val="0D0D0D"/>
          <w:sz w:val="24"/>
          <w:szCs w:val="24"/>
          <w:lang w:eastAsia="en-IN"/>
        </w:rPr>
        <w:t>Portable CD Spectrometers</w:t>
      </w:r>
      <w:r w:rsidRPr="00011261">
        <w:rPr>
          <w:rFonts w:ascii="Segoe UI" w:eastAsia="Times New Roman" w:hAnsi="Segoe UI" w:cs="Segoe UI"/>
          <w:color w:val="0D0D0D"/>
          <w:sz w:val="24"/>
          <w:szCs w:val="24"/>
          <w:lang w:eastAsia="en-IN"/>
        </w:rPr>
        <w:t> are projected to grow at the fastest CAGR of </w:t>
      </w:r>
      <w:r w:rsidRPr="00011261">
        <w:rPr>
          <w:rFonts w:ascii="Segoe UI" w:eastAsia="Times New Roman" w:hAnsi="Segoe UI" w:cs="Segoe UI"/>
          <w:b/>
          <w:bCs/>
          <w:color w:val="0D0D0D"/>
          <w:sz w:val="24"/>
          <w:szCs w:val="24"/>
          <w:lang w:eastAsia="en-IN"/>
        </w:rPr>
        <w:t>8.4%</w:t>
      </w:r>
      <w:r w:rsidRPr="00011261">
        <w:rPr>
          <w:rFonts w:ascii="Segoe UI" w:eastAsia="Times New Roman" w:hAnsi="Segoe UI" w:cs="Segoe UI"/>
          <w:color w:val="0D0D0D"/>
          <w:sz w:val="24"/>
          <w:szCs w:val="24"/>
          <w:lang w:eastAsia="en-IN"/>
        </w:rPr>
        <w:t>, driven by the miniaturization of optical components and demand for field-deployable or in-process analytical instruments.</w:t>
      </w:r>
    </w:p>
    <w:p w14:paraId="6B328507"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35B00897">
          <v:rect id="_x0000_i1026" style="width:0;height:0" o:hralign="center" o:hrstd="t" o:hrnoshade="t" o:hr="t" fillcolor="#0d0d0d" stroked="f"/>
        </w:pict>
      </w:r>
    </w:p>
    <w:p w14:paraId="0C263E81"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By Application</w:t>
      </w:r>
    </w:p>
    <w:p w14:paraId="32389023"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Applications span structural and functional assessments of biomolecules and materials:</w:t>
      </w:r>
    </w:p>
    <w:p w14:paraId="3EFE6E2D" w14:textId="77777777" w:rsidR="00011261" w:rsidRPr="00011261" w:rsidRDefault="00011261" w:rsidP="0001126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Protein Secondary Structure Analysis</w:t>
      </w:r>
    </w:p>
    <w:p w14:paraId="41D5778F" w14:textId="77777777" w:rsidR="00011261" w:rsidRPr="00011261" w:rsidRDefault="00011261" w:rsidP="0001126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lastRenderedPageBreak/>
        <w:t>Nucleic Acid Characterization</w:t>
      </w:r>
    </w:p>
    <w:p w14:paraId="3558802B" w14:textId="77777777" w:rsidR="00011261" w:rsidRPr="00011261" w:rsidRDefault="00011261" w:rsidP="0001126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Chiral Material Testing</w:t>
      </w:r>
    </w:p>
    <w:p w14:paraId="1F39B595" w14:textId="77777777" w:rsidR="00011261" w:rsidRPr="00011261" w:rsidRDefault="00011261" w:rsidP="0001126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Quality Control in Biomanufacturing</w:t>
      </w:r>
    </w:p>
    <w:p w14:paraId="03F7E54E" w14:textId="77777777" w:rsidR="00011261" w:rsidRPr="00011261" w:rsidRDefault="00011261" w:rsidP="00011261">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Conformational Change Studies</w:t>
      </w:r>
    </w:p>
    <w:p w14:paraId="5824A273"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Among these, </w:t>
      </w:r>
      <w:r w:rsidRPr="00011261">
        <w:rPr>
          <w:rFonts w:ascii="Segoe UI" w:eastAsia="Times New Roman" w:hAnsi="Segoe UI" w:cs="Segoe UI"/>
          <w:b/>
          <w:bCs/>
          <w:color w:val="0D0D0D"/>
          <w:sz w:val="24"/>
          <w:szCs w:val="24"/>
          <w:lang w:eastAsia="en-IN"/>
        </w:rPr>
        <w:t>Protein Secondary Structure Analysis</w:t>
      </w:r>
      <w:r w:rsidRPr="00011261">
        <w:rPr>
          <w:rFonts w:ascii="Segoe UI" w:eastAsia="Times New Roman" w:hAnsi="Segoe UI" w:cs="Segoe UI"/>
          <w:color w:val="0D0D0D"/>
          <w:sz w:val="24"/>
          <w:szCs w:val="24"/>
          <w:lang w:eastAsia="en-IN"/>
        </w:rPr>
        <w:t> remains the most dominant application, owing to its critical role in therapeutic protein and biosimilar development. As mRNA therapies and recombinant proteins expand, this segment will maintain its lead. </w:t>
      </w:r>
      <w:r w:rsidRPr="00011261">
        <w:rPr>
          <w:rFonts w:ascii="Segoe UI" w:eastAsia="Times New Roman" w:hAnsi="Segoe UI" w:cs="Segoe UI"/>
          <w:i/>
          <w:iCs/>
          <w:color w:val="0D0D0D"/>
          <w:sz w:val="24"/>
          <w:szCs w:val="24"/>
          <w:lang w:eastAsia="en-IN"/>
        </w:rPr>
        <w:t xml:space="preserve">The ability to quickly </w:t>
      </w:r>
      <w:proofErr w:type="spellStart"/>
      <w:r w:rsidRPr="00011261">
        <w:rPr>
          <w:rFonts w:ascii="Segoe UI" w:eastAsia="Times New Roman" w:hAnsi="Segoe UI" w:cs="Segoe UI"/>
          <w:i/>
          <w:iCs/>
          <w:color w:val="0D0D0D"/>
          <w:sz w:val="24"/>
          <w:szCs w:val="24"/>
          <w:lang w:eastAsia="en-IN"/>
        </w:rPr>
        <w:t>analyze</w:t>
      </w:r>
      <w:proofErr w:type="spellEnd"/>
      <w:r w:rsidRPr="00011261">
        <w:rPr>
          <w:rFonts w:ascii="Segoe UI" w:eastAsia="Times New Roman" w:hAnsi="Segoe UI" w:cs="Segoe UI"/>
          <w:i/>
          <w:iCs/>
          <w:color w:val="0D0D0D"/>
          <w:sz w:val="24"/>
          <w:szCs w:val="24"/>
          <w:lang w:eastAsia="en-IN"/>
        </w:rPr>
        <w:t xml:space="preserve"> folding/unfolding transitions has positioned CD as a complementary tool to NMR and X-ray crystallography.</w:t>
      </w:r>
    </w:p>
    <w:p w14:paraId="1078E9B3"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3D464B8B">
          <v:rect id="_x0000_i1027" style="width:0;height:0" o:hralign="center" o:hrstd="t" o:hrnoshade="t" o:hr="t" fillcolor="#0d0d0d" stroked="f"/>
        </w:pict>
      </w:r>
    </w:p>
    <w:p w14:paraId="09AA3C4A"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By End User</w:t>
      </w:r>
    </w:p>
    <w:p w14:paraId="62D7A890"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key institutional adopters of CD spectrometers include:</w:t>
      </w:r>
    </w:p>
    <w:p w14:paraId="066A99AC" w14:textId="77777777" w:rsidR="00011261" w:rsidRPr="00011261" w:rsidRDefault="00011261" w:rsidP="0001126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Pharmaceutical &amp; Biotechnology Companies</w:t>
      </w:r>
    </w:p>
    <w:p w14:paraId="42960A8A" w14:textId="77777777" w:rsidR="00011261" w:rsidRPr="00011261" w:rsidRDefault="00011261" w:rsidP="0001126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Academic and Research Institutes</w:t>
      </w:r>
    </w:p>
    <w:p w14:paraId="111F2CAC" w14:textId="77777777" w:rsidR="00011261" w:rsidRPr="00011261" w:rsidRDefault="00011261" w:rsidP="0001126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Contract Research Organizations (CROs)</w:t>
      </w:r>
    </w:p>
    <w:p w14:paraId="74018278" w14:textId="77777777" w:rsidR="00011261" w:rsidRPr="00011261" w:rsidRDefault="00011261" w:rsidP="00011261">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Regulatory &amp; Compliance Labs</w:t>
      </w:r>
    </w:p>
    <w:p w14:paraId="78F73A70"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Pharmaceutical &amp; Biotechnology Companies</w:t>
      </w:r>
      <w:r w:rsidRPr="00011261">
        <w:rPr>
          <w:rFonts w:ascii="Segoe UI" w:eastAsia="Times New Roman" w:hAnsi="Segoe UI" w:cs="Segoe UI"/>
          <w:color w:val="0D0D0D"/>
          <w:sz w:val="24"/>
          <w:szCs w:val="24"/>
          <w:lang w:eastAsia="en-IN"/>
        </w:rPr>
        <w:t> held the largest market share in 2024, owing to their use of CD spectrometers in preclinical, clinical, and formulation phases. However, </w:t>
      </w:r>
      <w:r w:rsidRPr="00011261">
        <w:rPr>
          <w:rFonts w:ascii="Segoe UI" w:eastAsia="Times New Roman" w:hAnsi="Segoe UI" w:cs="Segoe UI"/>
          <w:b/>
          <w:bCs/>
          <w:color w:val="0D0D0D"/>
          <w:sz w:val="24"/>
          <w:szCs w:val="24"/>
          <w:lang w:eastAsia="en-IN"/>
        </w:rPr>
        <w:t>Contract Research Organizations (CROs)</w:t>
      </w:r>
      <w:r w:rsidRPr="00011261">
        <w:rPr>
          <w:rFonts w:ascii="Segoe UI" w:eastAsia="Times New Roman" w:hAnsi="Segoe UI" w:cs="Segoe UI"/>
          <w:color w:val="0D0D0D"/>
          <w:sz w:val="24"/>
          <w:szCs w:val="24"/>
          <w:lang w:eastAsia="en-IN"/>
        </w:rPr>
        <w:t> are expected to be the fastest-growing segment, propelled by outsourcing trends and the push for leaner R&amp;D operations.</w:t>
      </w:r>
    </w:p>
    <w:p w14:paraId="3F89DCD7"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4CCCE04C">
          <v:rect id="_x0000_i1028" style="width:0;height:0" o:hralign="center" o:hrstd="t" o:hrnoshade="t" o:hr="t" fillcolor="#0d0d0d" stroked="f"/>
        </w:pict>
      </w:r>
    </w:p>
    <w:p w14:paraId="26E9EB37"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By Region</w:t>
      </w:r>
    </w:p>
    <w:p w14:paraId="76F15EEA"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global market is also segmented into:</w:t>
      </w:r>
    </w:p>
    <w:p w14:paraId="24D33138" w14:textId="77777777" w:rsidR="00011261" w:rsidRPr="00011261" w:rsidRDefault="00011261" w:rsidP="0001126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North America</w:t>
      </w:r>
    </w:p>
    <w:p w14:paraId="5513EEB6" w14:textId="77777777" w:rsidR="00011261" w:rsidRPr="00011261" w:rsidRDefault="00011261" w:rsidP="0001126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Europe</w:t>
      </w:r>
    </w:p>
    <w:p w14:paraId="78B98CE3" w14:textId="77777777" w:rsidR="00011261" w:rsidRPr="00011261" w:rsidRDefault="00011261" w:rsidP="0001126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Asia Pacific</w:t>
      </w:r>
    </w:p>
    <w:p w14:paraId="015ED954" w14:textId="77777777" w:rsidR="00011261" w:rsidRPr="00011261" w:rsidRDefault="00011261" w:rsidP="0001126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Latin America</w:t>
      </w:r>
    </w:p>
    <w:p w14:paraId="2EC41E8B" w14:textId="77777777" w:rsidR="00011261" w:rsidRPr="00011261" w:rsidRDefault="00011261" w:rsidP="00011261">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Middle East &amp; Africa</w:t>
      </w:r>
    </w:p>
    <w:p w14:paraId="34D488B9"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lastRenderedPageBreak/>
        <w:t>While </w:t>
      </w:r>
      <w:r w:rsidRPr="00011261">
        <w:rPr>
          <w:rFonts w:ascii="Segoe UI" w:eastAsia="Times New Roman" w:hAnsi="Segoe UI" w:cs="Segoe UI"/>
          <w:b/>
          <w:bCs/>
          <w:color w:val="0D0D0D"/>
          <w:sz w:val="24"/>
          <w:szCs w:val="24"/>
          <w:lang w:eastAsia="en-IN"/>
        </w:rPr>
        <w:t>North America</w:t>
      </w:r>
      <w:r w:rsidRPr="00011261">
        <w:rPr>
          <w:rFonts w:ascii="Segoe UI" w:eastAsia="Times New Roman" w:hAnsi="Segoe UI" w:cs="Segoe UI"/>
          <w:color w:val="0D0D0D"/>
          <w:sz w:val="24"/>
          <w:szCs w:val="24"/>
          <w:lang w:eastAsia="en-IN"/>
        </w:rPr>
        <w:t> led in 2024 due to strong research infrastructure and regulatory standards, the </w:t>
      </w:r>
      <w:r w:rsidRPr="00011261">
        <w:rPr>
          <w:rFonts w:ascii="Segoe UI" w:eastAsia="Times New Roman" w:hAnsi="Segoe UI" w:cs="Segoe UI"/>
          <w:b/>
          <w:bCs/>
          <w:color w:val="0D0D0D"/>
          <w:sz w:val="24"/>
          <w:szCs w:val="24"/>
          <w:lang w:eastAsia="en-IN"/>
        </w:rPr>
        <w:t>Asia Pacific</w:t>
      </w:r>
      <w:r w:rsidRPr="00011261">
        <w:rPr>
          <w:rFonts w:ascii="Segoe UI" w:eastAsia="Times New Roman" w:hAnsi="Segoe UI" w:cs="Segoe UI"/>
          <w:color w:val="0D0D0D"/>
          <w:sz w:val="24"/>
          <w:szCs w:val="24"/>
          <w:lang w:eastAsia="en-IN"/>
        </w:rPr>
        <w:t> region is expected to grow the fastest through 2030, thanks to expanding pharma manufacturing hubs in India and China and increasing investment in academic research infrastructure.</w:t>
      </w:r>
    </w:p>
    <w:p w14:paraId="588DF876"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6AC5A46A">
          <v:rect id="_x0000_i1029" style="width:0;height:0" o:hralign="center" o:hrstd="t" o:hrnoshade="t" o:hr="t" fillcolor="#0d0d0d" stroked="f"/>
        </w:pict>
      </w:r>
    </w:p>
    <w:p w14:paraId="5981A17E"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This multidimensional segmentation framework allows industry players to align product development, marketing, and distribution strategies with the most lucrative and dynamic segments.</w:t>
      </w:r>
    </w:p>
    <w:p w14:paraId="6FE291A2"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w:eastAsia="Times New Roman" w:hAnsi="Segoe UI" w:cs="Segoe UI"/>
          <w:b/>
          <w:bCs/>
          <w:color w:val="0D0D0D"/>
          <w:sz w:val="30"/>
          <w:szCs w:val="30"/>
          <w:lang w:eastAsia="en-IN"/>
        </w:rPr>
        <w:t>3. Market Trends and Innovation Landscape</w:t>
      </w:r>
    </w:p>
    <w:p w14:paraId="61F9E226"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w:t>
      </w:r>
      <w:r w:rsidRPr="00011261">
        <w:rPr>
          <w:rFonts w:ascii="Segoe UI" w:eastAsia="Times New Roman" w:hAnsi="Segoe UI" w:cs="Segoe UI"/>
          <w:b/>
          <w:bCs/>
          <w:color w:val="0D0D0D"/>
          <w:sz w:val="24"/>
          <w:szCs w:val="24"/>
          <w:lang w:eastAsia="en-IN"/>
        </w:rPr>
        <w:t>circular dichroism spectrometer market</w:t>
      </w:r>
      <w:r w:rsidRPr="00011261">
        <w:rPr>
          <w:rFonts w:ascii="Segoe UI" w:eastAsia="Times New Roman" w:hAnsi="Segoe UI" w:cs="Segoe UI"/>
          <w:color w:val="0D0D0D"/>
          <w:sz w:val="24"/>
          <w:szCs w:val="24"/>
          <w:lang w:eastAsia="en-IN"/>
        </w:rPr>
        <w:t> is experiencing a wave of innovation as scientific demands shift from standalone laboratory analysis to integrated, high-throughput, and real-time molecular characterization. Between 2024 and 2030, three dominant innovation trends are shaping the competitive and functional direction of this market: technological sophistication, digital convergence, and operational agility.</w:t>
      </w:r>
    </w:p>
    <w:p w14:paraId="4A65A4BF"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38AD7738">
          <v:rect id="_x0000_i1035" style="width:0;height:0" o:hralign="center" o:hrstd="t" o:hrnoshade="t" o:hr="t" fillcolor="#0d0d0d" stroked="f"/>
        </w:pict>
      </w:r>
    </w:p>
    <w:p w14:paraId="386DFE2A"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1. Advancements in Optical and Detector Technologies</w:t>
      </w:r>
    </w:p>
    <w:p w14:paraId="6EBC75BC"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New-generation CD spectrometers are incorporating </w:t>
      </w:r>
      <w:r w:rsidRPr="00011261">
        <w:rPr>
          <w:rFonts w:ascii="Segoe UI" w:eastAsia="Times New Roman" w:hAnsi="Segoe UI" w:cs="Segoe UI"/>
          <w:b/>
          <w:bCs/>
          <w:color w:val="0D0D0D"/>
          <w:sz w:val="24"/>
          <w:szCs w:val="24"/>
          <w:lang w:eastAsia="en-IN"/>
        </w:rPr>
        <w:t>multi-wavelength fast-scanning capabilities</w:t>
      </w:r>
      <w:r w:rsidRPr="00011261">
        <w:rPr>
          <w:rFonts w:ascii="Segoe UI" w:eastAsia="Times New Roman" w:hAnsi="Segoe UI" w:cs="Segoe UI"/>
          <w:color w:val="0D0D0D"/>
          <w:sz w:val="24"/>
          <w:szCs w:val="24"/>
          <w:lang w:eastAsia="en-IN"/>
        </w:rPr>
        <w:t>, thanks to advances in </w:t>
      </w:r>
      <w:r w:rsidRPr="00011261">
        <w:rPr>
          <w:rFonts w:ascii="Segoe UI" w:eastAsia="Times New Roman" w:hAnsi="Segoe UI" w:cs="Segoe UI"/>
          <w:b/>
          <w:bCs/>
          <w:color w:val="0D0D0D"/>
          <w:sz w:val="24"/>
          <w:szCs w:val="24"/>
          <w:lang w:eastAsia="en-IN"/>
        </w:rPr>
        <w:t>piezoelectric modulator design</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broadband light sources</w:t>
      </w:r>
      <w:r w:rsidRPr="00011261">
        <w:rPr>
          <w:rFonts w:ascii="Segoe UI" w:eastAsia="Times New Roman" w:hAnsi="Segoe UI" w:cs="Segoe UI"/>
          <w:color w:val="0D0D0D"/>
          <w:sz w:val="24"/>
          <w:szCs w:val="24"/>
          <w:lang w:eastAsia="en-IN"/>
        </w:rPr>
        <w:t>. These enhancements allow rapid and precise detection of chiral signals across far-UV, near-UV, and visible regions.</w:t>
      </w:r>
    </w:p>
    <w:p w14:paraId="4EFD9D64"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Instrument developers are also shifting towards </w:t>
      </w:r>
      <w:r w:rsidRPr="00011261">
        <w:rPr>
          <w:rFonts w:ascii="Segoe UI" w:eastAsia="Times New Roman" w:hAnsi="Segoe UI" w:cs="Segoe UI"/>
          <w:b/>
          <w:bCs/>
          <w:color w:val="0D0D0D"/>
          <w:sz w:val="24"/>
          <w:szCs w:val="24"/>
          <w:lang w:eastAsia="en-IN"/>
        </w:rPr>
        <w:t>photomultiplier tubes (PMTs) with enhanced sensitivity</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CCD-based detectors</w:t>
      </w:r>
      <w:r w:rsidRPr="00011261">
        <w:rPr>
          <w:rFonts w:ascii="Segoe UI" w:eastAsia="Times New Roman" w:hAnsi="Segoe UI" w:cs="Segoe UI"/>
          <w:color w:val="0D0D0D"/>
          <w:sz w:val="24"/>
          <w:szCs w:val="24"/>
          <w:lang w:eastAsia="en-IN"/>
        </w:rPr>
        <w:t>, enabling broader spectral ranges and improved signal-to-noise ratios. These upgrades facilitate accurate structural interpretations of highly diluted or complex protein samples.</w:t>
      </w:r>
    </w:p>
    <w:p w14:paraId="728BD4F9"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According to academic optical physicists, the fusion of advanced beamline optics with AI-enabled signal processing is reducing data acquisition times by over 40%, accelerating structural verification cycles in pharmaceutical R&amp;D.</w:t>
      </w:r>
    </w:p>
    <w:p w14:paraId="797657E1"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71C36480">
          <v:rect id="_x0000_i1036" style="width:0;height:0" o:hralign="center" o:hrstd="t" o:hrnoshade="t" o:hr="t" fillcolor="#0d0d0d" stroked="f"/>
        </w:pict>
      </w:r>
    </w:p>
    <w:p w14:paraId="4C1643A8"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lastRenderedPageBreak/>
        <w:t>2. Integration with Digital Platforms and AI Algorithms</w:t>
      </w:r>
    </w:p>
    <w:p w14:paraId="0D2E53AF"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Modern CD spectrometers are being designed with </w:t>
      </w:r>
      <w:r w:rsidRPr="00011261">
        <w:rPr>
          <w:rFonts w:ascii="Segoe UI" w:eastAsia="Times New Roman" w:hAnsi="Segoe UI" w:cs="Segoe UI"/>
          <w:b/>
          <w:bCs/>
          <w:color w:val="0D0D0D"/>
          <w:sz w:val="24"/>
          <w:szCs w:val="24"/>
          <w:lang w:eastAsia="en-IN"/>
        </w:rPr>
        <w:t>smart software integration</w:t>
      </w:r>
      <w:r w:rsidRPr="00011261">
        <w:rPr>
          <w:rFonts w:ascii="Segoe UI" w:eastAsia="Times New Roman" w:hAnsi="Segoe UI" w:cs="Segoe UI"/>
          <w:color w:val="0D0D0D"/>
          <w:sz w:val="24"/>
          <w:szCs w:val="24"/>
          <w:lang w:eastAsia="en-IN"/>
        </w:rPr>
        <w:t>, supporting cloud-based data archiving, remote diagnostics, and compatibility with laboratory information management systems (LIMS).</w:t>
      </w:r>
    </w:p>
    <w:p w14:paraId="454D1746"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Machine learning algorithms are increasingly used to:</w:t>
      </w:r>
    </w:p>
    <w:p w14:paraId="3982A2D6" w14:textId="77777777" w:rsidR="00011261" w:rsidRPr="00011261" w:rsidRDefault="00011261" w:rsidP="0001126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Detect subtle conformational changes</w:t>
      </w:r>
    </w:p>
    <w:p w14:paraId="63ADAD61" w14:textId="77777777" w:rsidR="00011261" w:rsidRPr="00011261" w:rsidRDefault="00011261" w:rsidP="0001126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Optimize scanning parameters in real time</w:t>
      </w:r>
    </w:p>
    <w:p w14:paraId="18E14093" w14:textId="77777777" w:rsidR="00011261" w:rsidRPr="00011261" w:rsidRDefault="00011261" w:rsidP="00011261">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Auto-classify spectral patterns across protein classes</w:t>
      </w:r>
    </w:p>
    <w:p w14:paraId="1477152E"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These digital enhancements reduce operator dependency and pave the way for </w:t>
      </w:r>
      <w:r w:rsidRPr="00011261">
        <w:rPr>
          <w:rFonts w:ascii="Segoe UI" w:eastAsia="Times New Roman" w:hAnsi="Segoe UI" w:cs="Segoe UI"/>
          <w:b/>
          <w:bCs/>
          <w:color w:val="0D0D0D"/>
          <w:sz w:val="24"/>
          <w:szCs w:val="24"/>
          <w:lang w:eastAsia="en-IN"/>
        </w:rPr>
        <w:t>semi-autonomous spectrometry environments</w:t>
      </w:r>
      <w:r w:rsidRPr="00011261">
        <w:rPr>
          <w:rFonts w:ascii="Segoe UI" w:eastAsia="Times New Roman" w:hAnsi="Segoe UI" w:cs="Segoe UI"/>
          <w:color w:val="0D0D0D"/>
          <w:sz w:val="24"/>
          <w:szCs w:val="24"/>
          <w:lang w:eastAsia="en-IN"/>
        </w:rPr>
        <w:t xml:space="preserve">, ideal for high-throughput research </w:t>
      </w:r>
      <w:proofErr w:type="spellStart"/>
      <w:r w:rsidRPr="00011261">
        <w:rPr>
          <w:rFonts w:ascii="Segoe UI" w:eastAsia="Times New Roman" w:hAnsi="Segoe UI" w:cs="Segoe UI"/>
          <w:color w:val="0D0D0D"/>
          <w:sz w:val="24"/>
          <w:szCs w:val="24"/>
          <w:lang w:eastAsia="en-IN"/>
        </w:rPr>
        <w:t>centers</w:t>
      </w:r>
      <w:proofErr w:type="spellEnd"/>
      <w:r w:rsidRPr="00011261">
        <w:rPr>
          <w:rFonts w:ascii="Segoe UI" w:eastAsia="Times New Roman" w:hAnsi="Segoe UI" w:cs="Segoe UI"/>
          <w:color w:val="0D0D0D"/>
          <w:sz w:val="24"/>
          <w:szCs w:val="24"/>
          <w:lang w:eastAsia="en-IN"/>
        </w:rPr>
        <w:t xml:space="preserve"> and contract labs.</w:t>
      </w:r>
    </w:p>
    <w:p w14:paraId="37744E05"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6FF37570">
          <v:rect id="_x0000_i1037" style="width:0;height:0" o:hralign="center" o:hrstd="t" o:hrnoshade="t" o:hr="t" fillcolor="#0d0d0d" stroked="f"/>
        </w:pict>
      </w:r>
    </w:p>
    <w:p w14:paraId="03E1D429"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3. Miniaturization and Portability for In-Field Use</w:t>
      </w:r>
    </w:p>
    <w:p w14:paraId="0994E12B"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Driven by the need for </w:t>
      </w:r>
      <w:r w:rsidRPr="00011261">
        <w:rPr>
          <w:rFonts w:ascii="Segoe UI" w:eastAsia="Times New Roman" w:hAnsi="Segoe UI" w:cs="Segoe UI"/>
          <w:b/>
          <w:bCs/>
          <w:color w:val="0D0D0D"/>
          <w:sz w:val="24"/>
          <w:szCs w:val="24"/>
          <w:lang w:eastAsia="en-IN"/>
        </w:rPr>
        <w:t>on-site biological testing</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real-time drug manufacturing quality control</w:t>
      </w:r>
      <w:r w:rsidRPr="00011261">
        <w:rPr>
          <w:rFonts w:ascii="Segoe UI" w:eastAsia="Times New Roman" w:hAnsi="Segoe UI" w:cs="Segoe UI"/>
          <w:color w:val="0D0D0D"/>
          <w:sz w:val="24"/>
          <w:szCs w:val="24"/>
          <w:lang w:eastAsia="en-IN"/>
        </w:rPr>
        <w:t>, portable CD spectrometers are being developed with solid-state optics and battery-powered modules. Such tools are now finding relevance in </w:t>
      </w:r>
      <w:r w:rsidRPr="00011261">
        <w:rPr>
          <w:rFonts w:ascii="Segoe UI" w:eastAsia="Times New Roman" w:hAnsi="Segoe UI" w:cs="Segoe UI"/>
          <w:b/>
          <w:bCs/>
          <w:color w:val="0D0D0D"/>
          <w:sz w:val="24"/>
          <w:szCs w:val="24"/>
          <w:lang w:eastAsia="en-IN"/>
        </w:rPr>
        <w:t>bioreactor monitoring</w:t>
      </w:r>
      <w:r w:rsidRPr="00011261">
        <w:rPr>
          <w:rFonts w:ascii="Segoe UI" w:eastAsia="Times New Roman" w:hAnsi="Segoe UI" w:cs="Segoe UI"/>
          <w:color w:val="0D0D0D"/>
          <w:sz w:val="24"/>
          <w:szCs w:val="24"/>
          <w:lang w:eastAsia="en-IN"/>
        </w:rPr>
        <w:t>, </w:t>
      </w:r>
      <w:r w:rsidRPr="00011261">
        <w:rPr>
          <w:rFonts w:ascii="Segoe UI" w:eastAsia="Times New Roman" w:hAnsi="Segoe UI" w:cs="Segoe UI"/>
          <w:b/>
          <w:bCs/>
          <w:color w:val="0D0D0D"/>
          <w:sz w:val="24"/>
          <w:szCs w:val="24"/>
          <w:lang w:eastAsia="en-IN"/>
        </w:rPr>
        <w:t>cold-chain quality assessments</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environmental biosensing</w:t>
      </w:r>
      <w:r w:rsidRPr="00011261">
        <w:rPr>
          <w:rFonts w:ascii="Segoe UI" w:eastAsia="Times New Roman" w:hAnsi="Segoe UI" w:cs="Segoe UI"/>
          <w:color w:val="0D0D0D"/>
          <w:sz w:val="24"/>
          <w:szCs w:val="24"/>
          <w:lang w:eastAsia="en-IN"/>
        </w:rPr>
        <w:t>.</w:t>
      </w:r>
    </w:p>
    <w:p w14:paraId="2F8EF1E8"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In a recent pilot deployment in Scandinavia, a compact CD spectrometer was used in a mobile vaccine production facility to verify protein integrity in mRNA formulations, reducing the need for centralized QC labs.</w:t>
      </w:r>
    </w:p>
    <w:p w14:paraId="19E32F78"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69ED3C1A">
          <v:rect id="_x0000_i1038" style="width:0;height:0" o:hralign="center" o:hrstd="t" o:hrnoshade="t" o:hr="t" fillcolor="#0d0d0d" stroked="f"/>
        </w:pict>
      </w:r>
    </w:p>
    <w:p w14:paraId="3BA0CE6F"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4. Rising Academic-Industry Collaborations</w:t>
      </w:r>
    </w:p>
    <w:p w14:paraId="231C48E0"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Universities and pharmaceutical manufacturers are entering </w:t>
      </w:r>
      <w:r w:rsidRPr="00011261">
        <w:rPr>
          <w:rFonts w:ascii="Segoe UI" w:eastAsia="Times New Roman" w:hAnsi="Segoe UI" w:cs="Segoe UI"/>
          <w:b/>
          <w:bCs/>
          <w:color w:val="0D0D0D"/>
          <w:sz w:val="24"/>
          <w:szCs w:val="24"/>
          <w:lang w:eastAsia="en-IN"/>
        </w:rPr>
        <w:t>strategic R&amp;D alliances</w:t>
      </w:r>
      <w:r w:rsidRPr="00011261">
        <w:rPr>
          <w:rFonts w:ascii="Segoe UI" w:eastAsia="Times New Roman" w:hAnsi="Segoe UI" w:cs="Segoe UI"/>
          <w:color w:val="0D0D0D"/>
          <w:sz w:val="24"/>
          <w:szCs w:val="24"/>
          <w:lang w:eastAsia="en-IN"/>
        </w:rPr>
        <w:t> to develop next-gen CD instruments tailored to high-throughput screening, peptide folding studies, and structural pharmacology. These collaborations are yielding innovations in:</w:t>
      </w:r>
    </w:p>
    <w:p w14:paraId="0F2476F8" w14:textId="77777777" w:rsidR="00011261" w:rsidRPr="00011261" w:rsidRDefault="00011261" w:rsidP="0001126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lastRenderedPageBreak/>
        <w:t>3D CD imaging</w:t>
      </w:r>
    </w:p>
    <w:p w14:paraId="04F4C769" w14:textId="77777777" w:rsidR="00011261" w:rsidRPr="00011261" w:rsidRDefault="00011261" w:rsidP="0001126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Coupling CD with fluorescence and mass spectrometry</w:t>
      </w:r>
    </w:p>
    <w:p w14:paraId="3D92CD47" w14:textId="77777777" w:rsidR="00011261" w:rsidRPr="00011261" w:rsidRDefault="00011261" w:rsidP="00011261">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Real-time multi-modal spectroscopic dashboards</w:t>
      </w:r>
    </w:p>
    <w:p w14:paraId="43D9F73B"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Such cross-sector partnerships are compressing innovation timelines and creating commercially viable tools suited to modern bioscience workflows.</w:t>
      </w:r>
    </w:p>
    <w:p w14:paraId="1BEE757E"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4D27995F">
          <v:rect id="_x0000_i1039" style="width:0;height:0" o:hralign="center" o:hrstd="t" o:hrnoshade="t" o:hr="t" fillcolor="#0d0d0d" stroked="f"/>
        </w:pict>
      </w:r>
    </w:p>
    <w:p w14:paraId="261E1B32"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5. Patent Activity and Licensing Dynamics</w:t>
      </w:r>
    </w:p>
    <w:p w14:paraId="6C061E62"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industry has seen a steady rise in patent filings related to </w:t>
      </w:r>
      <w:r w:rsidRPr="00011261">
        <w:rPr>
          <w:rFonts w:ascii="Segoe UI" w:eastAsia="Times New Roman" w:hAnsi="Segoe UI" w:cs="Segoe UI"/>
          <w:b/>
          <w:bCs/>
          <w:color w:val="0D0D0D"/>
          <w:sz w:val="24"/>
          <w:szCs w:val="24"/>
          <w:lang w:eastAsia="en-IN"/>
        </w:rPr>
        <w:t>AI-aided spectroscopic interpretation</w:t>
      </w:r>
      <w:r w:rsidRPr="00011261">
        <w:rPr>
          <w:rFonts w:ascii="Segoe UI" w:eastAsia="Times New Roman" w:hAnsi="Segoe UI" w:cs="Segoe UI"/>
          <w:color w:val="0D0D0D"/>
          <w:sz w:val="24"/>
          <w:szCs w:val="24"/>
          <w:lang w:eastAsia="en-IN"/>
        </w:rPr>
        <w:t>, </w:t>
      </w:r>
      <w:r w:rsidRPr="00011261">
        <w:rPr>
          <w:rFonts w:ascii="Segoe UI" w:eastAsia="Times New Roman" w:hAnsi="Segoe UI" w:cs="Segoe UI"/>
          <w:b/>
          <w:bCs/>
          <w:color w:val="0D0D0D"/>
          <w:sz w:val="24"/>
          <w:szCs w:val="24"/>
          <w:lang w:eastAsia="en-IN"/>
        </w:rPr>
        <w:t>dual-beam chiral analysis</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automated calibration systems</w:t>
      </w:r>
      <w:r w:rsidRPr="00011261">
        <w:rPr>
          <w:rFonts w:ascii="Segoe UI" w:eastAsia="Times New Roman" w:hAnsi="Segoe UI" w:cs="Segoe UI"/>
          <w:color w:val="0D0D0D"/>
          <w:sz w:val="24"/>
          <w:szCs w:val="24"/>
          <w:lang w:eastAsia="en-IN"/>
        </w:rPr>
        <w:t xml:space="preserve">. Many smaller </w:t>
      </w:r>
      <w:proofErr w:type="spellStart"/>
      <w:r w:rsidRPr="00011261">
        <w:rPr>
          <w:rFonts w:ascii="Segoe UI" w:eastAsia="Times New Roman" w:hAnsi="Segoe UI" w:cs="Segoe UI"/>
          <w:color w:val="0D0D0D"/>
          <w:sz w:val="24"/>
          <w:szCs w:val="24"/>
          <w:lang w:eastAsia="en-IN"/>
        </w:rPr>
        <w:t>startups</w:t>
      </w:r>
      <w:proofErr w:type="spellEnd"/>
      <w:r w:rsidRPr="00011261">
        <w:rPr>
          <w:rFonts w:ascii="Segoe UI" w:eastAsia="Times New Roman" w:hAnsi="Segoe UI" w:cs="Segoe UI"/>
          <w:color w:val="0D0D0D"/>
          <w:sz w:val="24"/>
          <w:szCs w:val="24"/>
          <w:lang w:eastAsia="en-IN"/>
        </w:rPr>
        <w:t xml:space="preserve"> are focusing on licensing models—developing proprietary software or optical modules that integrate with OEM instruments.</w:t>
      </w:r>
    </w:p>
    <w:p w14:paraId="41C891E8"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0333A8E2">
          <v:rect id="_x0000_i1040" style="width:0;height:0" o:hralign="center" o:hrstd="t" o:hrnoshade="t" o:hr="t" fillcolor="#0d0d0d" stroked="f"/>
        </w:pict>
      </w:r>
    </w:p>
    <w:p w14:paraId="4692584F"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Collectively, these trends mark a clear departure from legacy static systems toward adaptive, integrated, and intelligent CD platforms capable of meeting the evolving demands of life sciences and beyond.</w:t>
      </w:r>
    </w:p>
    <w:p w14:paraId="472F0861"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w:eastAsia="Times New Roman" w:hAnsi="Segoe UI" w:cs="Segoe UI"/>
          <w:b/>
          <w:bCs/>
          <w:color w:val="0D0D0D"/>
          <w:sz w:val="30"/>
          <w:szCs w:val="30"/>
          <w:lang w:eastAsia="en-IN"/>
        </w:rPr>
        <w:t>4. Competitive Intelligence and Benchmarking</w:t>
      </w:r>
    </w:p>
    <w:p w14:paraId="7261503F"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w:t>
      </w:r>
      <w:r w:rsidRPr="00011261">
        <w:rPr>
          <w:rFonts w:ascii="Segoe UI" w:eastAsia="Times New Roman" w:hAnsi="Segoe UI" w:cs="Segoe UI"/>
          <w:b/>
          <w:bCs/>
          <w:color w:val="0D0D0D"/>
          <w:sz w:val="24"/>
          <w:szCs w:val="24"/>
          <w:lang w:eastAsia="en-IN"/>
        </w:rPr>
        <w:t>circular dichroism spectrometer market</w:t>
      </w:r>
      <w:r w:rsidRPr="00011261">
        <w:rPr>
          <w:rFonts w:ascii="Segoe UI" w:eastAsia="Times New Roman" w:hAnsi="Segoe UI" w:cs="Segoe UI"/>
          <w:color w:val="0D0D0D"/>
          <w:sz w:val="24"/>
          <w:szCs w:val="24"/>
          <w:lang w:eastAsia="en-IN"/>
        </w:rPr>
        <w:t> is moderately consolidated, with a handful of specialized analytical instrument manufacturers maintaining a stronghold over global and regional markets. These companies differentiate themselves through </w:t>
      </w:r>
      <w:r w:rsidRPr="00011261">
        <w:rPr>
          <w:rFonts w:ascii="Segoe UI" w:eastAsia="Times New Roman" w:hAnsi="Segoe UI" w:cs="Segoe UI"/>
          <w:b/>
          <w:bCs/>
          <w:color w:val="0D0D0D"/>
          <w:sz w:val="24"/>
          <w:szCs w:val="24"/>
          <w:lang w:eastAsia="en-IN"/>
        </w:rPr>
        <w:t>technological depth, service reliability, application-specific customization</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research partnerships</w:t>
      </w:r>
      <w:r w:rsidRPr="00011261">
        <w:rPr>
          <w:rFonts w:ascii="Segoe UI" w:eastAsia="Times New Roman" w:hAnsi="Segoe UI" w:cs="Segoe UI"/>
          <w:color w:val="0D0D0D"/>
          <w:sz w:val="24"/>
          <w:szCs w:val="24"/>
          <w:lang w:eastAsia="en-IN"/>
        </w:rPr>
        <w:t>. Below are some of the leading players that shape the competitive dynamics:</w:t>
      </w:r>
    </w:p>
    <w:p w14:paraId="1A506704"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72EEDD7F">
          <v:rect id="_x0000_i1047" style="width:0;height:0" o:hralign="center" o:hrstd="t" o:hrnoshade="t" o:hr="t" fillcolor="#0d0d0d" stroked="f"/>
        </w:pict>
      </w:r>
    </w:p>
    <w:p w14:paraId="198CCE1C"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1. JASCO Corporation</w:t>
      </w:r>
    </w:p>
    <w:p w14:paraId="49CBD0DA"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lastRenderedPageBreak/>
        <w:t>A pioneer in CD spectroscopy, </w:t>
      </w:r>
      <w:r w:rsidRPr="00011261">
        <w:rPr>
          <w:rFonts w:ascii="Segoe UI" w:eastAsia="Times New Roman" w:hAnsi="Segoe UI" w:cs="Segoe UI"/>
          <w:b/>
          <w:bCs/>
          <w:color w:val="0D0D0D"/>
          <w:sz w:val="24"/>
          <w:szCs w:val="24"/>
          <w:lang w:eastAsia="en-IN"/>
        </w:rPr>
        <w:t>JASCO</w:t>
      </w:r>
      <w:r w:rsidRPr="00011261">
        <w:rPr>
          <w:rFonts w:ascii="Segoe UI" w:eastAsia="Times New Roman" w:hAnsi="Segoe UI" w:cs="Segoe UI"/>
          <w:color w:val="0D0D0D"/>
          <w:sz w:val="24"/>
          <w:szCs w:val="24"/>
          <w:lang w:eastAsia="en-IN"/>
        </w:rPr>
        <w:t> offers a broad portfolio ranging from basic research-grade to high-performance benchtop systems. Its strength lies in </w:t>
      </w:r>
      <w:r w:rsidRPr="00011261">
        <w:rPr>
          <w:rFonts w:ascii="Segoe UI" w:eastAsia="Times New Roman" w:hAnsi="Segoe UI" w:cs="Segoe UI"/>
          <w:b/>
          <w:bCs/>
          <w:color w:val="0D0D0D"/>
          <w:sz w:val="24"/>
          <w:szCs w:val="24"/>
          <w:lang w:eastAsia="en-IN"/>
        </w:rPr>
        <w:t>precision optics, advanced scanning speeds, and integrated temperature control modules</w:t>
      </w:r>
      <w:r w:rsidRPr="00011261">
        <w:rPr>
          <w:rFonts w:ascii="Segoe UI" w:eastAsia="Times New Roman" w:hAnsi="Segoe UI" w:cs="Segoe UI"/>
          <w:color w:val="0D0D0D"/>
          <w:sz w:val="24"/>
          <w:szCs w:val="24"/>
          <w:lang w:eastAsia="en-IN"/>
        </w:rPr>
        <w:t>. JASCO’s systems are preferred by pharmaceutical QA/QC teams and structural biology labs for their reproducibility and user-friendly interfaces.</w:t>
      </w:r>
    </w:p>
    <w:p w14:paraId="2B181C61"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company’s strategy is rooted in </w:t>
      </w:r>
      <w:r w:rsidRPr="00011261">
        <w:rPr>
          <w:rFonts w:ascii="Segoe UI" w:eastAsia="Times New Roman" w:hAnsi="Segoe UI" w:cs="Segoe UI"/>
          <w:b/>
          <w:bCs/>
          <w:color w:val="0D0D0D"/>
          <w:sz w:val="24"/>
          <w:szCs w:val="24"/>
          <w:lang w:eastAsia="en-IN"/>
        </w:rPr>
        <w:t>long-term academic collaborations</w:t>
      </w:r>
      <w:r w:rsidRPr="00011261">
        <w:rPr>
          <w:rFonts w:ascii="Segoe UI" w:eastAsia="Times New Roman" w:hAnsi="Segoe UI" w:cs="Segoe UI"/>
          <w:color w:val="0D0D0D"/>
          <w:sz w:val="24"/>
          <w:szCs w:val="24"/>
          <w:lang w:eastAsia="en-IN"/>
        </w:rPr>
        <w:t>, offering tailored features for protein characterization and nucleic acid analysis. Their global reach is strong in Asia, North America, and Europe, supported by extensive technical support networks.</w:t>
      </w:r>
    </w:p>
    <w:p w14:paraId="57057F44"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50B43398">
          <v:rect id="_x0000_i1048" style="width:0;height:0" o:hralign="center" o:hrstd="t" o:hrnoshade="t" o:hr="t" fillcolor="#0d0d0d" stroked="f"/>
        </w:pict>
      </w:r>
    </w:p>
    <w:p w14:paraId="08F03F3B"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 xml:space="preserve">2. Applied </w:t>
      </w:r>
      <w:proofErr w:type="spellStart"/>
      <w:r w:rsidRPr="00011261">
        <w:rPr>
          <w:rFonts w:ascii="Segoe UI" w:eastAsia="Times New Roman" w:hAnsi="Segoe UI" w:cs="Segoe UI"/>
          <w:b/>
          <w:bCs/>
          <w:color w:val="0D0D0D"/>
          <w:sz w:val="24"/>
          <w:szCs w:val="24"/>
          <w:lang w:eastAsia="en-IN"/>
        </w:rPr>
        <w:t>Photophysics</w:t>
      </w:r>
      <w:proofErr w:type="spellEnd"/>
    </w:p>
    <w:p w14:paraId="03B660A7"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 xml:space="preserve">Applied </w:t>
      </w:r>
      <w:proofErr w:type="spellStart"/>
      <w:r w:rsidRPr="00011261">
        <w:rPr>
          <w:rFonts w:ascii="Segoe UI" w:eastAsia="Times New Roman" w:hAnsi="Segoe UI" w:cs="Segoe UI"/>
          <w:b/>
          <w:bCs/>
          <w:color w:val="0D0D0D"/>
          <w:sz w:val="24"/>
          <w:szCs w:val="24"/>
          <w:lang w:eastAsia="en-IN"/>
        </w:rPr>
        <w:t>Photophysics</w:t>
      </w:r>
      <w:proofErr w:type="spellEnd"/>
      <w:r w:rsidRPr="00011261">
        <w:rPr>
          <w:rFonts w:ascii="Segoe UI" w:eastAsia="Times New Roman" w:hAnsi="Segoe UI" w:cs="Segoe UI"/>
          <w:color w:val="0D0D0D"/>
          <w:sz w:val="24"/>
          <w:szCs w:val="24"/>
          <w:lang w:eastAsia="en-IN"/>
        </w:rPr>
        <w:t> is renowned for its </w:t>
      </w:r>
      <w:proofErr w:type="spellStart"/>
      <w:r w:rsidRPr="00011261">
        <w:rPr>
          <w:rFonts w:ascii="Segoe UI" w:eastAsia="Times New Roman" w:hAnsi="Segoe UI" w:cs="Segoe UI"/>
          <w:b/>
          <w:bCs/>
          <w:color w:val="0D0D0D"/>
          <w:sz w:val="24"/>
          <w:szCs w:val="24"/>
          <w:lang w:eastAsia="en-IN"/>
        </w:rPr>
        <w:t>Chirascan</w:t>
      </w:r>
      <w:proofErr w:type="spellEnd"/>
      <w:r w:rsidRPr="00011261">
        <w:rPr>
          <w:rFonts w:ascii="Segoe UI" w:eastAsia="Times New Roman" w:hAnsi="Segoe UI" w:cs="Segoe UI"/>
          <w:b/>
          <w:bCs/>
          <w:color w:val="0D0D0D"/>
          <w:sz w:val="24"/>
          <w:szCs w:val="24"/>
          <w:lang w:eastAsia="en-IN"/>
        </w:rPr>
        <w:t>™ line</w:t>
      </w:r>
      <w:r w:rsidRPr="00011261">
        <w:rPr>
          <w:rFonts w:ascii="Segoe UI" w:eastAsia="Times New Roman" w:hAnsi="Segoe UI" w:cs="Segoe UI"/>
          <w:color w:val="0D0D0D"/>
          <w:sz w:val="24"/>
          <w:szCs w:val="24"/>
          <w:lang w:eastAsia="en-IN"/>
        </w:rPr>
        <w:t>, designed primarily for biopharmaceutical applications. Their competitive edge lies in the development of </w:t>
      </w:r>
      <w:r w:rsidRPr="00011261">
        <w:rPr>
          <w:rFonts w:ascii="Segoe UI" w:eastAsia="Times New Roman" w:hAnsi="Segoe UI" w:cs="Segoe UI"/>
          <w:b/>
          <w:bCs/>
          <w:color w:val="0D0D0D"/>
          <w:sz w:val="24"/>
          <w:szCs w:val="24"/>
          <w:lang w:eastAsia="en-IN"/>
        </w:rPr>
        <w:t>automated CD platforms</w:t>
      </w:r>
      <w:r w:rsidRPr="00011261">
        <w:rPr>
          <w:rFonts w:ascii="Segoe UI" w:eastAsia="Times New Roman" w:hAnsi="Segoe UI" w:cs="Segoe UI"/>
          <w:color w:val="0D0D0D"/>
          <w:sz w:val="24"/>
          <w:szCs w:val="24"/>
          <w:lang w:eastAsia="en-IN"/>
        </w:rPr>
        <w:t> that support </w:t>
      </w:r>
      <w:r w:rsidRPr="00011261">
        <w:rPr>
          <w:rFonts w:ascii="Segoe UI" w:eastAsia="Times New Roman" w:hAnsi="Segoe UI" w:cs="Segoe UI"/>
          <w:i/>
          <w:iCs/>
          <w:color w:val="0D0D0D"/>
          <w:sz w:val="24"/>
          <w:szCs w:val="24"/>
          <w:lang w:eastAsia="en-IN"/>
        </w:rPr>
        <w:t>high-throughput screening of protein stability and formulation robustness</w:t>
      </w:r>
      <w:r w:rsidRPr="00011261">
        <w:rPr>
          <w:rFonts w:ascii="Segoe UI" w:eastAsia="Times New Roman" w:hAnsi="Segoe UI" w:cs="Segoe UI"/>
          <w:color w:val="0D0D0D"/>
          <w:sz w:val="24"/>
          <w:szCs w:val="24"/>
          <w:lang w:eastAsia="en-IN"/>
        </w:rPr>
        <w:t>.</w:t>
      </w:r>
    </w:p>
    <w:p w14:paraId="06A68C36"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Their systems are embedded in workflows for </w:t>
      </w:r>
      <w:r w:rsidRPr="00011261">
        <w:rPr>
          <w:rFonts w:ascii="Segoe UI" w:eastAsia="Times New Roman" w:hAnsi="Segoe UI" w:cs="Segoe UI"/>
          <w:b/>
          <w:bCs/>
          <w:color w:val="0D0D0D"/>
          <w:sz w:val="24"/>
          <w:szCs w:val="24"/>
          <w:lang w:eastAsia="en-IN"/>
        </w:rPr>
        <w:t>biosimilar comparability</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biologics manufacturing</w:t>
      </w:r>
      <w:r w:rsidRPr="00011261">
        <w:rPr>
          <w:rFonts w:ascii="Segoe UI" w:eastAsia="Times New Roman" w:hAnsi="Segoe UI" w:cs="Segoe UI"/>
          <w:color w:val="0D0D0D"/>
          <w:sz w:val="24"/>
          <w:szCs w:val="24"/>
          <w:lang w:eastAsia="en-IN"/>
        </w:rPr>
        <w:t>, with a strategic focus on serving </w:t>
      </w:r>
      <w:r w:rsidRPr="00011261">
        <w:rPr>
          <w:rFonts w:ascii="Segoe UI" w:eastAsia="Times New Roman" w:hAnsi="Segoe UI" w:cs="Segoe UI"/>
          <w:b/>
          <w:bCs/>
          <w:color w:val="0D0D0D"/>
          <w:sz w:val="24"/>
          <w:szCs w:val="24"/>
          <w:lang w:eastAsia="en-IN"/>
        </w:rPr>
        <w:t>contract research organizations (CROs)</w:t>
      </w:r>
      <w:r w:rsidRPr="00011261">
        <w:rPr>
          <w:rFonts w:ascii="Segoe UI" w:eastAsia="Times New Roman" w:hAnsi="Segoe UI" w:cs="Segoe UI"/>
          <w:color w:val="0D0D0D"/>
          <w:sz w:val="24"/>
          <w:szCs w:val="24"/>
          <w:lang w:eastAsia="en-IN"/>
        </w:rPr>
        <w:t xml:space="preserve"> and GMP-compliant labs. Applied </w:t>
      </w:r>
      <w:proofErr w:type="spellStart"/>
      <w:r w:rsidRPr="00011261">
        <w:rPr>
          <w:rFonts w:ascii="Segoe UI" w:eastAsia="Times New Roman" w:hAnsi="Segoe UI" w:cs="Segoe UI"/>
          <w:color w:val="0D0D0D"/>
          <w:sz w:val="24"/>
          <w:szCs w:val="24"/>
          <w:lang w:eastAsia="en-IN"/>
        </w:rPr>
        <w:t>Photophysics</w:t>
      </w:r>
      <w:proofErr w:type="spellEnd"/>
      <w:r w:rsidRPr="00011261">
        <w:rPr>
          <w:rFonts w:ascii="Segoe UI" w:eastAsia="Times New Roman" w:hAnsi="Segoe UI" w:cs="Segoe UI"/>
          <w:color w:val="0D0D0D"/>
          <w:sz w:val="24"/>
          <w:szCs w:val="24"/>
          <w:lang w:eastAsia="en-IN"/>
        </w:rPr>
        <w:t xml:space="preserve"> also leads in enabling </w:t>
      </w:r>
      <w:r w:rsidRPr="00011261">
        <w:rPr>
          <w:rFonts w:ascii="Segoe UI" w:eastAsia="Times New Roman" w:hAnsi="Segoe UI" w:cs="Segoe UI"/>
          <w:b/>
          <w:bCs/>
          <w:color w:val="0D0D0D"/>
          <w:sz w:val="24"/>
          <w:szCs w:val="24"/>
          <w:lang w:eastAsia="en-IN"/>
        </w:rPr>
        <w:t>21 CFR Part 11 compliance</w:t>
      </w:r>
      <w:r w:rsidRPr="00011261">
        <w:rPr>
          <w:rFonts w:ascii="Segoe UI" w:eastAsia="Times New Roman" w:hAnsi="Segoe UI" w:cs="Segoe UI"/>
          <w:color w:val="0D0D0D"/>
          <w:sz w:val="24"/>
          <w:szCs w:val="24"/>
          <w:lang w:eastAsia="en-IN"/>
        </w:rPr>
        <w:t> for regulatory alignment.</w:t>
      </w:r>
    </w:p>
    <w:p w14:paraId="3E5DA72B"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2C2C1BC5">
          <v:rect id="_x0000_i1049" style="width:0;height:0" o:hralign="center" o:hrstd="t" o:hrnoshade="t" o:hr="t" fillcolor="#0d0d0d" stroked="f"/>
        </w:pict>
      </w:r>
    </w:p>
    <w:p w14:paraId="29E2F543"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3. Bio-Logic Science Instruments</w:t>
      </w:r>
    </w:p>
    <w:p w14:paraId="02E7E09D"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Bio-Logic</w:t>
      </w:r>
      <w:r w:rsidRPr="00011261">
        <w:rPr>
          <w:rFonts w:ascii="Segoe UI" w:eastAsia="Times New Roman" w:hAnsi="Segoe UI" w:cs="Segoe UI"/>
          <w:color w:val="0D0D0D"/>
          <w:sz w:val="24"/>
          <w:szCs w:val="24"/>
          <w:lang w:eastAsia="en-IN"/>
        </w:rPr>
        <w:t> specializes in modular spectroscopy platforms that can integrate CD with other optical techniques like absorbance and fluorescence. This flexibility allows end users to conduct </w:t>
      </w:r>
      <w:r w:rsidRPr="00011261">
        <w:rPr>
          <w:rFonts w:ascii="Segoe UI" w:eastAsia="Times New Roman" w:hAnsi="Segoe UI" w:cs="Segoe UI"/>
          <w:b/>
          <w:bCs/>
          <w:color w:val="0D0D0D"/>
          <w:sz w:val="24"/>
          <w:szCs w:val="24"/>
          <w:lang w:eastAsia="en-IN"/>
        </w:rPr>
        <w:t>multi-modal characterization</w:t>
      </w:r>
      <w:r w:rsidRPr="00011261">
        <w:rPr>
          <w:rFonts w:ascii="Segoe UI" w:eastAsia="Times New Roman" w:hAnsi="Segoe UI" w:cs="Segoe UI"/>
          <w:color w:val="0D0D0D"/>
          <w:sz w:val="24"/>
          <w:szCs w:val="24"/>
          <w:lang w:eastAsia="en-IN"/>
        </w:rPr>
        <w:t>, particularly beneficial for early-stage research.</w:t>
      </w:r>
    </w:p>
    <w:p w14:paraId="14A08F46"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firm focuses on </w:t>
      </w:r>
      <w:r w:rsidRPr="00011261">
        <w:rPr>
          <w:rFonts w:ascii="Segoe UI" w:eastAsia="Times New Roman" w:hAnsi="Segoe UI" w:cs="Segoe UI"/>
          <w:b/>
          <w:bCs/>
          <w:color w:val="0D0D0D"/>
          <w:sz w:val="24"/>
          <w:szCs w:val="24"/>
          <w:lang w:eastAsia="en-IN"/>
        </w:rPr>
        <w:t>affordability without compromising performance</w:t>
      </w:r>
      <w:r w:rsidRPr="00011261">
        <w:rPr>
          <w:rFonts w:ascii="Segoe UI" w:eastAsia="Times New Roman" w:hAnsi="Segoe UI" w:cs="Segoe UI"/>
          <w:color w:val="0D0D0D"/>
          <w:sz w:val="24"/>
          <w:szCs w:val="24"/>
          <w:lang w:eastAsia="en-IN"/>
        </w:rPr>
        <w:t>, targeting emerging markets and small-to-mid-sized academic institutions. It also supports custom firmware configurations, making it attractive for experimental workflows in synthetic biology.</w:t>
      </w:r>
    </w:p>
    <w:p w14:paraId="6EA538A9"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lastRenderedPageBreak/>
        <w:pict w14:anchorId="33322E55">
          <v:rect id="_x0000_i1050" style="width:0;height:0" o:hralign="center" o:hrstd="t" o:hrnoshade="t" o:hr="t" fillcolor="#0d0d0d" stroked="f"/>
        </w:pict>
      </w:r>
    </w:p>
    <w:p w14:paraId="537BA022"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4. Aviv Biomedical</w:t>
      </w:r>
    </w:p>
    <w:p w14:paraId="48BB1231"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Aviv Biomedical</w:t>
      </w:r>
      <w:r w:rsidRPr="00011261">
        <w:rPr>
          <w:rFonts w:ascii="Segoe UI" w:eastAsia="Times New Roman" w:hAnsi="Segoe UI" w:cs="Segoe UI"/>
          <w:color w:val="0D0D0D"/>
          <w:sz w:val="24"/>
          <w:szCs w:val="24"/>
          <w:lang w:eastAsia="en-IN"/>
        </w:rPr>
        <w:t> delivers high-sensitivity CD spectrometers with deep UV capability, making them highly suitable for protein folding/unfolding studies and enzyme conformational analysis. Their instruments are often selected for </w:t>
      </w:r>
      <w:r w:rsidRPr="00011261">
        <w:rPr>
          <w:rFonts w:ascii="Segoe UI" w:eastAsia="Times New Roman" w:hAnsi="Segoe UI" w:cs="Segoe UI"/>
          <w:b/>
          <w:bCs/>
          <w:color w:val="0D0D0D"/>
          <w:sz w:val="24"/>
          <w:szCs w:val="24"/>
          <w:lang w:eastAsia="en-IN"/>
        </w:rPr>
        <w:t>academic protein biochemistry labs</w:t>
      </w:r>
      <w:r w:rsidRPr="00011261">
        <w:rPr>
          <w:rFonts w:ascii="Segoe UI" w:eastAsia="Times New Roman" w:hAnsi="Segoe UI" w:cs="Segoe UI"/>
          <w:color w:val="0D0D0D"/>
          <w:sz w:val="24"/>
          <w:szCs w:val="24"/>
          <w:lang w:eastAsia="en-IN"/>
        </w:rPr>
        <w:t> due to precise wavelength resolution and low detection limits.</w:t>
      </w:r>
    </w:p>
    <w:p w14:paraId="4BB5B379"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While their geographic presence is mostly concentrated in North America and Europe, they have begun exploring partnerships in Latin America and Southeast Asia through local distributors.</w:t>
      </w:r>
    </w:p>
    <w:p w14:paraId="14B30259"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27283D96">
          <v:rect id="_x0000_i1051" style="width:0;height:0" o:hralign="center" o:hrstd="t" o:hrnoshade="t" o:hr="t" fillcolor="#0d0d0d" stroked="f"/>
        </w:pict>
      </w:r>
    </w:p>
    <w:p w14:paraId="326DDE8F"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 xml:space="preserve">5. </w:t>
      </w:r>
      <w:proofErr w:type="spellStart"/>
      <w:r w:rsidRPr="00011261">
        <w:rPr>
          <w:rFonts w:ascii="Segoe UI" w:eastAsia="Times New Roman" w:hAnsi="Segoe UI" w:cs="Segoe UI"/>
          <w:b/>
          <w:bCs/>
          <w:color w:val="0D0D0D"/>
          <w:sz w:val="24"/>
          <w:szCs w:val="24"/>
          <w:lang w:eastAsia="en-IN"/>
        </w:rPr>
        <w:t>Olis</w:t>
      </w:r>
      <w:proofErr w:type="spellEnd"/>
      <w:r w:rsidRPr="00011261">
        <w:rPr>
          <w:rFonts w:ascii="Segoe UI" w:eastAsia="Times New Roman" w:hAnsi="Segoe UI" w:cs="Segoe UI"/>
          <w:b/>
          <w:bCs/>
          <w:color w:val="0D0D0D"/>
          <w:sz w:val="24"/>
          <w:szCs w:val="24"/>
          <w:lang w:eastAsia="en-IN"/>
        </w:rPr>
        <w:t xml:space="preserve"> Inc.</w:t>
      </w:r>
    </w:p>
    <w:p w14:paraId="3BFFDFB4"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Known for refurbishing and upgrading legacy systems, </w:t>
      </w:r>
      <w:proofErr w:type="spellStart"/>
      <w:r w:rsidRPr="00011261">
        <w:rPr>
          <w:rFonts w:ascii="Segoe UI" w:eastAsia="Times New Roman" w:hAnsi="Segoe UI" w:cs="Segoe UI"/>
          <w:b/>
          <w:bCs/>
          <w:color w:val="0D0D0D"/>
          <w:sz w:val="24"/>
          <w:szCs w:val="24"/>
          <w:lang w:eastAsia="en-IN"/>
        </w:rPr>
        <w:t>Olis</w:t>
      </w:r>
      <w:proofErr w:type="spellEnd"/>
      <w:r w:rsidRPr="00011261">
        <w:rPr>
          <w:rFonts w:ascii="Segoe UI" w:eastAsia="Times New Roman" w:hAnsi="Segoe UI" w:cs="Segoe UI"/>
          <w:b/>
          <w:bCs/>
          <w:color w:val="0D0D0D"/>
          <w:sz w:val="24"/>
          <w:szCs w:val="24"/>
          <w:lang w:eastAsia="en-IN"/>
        </w:rPr>
        <w:t xml:space="preserve"> Inc.</w:t>
      </w:r>
      <w:r w:rsidRPr="00011261">
        <w:rPr>
          <w:rFonts w:ascii="Segoe UI" w:eastAsia="Times New Roman" w:hAnsi="Segoe UI" w:cs="Segoe UI"/>
          <w:color w:val="0D0D0D"/>
          <w:sz w:val="24"/>
          <w:szCs w:val="24"/>
          <w:lang w:eastAsia="en-IN"/>
        </w:rPr>
        <w:t> operates at the intersection of </w:t>
      </w:r>
      <w:r w:rsidRPr="00011261">
        <w:rPr>
          <w:rFonts w:ascii="Segoe UI" w:eastAsia="Times New Roman" w:hAnsi="Segoe UI" w:cs="Segoe UI"/>
          <w:b/>
          <w:bCs/>
          <w:color w:val="0D0D0D"/>
          <w:sz w:val="24"/>
          <w:szCs w:val="24"/>
          <w:lang w:eastAsia="en-IN"/>
        </w:rPr>
        <w:t>sustainability and performance</w:t>
      </w:r>
      <w:r w:rsidRPr="00011261">
        <w:rPr>
          <w:rFonts w:ascii="Segoe UI" w:eastAsia="Times New Roman" w:hAnsi="Segoe UI" w:cs="Segoe UI"/>
          <w:color w:val="0D0D0D"/>
          <w:sz w:val="24"/>
          <w:szCs w:val="24"/>
          <w:lang w:eastAsia="en-IN"/>
        </w:rPr>
        <w:t>. Their key selling proposition is enabling </w:t>
      </w:r>
      <w:r w:rsidRPr="00011261">
        <w:rPr>
          <w:rFonts w:ascii="Segoe UI" w:eastAsia="Times New Roman" w:hAnsi="Segoe UI" w:cs="Segoe UI"/>
          <w:b/>
          <w:bCs/>
          <w:color w:val="0D0D0D"/>
          <w:sz w:val="24"/>
          <w:szCs w:val="24"/>
          <w:lang w:eastAsia="en-IN"/>
        </w:rPr>
        <w:t>modern detector arrays and AI-assisted analytics on legacy optical benches</w:t>
      </w:r>
      <w:r w:rsidRPr="00011261">
        <w:rPr>
          <w:rFonts w:ascii="Segoe UI" w:eastAsia="Times New Roman" w:hAnsi="Segoe UI" w:cs="Segoe UI"/>
          <w:color w:val="0D0D0D"/>
          <w:sz w:val="24"/>
          <w:szCs w:val="24"/>
          <w:lang w:eastAsia="en-IN"/>
        </w:rPr>
        <w:t>, helping cost-sensitive labs extend their instrumentation lifecycle.</w:t>
      </w:r>
    </w:p>
    <w:p w14:paraId="6235C85E"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011261">
        <w:rPr>
          <w:rFonts w:ascii="Segoe UI" w:eastAsia="Times New Roman" w:hAnsi="Segoe UI" w:cs="Segoe UI"/>
          <w:color w:val="0D0D0D"/>
          <w:sz w:val="24"/>
          <w:szCs w:val="24"/>
          <w:lang w:eastAsia="en-IN"/>
        </w:rPr>
        <w:t>Olis</w:t>
      </w:r>
      <w:proofErr w:type="spellEnd"/>
      <w:r w:rsidRPr="00011261">
        <w:rPr>
          <w:rFonts w:ascii="Segoe UI" w:eastAsia="Times New Roman" w:hAnsi="Segoe UI" w:cs="Segoe UI"/>
          <w:color w:val="0D0D0D"/>
          <w:sz w:val="24"/>
          <w:szCs w:val="24"/>
          <w:lang w:eastAsia="en-IN"/>
        </w:rPr>
        <w:t xml:space="preserve"> differentiates by offering </w:t>
      </w:r>
      <w:r w:rsidRPr="00011261">
        <w:rPr>
          <w:rFonts w:ascii="Segoe UI" w:eastAsia="Times New Roman" w:hAnsi="Segoe UI" w:cs="Segoe UI"/>
          <w:b/>
          <w:bCs/>
          <w:color w:val="0D0D0D"/>
          <w:sz w:val="24"/>
          <w:szCs w:val="24"/>
          <w:lang w:eastAsia="en-IN"/>
        </w:rPr>
        <w:t>extensive retrofitting services</w:t>
      </w:r>
      <w:r w:rsidRPr="00011261">
        <w:rPr>
          <w:rFonts w:ascii="Segoe UI" w:eastAsia="Times New Roman" w:hAnsi="Segoe UI" w:cs="Segoe UI"/>
          <w:color w:val="0D0D0D"/>
          <w:sz w:val="24"/>
          <w:szCs w:val="24"/>
          <w:lang w:eastAsia="en-IN"/>
        </w:rPr>
        <w:t>, which appeals to institutions in low-resource settings or those managing legacy equipment investments.</w:t>
      </w:r>
    </w:p>
    <w:p w14:paraId="44549F08"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4DCF5AA4">
          <v:rect id="_x0000_i1052" style="width:0;height:0" o:hralign="center" o:hrstd="t" o:hrnoshade="t" o:hr="t" fillcolor="#0d0d0d" stroked="f"/>
        </w:pict>
      </w:r>
    </w:p>
    <w:p w14:paraId="7D65CA6C"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6. Hinds Instruments</w:t>
      </w:r>
    </w:p>
    <w:p w14:paraId="45138D3E"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Hinds Instruments</w:t>
      </w:r>
      <w:r w:rsidRPr="00011261">
        <w:rPr>
          <w:rFonts w:ascii="Segoe UI" w:eastAsia="Times New Roman" w:hAnsi="Segoe UI" w:cs="Segoe UI"/>
          <w:color w:val="0D0D0D"/>
          <w:sz w:val="24"/>
          <w:szCs w:val="24"/>
          <w:lang w:eastAsia="en-IN"/>
        </w:rPr>
        <w:t> is a niche player focusing on </w:t>
      </w:r>
      <w:r w:rsidRPr="00011261">
        <w:rPr>
          <w:rFonts w:ascii="Segoe UI" w:eastAsia="Times New Roman" w:hAnsi="Segoe UI" w:cs="Segoe UI"/>
          <w:b/>
          <w:bCs/>
          <w:color w:val="0D0D0D"/>
          <w:sz w:val="24"/>
          <w:szCs w:val="24"/>
          <w:lang w:eastAsia="en-IN"/>
        </w:rPr>
        <w:t>polarization modulation optics</w:t>
      </w:r>
      <w:r w:rsidRPr="00011261">
        <w:rPr>
          <w:rFonts w:ascii="Segoe UI" w:eastAsia="Times New Roman" w:hAnsi="Segoe UI" w:cs="Segoe UI"/>
          <w:color w:val="0D0D0D"/>
          <w:sz w:val="24"/>
          <w:szCs w:val="24"/>
          <w:lang w:eastAsia="en-IN"/>
        </w:rPr>
        <w:t>, which form the backbone of advanced CD systems. While they do not manufacture complete spectrometers, their components are vital to OEMs developing next-generation CD tools.</w:t>
      </w:r>
    </w:p>
    <w:p w14:paraId="1A1E4EAE"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Their core strength is in </w:t>
      </w:r>
      <w:r w:rsidRPr="00011261">
        <w:rPr>
          <w:rFonts w:ascii="Segoe UI" w:eastAsia="Times New Roman" w:hAnsi="Segoe UI" w:cs="Segoe UI"/>
          <w:b/>
          <w:bCs/>
          <w:color w:val="0D0D0D"/>
          <w:sz w:val="24"/>
          <w:szCs w:val="24"/>
          <w:lang w:eastAsia="en-IN"/>
        </w:rPr>
        <w:t>materials science and optical component innovation</w:t>
      </w:r>
      <w:r w:rsidRPr="00011261">
        <w:rPr>
          <w:rFonts w:ascii="Segoe UI" w:eastAsia="Times New Roman" w:hAnsi="Segoe UI" w:cs="Segoe UI"/>
          <w:color w:val="0D0D0D"/>
          <w:sz w:val="24"/>
          <w:szCs w:val="24"/>
          <w:lang w:eastAsia="en-IN"/>
        </w:rPr>
        <w:t>, particularly for spectrometry applications involving </w:t>
      </w:r>
      <w:r w:rsidRPr="00011261">
        <w:rPr>
          <w:rFonts w:ascii="Segoe UI" w:eastAsia="Times New Roman" w:hAnsi="Segoe UI" w:cs="Segoe UI"/>
          <w:i/>
          <w:iCs/>
          <w:color w:val="0D0D0D"/>
          <w:sz w:val="24"/>
          <w:szCs w:val="24"/>
          <w:lang w:eastAsia="en-IN"/>
        </w:rPr>
        <w:t>chiral polymers, advanced nanostructures, and thin-film coatings</w:t>
      </w:r>
      <w:r w:rsidRPr="00011261">
        <w:rPr>
          <w:rFonts w:ascii="Segoe UI" w:eastAsia="Times New Roman" w:hAnsi="Segoe UI" w:cs="Segoe UI"/>
          <w:color w:val="0D0D0D"/>
          <w:sz w:val="24"/>
          <w:szCs w:val="24"/>
          <w:lang w:eastAsia="en-IN"/>
        </w:rPr>
        <w:t>.</w:t>
      </w:r>
    </w:p>
    <w:p w14:paraId="17BD23CF"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lastRenderedPageBreak/>
        <w:pict w14:anchorId="26D5136E">
          <v:rect id="_x0000_i1053" style="width:0;height:0" o:hralign="center" o:hrstd="t" o:hrnoshade="t" o:hr="t" fillcolor="#0d0d0d" stroked="f"/>
        </w:pict>
      </w:r>
    </w:p>
    <w:p w14:paraId="4E137153"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7. HORIBA Scientific</w:t>
      </w:r>
    </w:p>
    <w:p w14:paraId="5AEF4EAC"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Though better known for its broad spectroscopy portfolio, </w:t>
      </w:r>
      <w:r w:rsidRPr="00011261">
        <w:rPr>
          <w:rFonts w:ascii="Segoe UI" w:eastAsia="Times New Roman" w:hAnsi="Segoe UI" w:cs="Segoe UI"/>
          <w:b/>
          <w:bCs/>
          <w:color w:val="0D0D0D"/>
          <w:sz w:val="24"/>
          <w:szCs w:val="24"/>
          <w:lang w:eastAsia="en-IN"/>
        </w:rPr>
        <w:t>HORIBA Scientific</w:t>
      </w:r>
      <w:r w:rsidRPr="00011261">
        <w:rPr>
          <w:rFonts w:ascii="Segoe UI" w:eastAsia="Times New Roman" w:hAnsi="Segoe UI" w:cs="Segoe UI"/>
          <w:color w:val="0D0D0D"/>
          <w:sz w:val="24"/>
          <w:szCs w:val="24"/>
          <w:lang w:eastAsia="en-IN"/>
        </w:rPr>
        <w:t> has increasingly entered the CD domain through R&amp;D partnerships and cross-technology platforms. By bundling CD with Raman and fluorescence capabilities, they’re targeting </w:t>
      </w:r>
      <w:r w:rsidRPr="00011261">
        <w:rPr>
          <w:rFonts w:ascii="Segoe UI" w:eastAsia="Times New Roman" w:hAnsi="Segoe UI" w:cs="Segoe UI"/>
          <w:b/>
          <w:bCs/>
          <w:color w:val="0D0D0D"/>
          <w:sz w:val="24"/>
          <w:szCs w:val="24"/>
          <w:lang w:eastAsia="en-IN"/>
        </w:rPr>
        <w:t>integrated analytical suites</w:t>
      </w:r>
      <w:r w:rsidRPr="00011261">
        <w:rPr>
          <w:rFonts w:ascii="Segoe UI" w:eastAsia="Times New Roman" w:hAnsi="Segoe UI" w:cs="Segoe UI"/>
          <w:color w:val="0D0D0D"/>
          <w:sz w:val="24"/>
          <w:szCs w:val="24"/>
          <w:lang w:eastAsia="en-IN"/>
        </w:rPr>
        <w:t> for pharmaceutical R&amp;D environments.</w:t>
      </w:r>
    </w:p>
    <w:p w14:paraId="29AA0E4D"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This multi-functionality approach appeals to labs seeking to consolidate instrumentation footprints while enhancing throughput.</w:t>
      </w:r>
    </w:p>
    <w:p w14:paraId="7BF37670"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5757323C">
          <v:rect id="_x0000_i1054" style="width:0;height:0" o:hralign="center" o:hrstd="t" o:hrnoshade="t" o:hr="t" fillcolor="#0d0d0d" stroked="f"/>
        </w:pict>
      </w:r>
    </w:p>
    <w:p w14:paraId="4613980E"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Across the board, companies are leveraging a mix of </w:t>
      </w:r>
      <w:r w:rsidRPr="00011261">
        <w:rPr>
          <w:rFonts w:ascii="Segoe UI" w:eastAsia="Times New Roman" w:hAnsi="Segoe UI" w:cs="Segoe UI"/>
          <w:b/>
          <w:bCs/>
          <w:color w:val="0D0D0D"/>
          <w:sz w:val="24"/>
          <w:szCs w:val="24"/>
          <w:lang w:eastAsia="en-IN"/>
        </w:rPr>
        <w:t>regional expansion, academic-industrial integration, platform modularity</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AI-driven spectral analytics</w:t>
      </w:r>
      <w:r w:rsidRPr="00011261">
        <w:rPr>
          <w:rFonts w:ascii="Segoe UI" w:eastAsia="Times New Roman" w:hAnsi="Segoe UI" w:cs="Segoe UI"/>
          <w:color w:val="0D0D0D"/>
          <w:sz w:val="24"/>
          <w:szCs w:val="24"/>
          <w:lang w:eastAsia="en-IN"/>
        </w:rPr>
        <w:t> to stay competitive. Pricing strategies are increasingly bundled with </w:t>
      </w:r>
      <w:r w:rsidRPr="00011261">
        <w:rPr>
          <w:rFonts w:ascii="Segoe UI" w:eastAsia="Times New Roman" w:hAnsi="Segoe UI" w:cs="Segoe UI"/>
          <w:b/>
          <w:bCs/>
          <w:color w:val="0D0D0D"/>
          <w:sz w:val="24"/>
          <w:szCs w:val="24"/>
          <w:lang w:eastAsia="en-IN"/>
        </w:rPr>
        <w:t>long-term software upgrades and remote calibration services</w:t>
      </w:r>
      <w:r w:rsidRPr="00011261">
        <w:rPr>
          <w:rFonts w:ascii="Segoe UI" w:eastAsia="Times New Roman" w:hAnsi="Segoe UI" w:cs="Segoe UI"/>
          <w:color w:val="0D0D0D"/>
          <w:sz w:val="24"/>
          <w:szCs w:val="24"/>
          <w:lang w:eastAsia="en-IN"/>
        </w:rPr>
        <w:t>, transforming sales into service-oriented engagements.</w:t>
      </w:r>
    </w:p>
    <w:p w14:paraId="50FE2DF1"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w:eastAsia="Times New Roman" w:hAnsi="Segoe UI" w:cs="Segoe UI"/>
          <w:b/>
          <w:bCs/>
          <w:color w:val="0D0D0D"/>
          <w:sz w:val="30"/>
          <w:szCs w:val="30"/>
          <w:lang w:eastAsia="en-IN"/>
        </w:rPr>
        <w:t>5. Regional Landscape and Adoption Outlook</w:t>
      </w:r>
    </w:p>
    <w:p w14:paraId="423562E6"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w:t>
      </w:r>
      <w:r w:rsidRPr="00011261">
        <w:rPr>
          <w:rFonts w:ascii="Segoe UI" w:eastAsia="Times New Roman" w:hAnsi="Segoe UI" w:cs="Segoe UI"/>
          <w:b/>
          <w:bCs/>
          <w:color w:val="0D0D0D"/>
          <w:sz w:val="24"/>
          <w:szCs w:val="24"/>
          <w:lang w:eastAsia="en-IN"/>
        </w:rPr>
        <w:t>circular dichroism spectrometer market</w:t>
      </w:r>
      <w:r w:rsidRPr="00011261">
        <w:rPr>
          <w:rFonts w:ascii="Segoe UI" w:eastAsia="Times New Roman" w:hAnsi="Segoe UI" w:cs="Segoe UI"/>
          <w:color w:val="0D0D0D"/>
          <w:sz w:val="24"/>
          <w:szCs w:val="24"/>
          <w:lang w:eastAsia="en-IN"/>
        </w:rPr>
        <w:t> exhibits distinct regional dynamics influenced by the level of scientific infrastructure, pharmaceutical activity, funding mechanisms, and regulatory environments. Adoption rates vary significantly between developed and emerging economies, but global momentum is converging around a shared need for </w:t>
      </w:r>
      <w:r w:rsidRPr="00011261">
        <w:rPr>
          <w:rFonts w:ascii="Segoe UI" w:eastAsia="Times New Roman" w:hAnsi="Segoe UI" w:cs="Segoe UI"/>
          <w:b/>
          <w:bCs/>
          <w:color w:val="0D0D0D"/>
          <w:sz w:val="24"/>
          <w:szCs w:val="24"/>
          <w:lang w:eastAsia="en-IN"/>
        </w:rPr>
        <w:t>precise chiral analysis and structural validation of biologics</w:t>
      </w:r>
      <w:r w:rsidRPr="00011261">
        <w:rPr>
          <w:rFonts w:ascii="Segoe UI" w:eastAsia="Times New Roman" w:hAnsi="Segoe UI" w:cs="Segoe UI"/>
          <w:color w:val="0D0D0D"/>
          <w:sz w:val="24"/>
          <w:szCs w:val="24"/>
          <w:lang w:eastAsia="en-IN"/>
        </w:rPr>
        <w:t>.</w:t>
      </w:r>
    </w:p>
    <w:p w14:paraId="151FDE0F"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1BCDD490">
          <v:rect id="_x0000_i1063" style="width:0;height:0" o:hralign="center" o:hrstd="t" o:hrnoshade="t" o:hr="t" fillcolor="#0d0d0d" stroked="f"/>
        </w:pict>
      </w:r>
    </w:p>
    <w:p w14:paraId="0296AA63"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North America</w:t>
      </w:r>
    </w:p>
    <w:p w14:paraId="69134FA2"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North America—led by the </w:t>
      </w:r>
      <w:r w:rsidRPr="00011261">
        <w:rPr>
          <w:rFonts w:ascii="Segoe UI" w:eastAsia="Times New Roman" w:hAnsi="Segoe UI" w:cs="Segoe UI"/>
          <w:b/>
          <w:bCs/>
          <w:color w:val="0D0D0D"/>
          <w:sz w:val="24"/>
          <w:szCs w:val="24"/>
          <w:lang w:eastAsia="en-IN"/>
        </w:rPr>
        <w:t>United States</w:t>
      </w:r>
      <w:r w:rsidRPr="00011261">
        <w:rPr>
          <w:rFonts w:ascii="Segoe UI" w:eastAsia="Times New Roman" w:hAnsi="Segoe UI" w:cs="Segoe UI"/>
          <w:color w:val="0D0D0D"/>
          <w:sz w:val="24"/>
          <w:szCs w:val="24"/>
          <w:lang w:eastAsia="en-IN"/>
        </w:rPr>
        <w:t>—continues to be the largest and most mature market. The region accounted for over </w:t>
      </w:r>
      <w:r w:rsidRPr="00011261">
        <w:rPr>
          <w:rFonts w:ascii="Segoe UI" w:eastAsia="Times New Roman" w:hAnsi="Segoe UI" w:cs="Segoe UI"/>
          <w:b/>
          <w:bCs/>
          <w:color w:val="0D0D0D"/>
          <w:sz w:val="24"/>
          <w:szCs w:val="24"/>
          <w:lang w:eastAsia="en-IN"/>
        </w:rPr>
        <w:t>38% of global revenue in 2024</w:t>
      </w:r>
      <w:r w:rsidRPr="00011261">
        <w:rPr>
          <w:rFonts w:ascii="Segoe UI" w:eastAsia="Times New Roman" w:hAnsi="Segoe UI" w:cs="Segoe UI"/>
          <w:color w:val="0D0D0D"/>
          <w:sz w:val="24"/>
          <w:szCs w:val="24"/>
          <w:lang w:eastAsia="en-IN"/>
        </w:rPr>
        <w:t>, underpinned by:</w:t>
      </w:r>
    </w:p>
    <w:p w14:paraId="24E2F87C" w14:textId="77777777" w:rsidR="00011261" w:rsidRPr="00011261" w:rsidRDefault="00011261" w:rsidP="0001126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Strong biopharmaceutical pipelines</w:t>
      </w:r>
    </w:p>
    <w:p w14:paraId="3263767A" w14:textId="77777777" w:rsidR="00011261" w:rsidRPr="00011261" w:rsidRDefault="00011261" w:rsidP="0001126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Well-established academic research institutions</w:t>
      </w:r>
    </w:p>
    <w:p w14:paraId="2CC50076" w14:textId="77777777" w:rsidR="00011261" w:rsidRPr="00011261" w:rsidRDefault="00011261" w:rsidP="00011261">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lastRenderedPageBreak/>
        <w:t>Regulatory pressure from the </w:t>
      </w:r>
      <w:r w:rsidRPr="00011261">
        <w:rPr>
          <w:rFonts w:ascii="Segoe UI" w:eastAsia="Times New Roman" w:hAnsi="Segoe UI" w:cs="Segoe UI"/>
          <w:b/>
          <w:bCs/>
          <w:color w:val="0D0D0D"/>
          <w:sz w:val="24"/>
          <w:szCs w:val="24"/>
          <w:lang w:eastAsia="en-IN"/>
        </w:rPr>
        <w:t>FDA</w:t>
      </w:r>
      <w:r w:rsidRPr="00011261">
        <w:rPr>
          <w:rFonts w:ascii="Segoe UI" w:eastAsia="Times New Roman" w:hAnsi="Segoe UI" w:cs="Segoe UI"/>
          <w:color w:val="0D0D0D"/>
          <w:sz w:val="24"/>
          <w:szCs w:val="24"/>
          <w:lang w:eastAsia="en-IN"/>
        </w:rPr>
        <w:t> for structure-based drug validation</w:t>
      </w:r>
    </w:p>
    <w:p w14:paraId="1CAF760D"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presence of major CROs, NIH-funded projects, and partnerships between pharma giants and universities has made CD spectroscopy a laboratory staple. </w:t>
      </w:r>
      <w:r w:rsidRPr="00011261">
        <w:rPr>
          <w:rFonts w:ascii="Segoe UI" w:eastAsia="Times New Roman" w:hAnsi="Segoe UI" w:cs="Segoe UI"/>
          <w:i/>
          <w:iCs/>
          <w:color w:val="0D0D0D"/>
          <w:sz w:val="24"/>
          <w:szCs w:val="24"/>
          <w:lang w:eastAsia="en-IN"/>
        </w:rPr>
        <w:t>Leading pharmaceutical companies in Boston, San Diego, and Toronto now integrate CD tools into preclinical and formulation stages of drug development.</w:t>
      </w:r>
    </w:p>
    <w:p w14:paraId="125099A2"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42605574">
          <v:rect id="_x0000_i1064" style="width:0;height:0" o:hralign="center" o:hrstd="t" o:hrnoshade="t" o:hr="t" fillcolor="#0d0d0d" stroked="f"/>
        </w:pict>
      </w:r>
    </w:p>
    <w:p w14:paraId="39228536"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Europe</w:t>
      </w:r>
    </w:p>
    <w:p w14:paraId="7C5D4CA5"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Europe is a technological hotspot, particularly in </w:t>
      </w:r>
      <w:r w:rsidRPr="00011261">
        <w:rPr>
          <w:rFonts w:ascii="Segoe UI" w:eastAsia="Times New Roman" w:hAnsi="Segoe UI" w:cs="Segoe UI"/>
          <w:b/>
          <w:bCs/>
          <w:color w:val="0D0D0D"/>
          <w:sz w:val="24"/>
          <w:szCs w:val="24"/>
          <w:lang w:eastAsia="en-IN"/>
        </w:rPr>
        <w:t>Germany, the UK, France, and Switzerland</w:t>
      </w:r>
      <w:r w:rsidRPr="00011261">
        <w:rPr>
          <w:rFonts w:ascii="Segoe UI" w:eastAsia="Times New Roman" w:hAnsi="Segoe UI" w:cs="Segoe UI"/>
          <w:color w:val="0D0D0D"/>
          <w:sz w:val="24"/>
          <w:szCs w:val="24"/>
          <w:lang w:eastAsia="en-IN"/>
        </w:rPr>
        <w:t>. Adoption is driven by:</w:t>
      </w:r>
    </w:p>
    <w:p w14:paraId="22524297" w14:textId="77777777" w:rsidR="00011261" w:rsidRPr="00011261" w:rsidRDefault="00011261" w:rsidP="0001126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National investments in proteomics and genomics research</w:t>
      </w:r>
    </w:p>
    <w:p w14:paraId="48D15D04" w14:textId="77777777" w:rsidR="00011261" w:rsidRPr="00011261" w:rsidRDefault="00011261" w:rsidP="0001126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Compliance with </w:t>
      </w:r>
      <w:r w:rsidRPr="00011261">
        <w:rPr>
          <w:rFonts w:ascii="Segoe UI" w:eastAsia="Times New Roman" w:hAnsi="Segoe UI" w:cs="Segoe UI"/>
          <w:b/>
          <w:bCs/>
          <w:color w:val="0D0D0D"/>
          <w:sz w:val="24"/>
          <w:szCs w:val="24"/>
          <w:lang w:eastAsia="en-IN"/>
        </w:rPr>
        <w:t>European Medicines Agency (EMA)</w:t>
      </w:r>
      <w:r w:rsidRPr="00011261">
        <w:rPr>
          <w:rFonts w:ascii="Segoe UI" w:eastAsia="Times New Roman" w:hAnsi="Segoe UI" w:cs="Segoe UI"/>
          <w:color w:val="0D0D0D"/>
          <w:sz w:val="24"/>
          <w:szCs w:val="24"/>
          <w:lang w:eastAsia="en-IN"/>
        </w:rPr>
        <w:t> structural characterization guidelines</w:t>
      </w:r>
    </w:p>
    <w:p w14:paraId="22EA4B34" w14:textId="77777777" w:rsidR="00011261" w:rsidRPr="00011261" w:rsidRDefault="00011261" w:rsidP="00011261">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Public-private partnerships between research councils and life sciences firms</w:t>
      </w:r>
    </w:p>
    <w:p w14:paraId="1153E12F"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Germany remains a leader due to its </w:t>
      </w:r>
      <w:r w:rsidRPr="00011261">
        <w:rPr>
          <w:rFonts w:ascii="Segoe UI" w:eastAsia="Times New Roman" w:hAnsi="Segoe UI" w:cs="Segoe UI"/>
          <w:b/>
          <w:bCs/>
          <w:color w:val="0D0D0D"/>
          <w:sz w:val="24"/>
          <w:szCs w:val="24"/>
          <w:lang w:eastAsia="en-IN"/>
        </w:rPr>
        <w:t>precision instrumentation manufacturing ecosystem</w:t>
      </w:r>
      <w:r w:rsidRPr="00011261">
        <w:rPr>
          <w:rFonts w:ascii="Segoe UI" w:eastAsia="Times New Roman" w:hAnsi="Segoe UI" w:cs="Segoe UI"/>
          <w:color w:val="0D0D0D"/>
          <w:sz w:val="24"/>
          <w:szCs w:val="24"/>
          <w:lang w:eastAsia="en-IN"/>
        </w:rPr>
        <w:t>, while the UK continues to innovate through </w:t>
      </w:r>
      <w:r w:rsidRPr="00011261">
        <w:rPr>
          <w:rFonts w:ascii="Segoe UI" w:eastAsia="Times New Roman" w:hAnsi="Segoe UI" w:cs="Segoe UI"/>
          <w:b/>
          <w:bCs/>
          <w:color w:val="0D0D0D"/>
          <w:sz w:val="24"/>
          <w:szCs w:val="24"/>
          <w:lang w:eastAsia="en-IN"/>
        </w:rPr>
        <w:t>university-led biotech clusters</w:t>
      </w:r>
      <w:r w:rsidRPr="00011261">
        <w:rPr>
          <w:rFonts w:ascii="Segoe UI" w:eastAsia="Times New Roman" w:hAnsi="Segoe UI" w:cs="Segoe UI"/>
          <w:color w:val="0D0D0D"/>
          <w:sz w:val="24"/>
          <w:szCs w:val="24"/>
          <w:lang w:eastAsia="en-IN"/>
        </w:rPr>
        <w:t>. Europe's push toward biologics comparability has also spurred demand for automated and GMP-compliant CD systems.</w:t>
      </w:r>
    </w:p>
    <w:p w14:paraId="59F29300"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04BB2560">
          <v:rect id="_x0000_i1065" style="width:0;height:0" o:hralign="center" o:hrstd="t" o:hrnoshade="t" o:hr="t" fillcolor="#0d0d0d" stroked="f"/>
        </w:pict>
      </w:r>
    </w:p>
    <w:p w14:paraId="49FE596A"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Asia Pacific</w:t>
      </w:r>
    </w:p>
    <w:p w14:paraId="3DB91F5C"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w:t>
      </w:r>
      <w:r w:rsidRPr="00011261">
        <w:rPr>
          <w:rFonts w:ascii="Segoe UI" w:eastAsia="Times New Roman" w:hAnsi="Segoe UI" w:cs="Segoe UI"/>
          <w:b/>
          <w:bCs/>
          <w:color w:val="0D0D0D"/>
          <w:sz w:val="24"/>
          <w:szCs w:val="24"/>
          <w:lang w:eastAsia="en-IN"/>
        </w:rPr>
        <w:t>Asia Pacific</w:t>
      </w:r>
      <w:r w:rsidRPr="00011261">
        <w:rPr>
          <w:rFonts w:ascii="Segoe UI" w:eastAsia="Times New Roman" w:hAnsi="Segoe UI" w:cs="Segoe UI"/>
          <w:color w:val="0D0D0D"/>
          <w:sz w:val="24"/>
          <w:szCs w:val="24"/>
          <w:lang w:eastAsia="en-IN"/>
        </w:rPr>
        <w:t> region is emerging as the fastest-growing market, projected to expand at a CAGR of </w:t>
      </w:r>
      <w:r w:rsidRPr="00011261">
        <w:rPr>
          <w:rFonts w:ascii="Segoe UI" w:eastAsia="Times New Roman" w:hAnsi="Segoe UI" w:cs="Segoe UI"/>
          <w:b/>
          <w:bCs/>
          <w:color w:val="0D0D0D"/>
          <w:sz w:val="24"/>
          <w:szCs w:val="24"/>
          <w:lang w:eastAsia="en-IN"/>
        </w:rPr>
        <w:t>8.1% through 2030</w:t>
      </w:r>
      <w:r w:rsidRPr="00011261">
        <w:rPr>
          <w:rFonts w:ascii="Segoe UI" w:eastAsia="Times New Roman" w:hAnsi="Segoe UI" w:cs="Segoe UI"/>
          <w:color w:val="0D0D0D"/>
          <w:sz w:val="24"/>
          <w:szCs w:val="24"/>
          <w:lang w:eastAsia="en-IN"/>
        </w:rPr>
        <w:t>. The momentum is concentrated in:</w:t>
      </w:r>
    </w:p>
    <w:p w14:paraId="01F4DCD3" w14:textId="77777777" w:rsidR="00011261" w:rsidRPr="00011261" w:rsidRDefault="00011261" w:rsidP="0001126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China and India</w:t>
      </w:r>
      <w:r w:rsidRPr="00011261">
        <w:rPr>
          <w:rFonts w:ascii="Segoe UI" w:eastAsia="Times New Roman" w:hAnsi="Segoe UI" w:cs="Segoe UI"/>
          <w:color w:val="0D0D0D"/>
          <w:sz w:val="24"/>
          <w:szCs w:val="24"/>
          <w:lang w:eastAsia="en-IN"/>
        </w:rPr>
        <w:t>, where CD tools are increasingly used in biosimilar development</w:t>
      </w:r>
    </w:p>
    <w:p w14:paraId="29C83A4F" w14:textId="77777777" w:rsidR="00011261" w:rsidRPr="00011261" w:rsidRDefault="00011261" w:rsidP="00011261">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South Korea and Japan</w:t>
      </w:r>
      <w:r w:rsidRPr="00011261">
        <w:rPr>
          <w:rFonts w:ascii="Segoe UI" w:eastAsia="Times New Roman" w:hAnsi="Segoe UI" w:cs="Segoe UI"/>
          <w:color w:val="0D0D0D"/>
          <w:sz w:val="24"/>
          <w:szCs w:val="24"/>
          <w:lang w:eastAsia="en-IN"/>
        </w:rPr>
        <w:t>, driven by R&amp;D investments in structural biology and synthetic peptides</w:t>
      </w:r>
    </w:p>
    <w:p w14:paraId="0171B043"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 xml:space="preserve">Government support for local pharma manufacturing, tax incentives for scientific instrument purchases, and the rise of academic excellence </w:t>
      </w:r>
      <w:proofErr w:type="spellStart"/>
      <w:r w:rsidRPr="00011261">
        <w:rPr>
          <w:rFonts w:ascii="Segoe UI" w:eastAsia="Times New Roman" w:hAnsi="Segoe UI" w:cs="Segoe UI"/>
          <w:color w:val="0D0D0D"/>
          <w:sz w:val="24"/>
          <w:szCs w:val="24"/>
          <w:lang w:eastAsia="en-IN"/>
        </w:rPr>
        <w:t>centers</w:t>
      </w:r>
      <w:proofErr w:type="spellEnd"/>
      <w:r w:rsidRPr="00011261">
        <w:rPr>
          <w:rFonts w:ascii="Segoe UI" w:eastAsia="Times New Roman" w:hAnsi="Segoe UI" w:cs="Segoe UI"/>
          <w:color w:val="0D0D0D"/>
          <w:sz w:val="24"/>
          <w:szCs w:val="24"/>
          <w:lang w:eastAsia="en-IN"/>
        </w:rPr>
        <w:t xml:space="preserve"> are key catalysts. </w:t>
      </w:r>
      <w:r w:rsidRPr="00011261">
        <w:rPr>
          <w:rFonts w:ascii="Segoe UI" w:eastAsia="Times New Roman" w:hAnsi="Segoe UI" w:cs="Segoe UI"/>
          <w:color w:val="0D0D0D"/>
          <w:sz w:val="24"/>
          <w:szCs w:val="24"/>
          <w:lang w:eastAsia="en-IN"/>
        </w:rPr>
        <w:lastRenderedPageBreak/>
        <w:t>For example, </w:t>
      </w:r>
      <w:r w:rsidRPr="00011261">
        <w:rPr>
          <w:rFonts w:ascii="Segoe UI" w:eastAsia="Times New Roman" w:hAnsi="Segoe UI" w:cs="Segoe UI"/>
          <w:i/>
          <w:iCs/>
          <w:color w:val="0D0D0D"/>
          <w:sz w:val="24"/>
          <w:szCs w:val="24"/>
          <w:lang w:eastAsia="en-IN"/>
        </w:rPr>
        <w:t>India’s Biotechnology Industry Research Assistance Council (BIRAC) co-funds protein structure labs with CD spectrometers as core instruments</w:t>
      </w:r>
      <w:r w:rsidRPr="00011261">
        <w:rPr>
          <w:rFonts w:ascii="Segoe UI" w:eastAsia="Times New Roman" w:hAnsi="Segoe UI" w:cs="Segoe UI"/>
          <w:color w:val="0D0D0D"/>
          <w:sz w:val="24"/>
          <w:szCs w:val="24"/>
          <w:lang w:eastAsia="en-IN"/>
        </w:rPr>
        <w:t>.</w:t>
      </w:r>
    </w:p>
    <w:p w14:paraId="0183B05E"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1A958C60">
          <v:rect id="_x0000_i1066" style="width:0;height:0" o:hralign="center" o:hrstd="t" o:hrnoshade="t" o:hr="t" fillcolor="#0d0d0d" stroked="f"/>
        </w:pict>
      </w:r>
    </w:p>
    <w:p w14:paraId="3411B834"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Latin America</w:t>
      </w:r>
    </w:p>
    <w:p w14:paraId="26D46EC1"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Although still nascent, </w:t>
      </w:r>
      <w:r w:rsidRPr="00011261">
        <w:rPr>
          <w:rFonts w:ascii="Segoe UI" w:eastAsia="Times New Roman" w:hAnsi="Segoe UI" w:cs="Segoe UI"/>
          <w:b/>
          <w:bCs/>
          <w:color w:val="0D0D0D"/>
          <w:sz w:val="24"/>
          <w:szCs w:val="24"/>
          <w:lang w:eastAsia="en-IN"/>
        </w:rPr>
        <w:t>Latin America</w:t>
      </w:r>
      <w:r w:rsidRPr="00011261">
        <w:rPr>
          <w:rFonts w:ascii="Segoe UI" w:eastAsia="Times New Roman" w:hAnsi="Segoe UI" w:cs="Segoe UI"/>
          <w:color w:val="0D0D0D"/>
          <w:sz w:val="24"/>
          <w:szCs w:val="24"/>
          <w:lang w:eastAsia="en-IN"/>
        </w:rPr>
        <w:t> is gradually expanding its footprint in CD spectroscopy. Countries like </w:t>
      </w:r>
      <w:r w:rsidRPr="00011261">
        <w:rPr>
          <w:rFonts w:ascii="Segoe UI" w:eastAsia="Times New Roman" w:hAnsi="Segoe UI" w:cs="Segoe UI"/>
          <w:b/>
          <w:bCs/>
          <w:color w:val="0D0D0D"/>
          <w:sz w:val="24"/>
          <w:szCs w:val="24"/>
          <w:lang w:eastAsia="en-IN"/>
        </w:rPr>
        <w:t>Brazil, Mexico, and Argentina</w:t>
      </w:r>
      <w:r w:rsidRPr="00011261">
        <w:rPr>
          <w:rFonts w:ascii="Segoe UI" w:eastAsia="Times New Roman" w:hAnsi="Segoe UI" w:cs="Segoe UI"/>
          <w:color w:val="0D0D0D"/>
          <w:sz w:val="24"/>
          <w:szCs w:val="24"/>
          <w:lang w:eastAsia="en-IN"/>
        </w:rPr>
        <w:t> are investing in molecular diagnostics and academic biotechnology. Challenges remain in terms of equipment cost and skilled personnel, but partnerships with international instrument vendors are beginning to bridge the gap.</w:t>
      </w:r>
    </w:p>
    <w:p w14:paraId="3EA9B4B9"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Brazil shows the highest adoption rate, especially in </w:t>
      </w:r>
      <w:proofErr w:type="spellStart"/>
      <w:r w:rsidRPr="00011261">
        <w:rPr>
          <w:rFonts w:ascii="Segoe UI" w:eastAsia="Times New Roman" w:hAnsi="Segoe UI" w:cs="Segoe UI"/>
          <w:b/>
          <w:bCs/>
          <w:color w:val="0D0D0D"/>
          <w:sz w:val="24"/>
          <w:szCs w:val="24"/>
          <w:lang w:eastAsia="en-IN"/>
        </w:rPr>
        <w:t>bioagriculture</w:t>
      </w:r>
      <w:proofErr w:type="spellEnd"/>
      <w:r w:rsidRPr="00011261">
        <w:rPr>
          <w:rFonts w:ascii="Segoe UI" w:eastAsia="Times New Roman" w:hAnsi="Segoe UI" w:cs="Segoe UI"/>
          <w:b/>
          <w:bCs/>
          <w:color w:val="0D0D0D"/>
          <w:sz w:val="24"/>
          <w:szCs w:val="24"/>
          <w:lang w:eastAsia="en-IN"/>
        </w:rPr>
        <w:t xml:space="preserve"> and academic protein chemistry research</w:t>
      </w:r>
      <w:r w:rsidRPr="00011261">
        <w:rPr>
          <w:rFonts w:ascii="Segoe UI" w:eastAsia="Times New Roman" w:hAnsi="Segoe UI" w:cs="Segoe UI"/>
          <w:color w:val="0D0D0D"/>
          <w:sz w:val="24"/>
          <w:szCs w:val="24"/>
          <w:lang w:eastAsia="en-IN"/>
        </w:rPr>
        <w:t>.</w:t>
      </w:r>
    </w:p>
    <w:p w14:paraId="0F86EDCC"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7636F0B3">
          <v:rect id="_x0000_i1067" style="width:0;height:0" o:hralign="center" o:hrstd="t" o:hrnoshade="t" o:hr="t" fillcolor="#0d0d0d" stroked="f"/>
        </w:pict>
      </w:r>
    </w:p>
    <w:p w14:paraId="465D58F7"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Middle East &amp; Africa (MEA)</w:t>
      </w:r>
    </w:p>
    <w:p w14:paraId="062ADBDE"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MEA region remains the least penetrated, largely due to:</w:t>
      </w:r>
    </w:p>
    <w:p w14:paraId="354188D9" w14:textId="77777777" w:rsidR="00011261" w:rsidRPr="00011261" w:rsidRDefault="00011261" w:rsidP="0001126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Limited R&amp;D infrastructure</w:t>
      </w:r>
    </w:p>
    <w:p w14:paraId="2E2BC553" w14:textId="77777777" w:rsidR="00011261" w:rsidRPr="00011261" w:rsidRDefault="00011261" w:rsidP="0001126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Scarcity of skilled CD-trained personnel</w:t>
      </w:r>
    </w:p>
    <w:p w14:paraId="603DC87C" w14:textId="77777777" w:rsidR="00011261" w:rsidRPr="00011261" w:rsidRDefault="00011261" w:rsidP="00011261">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Budgetary constraints in public health labs</w:t>
      </w:r>
    </w:p>
    <w:p w14:paraId="3D4113E4"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However, nations like </w:t>
      </w:r>
      <w:r w:rsidRPr="00011261">
        <w:rPr>
          <w:rFonts w:ascii="Segoe UI" w:eastAsia="Times New Roman" w:hAnsi="Segoe UI" w:cs="Segoe UI"/>
          <w:b/>
          <w:bCs/>
          <w:color w:val="0D0D0D"/>
          <w:sz w:val="24"/>
          <w:szCs w:val="24"/>
          <w:lang w:eastAsia="en-IN"/>
        </w:rPr>
        <w:t>Saudi Arabia and South Africa</w:t>
      </w:r>
      <w:r w:rsidRPr="00011261">
        <w:rPr>
          <w:rFonts w:ascii="Segoe UI" w:eastAsia="Times New Roman" w:hAnsi="Segoe UI" w:cs="Segoe UI"/>
          <w:color w:val="0D0D0D"/>
          <w:sz w:val="24"/>
          <w:szCs w:val="24"/>
          <w:lang w:eastAsia="en-IN"/>
        </w:rPr>
        <w:t> are showing early signs of uptake, particularly in </w:t>
      </w:r>
      <w:r w:rsidRPr="00011261">
        <w:rPr>
          <w:rFonts w:ascii="Segoe UI" w:eastAsia="Times New Roman" w:hAnsi="Segoe UI" w:cs="Segoe UI"/>
          <w:b/>
          <w:bCs/>
          <w:color w:val="0D0D0D"/>
          <w:sz w:val="24"/>
          <w:szCs w:val="24"/>
          <w:lang w:eastAsia="en-IN"/>
        </w:rPr>
        <w:t>university-driven biotech innovation</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vaccine formulation studies</w:t>
      </w:r>
      <w:r w:rsidRPr="00011261">
        <w:rPr>
          <w:rFonts w:ascii="Segoe UI" w:eastAsia="Times New Roman" w:hAnsi="Segoe UI" w:cs="Segoe UI"/>
          <w:color w:val="0D0D0D"/>
          <w:sz w:val="24"/>
          <w:szCs w:val="24"/>
          <w:lang w:eastAsia="en-IN"/>
        </w:rPr>
        <w:t>. The growth potential here is tied closely to international aid programs, tech transfer initiatives, and academic exchange partnerships.</w:t>
      </w:r>
    </w:p>
    <w:p w14:paraId="04A4D950"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34BCFB37">
          <v:rect id="_x0000_i1068" style="width:0;height:0" o:hralign="center" o:hrstd="t" o:hrnoshade="t" o:hr="t" fillcolor="#0d0d0d" stroked="f"/>
        </w:pict>
      </w:r>
    </w:p>
    <w:p w14:paraId="4331907A"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White Space and Future Outlook</w:t>
      </w:r>
    </w:p>
    <w:p w14:paraId="5F807DEC" w14:textId="77777777" w:rsidR="00011261" w:rsidRPr="00011261" w:rsidRDefault="00011261" w:rsidP="00011261">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Underserved regions</w:t>
      </w:r>
      <w:r w:rsidRPr="00011261">
        <w:rPr>
          <w:rFonts w:ascii="Segoe UI" w:eastAsia="Times New Roman" w:hAnsi="Segoe UI" w:cs="Segoe UI"/>
          <w:color w:val="0D0D0D"/>
          <w:sz w:val="24"/>
          <w:szCs w:val="24"/>
          <w:lang w:eastAsia="en-IN"/>
        </w:rPr>
        <w:t> in Sub-Saharan Africa and Central Asia present long-term opportunities through government R&amp;D grants and education-linked initiatives.</w:t>
      </w:r>
    </w:p>
    <w:p w14:paraId="5F6BAC43" w14:textId="77777777" w:rsidR="00011261" w:rsidRPr="00011261" w:rsidRDefault="00011261" w:rsidP="00011261">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lastRenderedPageBreak/>
        <w:t>Tier-2 cities</w:t>
      </w:r>
      <w:r w:rsidRPr="00011261">
        <w:rPr>
          <w:rFonts w:ascii="Segoe UI" w:eastAsia="Times New Roman" w:hAnsi="Segoe UI" w:cs="Segoe UI"/>
          <w:color w:val="0D0D0D"/>
          <w:sz w:val="24"/>
          <w:szCs w:val="24"/>
          <w:lang w:eastAsia="en-IN"/>
        </w:rPr>
        <w:t xml:space="preserve"> in large countries (e.g., Pune in India, Nanjing in China) are starting to install CD units in teaching hospitals and </w:t>
      </w:r>
      <w:proofErr w:type="spellStart"/>
      <w:r w:rsidRPr="00011261">
        <w:rPr>
          <w:rFonts w:ascii="Segoe UI" w:eastAsia="Times New Roman" w:hAnsi="Segoe UI" w:cs="Segoe UI"/>
          <w:color w:val="0D0D0D"/>
          <w:sz w:val="24"/>
          <w:szCs w:val="24"/>
          <w:lang w:eastAsia="en-IN"/>
        </w:rPr>
        <w:t>startup</w:t>
      </w:r>
      <w:proofErr w:type="spellEnd"/>
      <w:r w:rsidRPr="00011261">
        <w:rPr>
          <w:rFonts w:ascii="Segoe UI" w:eastAsia="Times New Roman" w:hAnsi="Segoe UI" w:cs="Segoe UI"/>
          <w:color w:val="0D0D0D"/>
          <w:sz w:val="24"/>
          <w:szCs w:val="24"/>
          <w:lang w:eastAsia="en-IN"/>
        </w:rPr>
        <w:t xml:space="preserve"> incubators.</w:t>
      </w:r>
    </w:p>
    <w:p w14:paraId="40BC64E6" w14:textId="77777777" w:rsidR="00011261" w:rsidRPr="00011261" w:rsidRDefault="00011261" w:rsidP="00011261">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Vendors offering </w:t>
      </w:r>
      <w:r w:rsidRPr="00011261">
        <w:rPr>
          <w:rFonts w:ascii="Segoe UI" w:eastAsia="Times New Roman" w:hAnsi="Segoe UI" w:cs="Segoe UI"/>
          <w:b/>
          <w:bCs/>
          <w:color w:val="0D0D0D"/>
          <w:sz w:val="24"/>
          <w:szCs w:val="24"/>
          <w:lang w:eastAsia="en-IN"/>
        </w:rPr>
        <w:t>retrofitted or refurbished spectrometers</w:t>
      </w:r>
      <w:r w:rsidRPr="00011261">
        <w:rPr>
          <w:rFonts w:ascii="Segoe UI" w:eastAsia="Times New Roman" w:hAnsi="Segoe UI" w:cs="Segoe UI"/>
          <w:color w:val="0D0D0D"/>
          <w:sz w:val="24"/>
          <w:szCs w:val="24"/>
          <w:lang w:eastAsia="en-IN"/>
        </w:rPr>
        <w:t> are gaining traction in cost-sensitive economies.</w:t>
      </w:r>
    </w:p>
    <w:p w14:paraId="1677AE3D"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Regionally customized sales strategies—bundling instruments with training, certification, and cloud analytics—will be critical to expanding global reach through 2030.</w:t>
      </w:r>
    </w:p>
    <w:p w14:paraId="628FC123"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w:eastAsia="Times New Roman" w:hAnsi="Segoe UI" w:cs="Segoe UI"/>
          <w:b/>
          <w:bCs/>
          <w:color w:val="0D0D0D"/>
          <w:sz w:val="30"/>
          <w:szCs w:val="30"/>
          <w:lang w:eastAsia="en-IN"/>
        </w:rPr>
        <w:t>6. End-User Dynamics and Use Case</w:t>
      </w:r>
    </w:p>
    <w:p w14:paraId="3FF14F1B"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adoption of </w:t>
      </w:r>
      <w:r w:rsidRPr="00011261">
        <w:rPr>
          <w:rFonts w:ascii="Segoe UI" w:eastAsia="Times New Roman" w:hAnsi="Segoe UI" w:cs="Segoe UI"/>
          <w:b/>
          <w:bCs/>
          <w:color w:val="0D0D0D"/>
          <w:sz w:val="24"/>
          <w:szCs w:val="24"/>
          <w:lang w:eastAsia="en-IN"/>
        </w:rPr>
        <w:t>circular dichroism spectrometers</w:t>
      </w:r>
      <w:r w:rsidRPr="00011261">
        <w:rPr>
          <w:rFonts w:ascii="Segoe UI" w:eastAsia="Times New Roman" w:hAnsi="Segoe UI" w:cs="Segoe UI"/>
          <w:color w:val="0D0D0D"/>
          <w:sz w:val="24"/>
          <w:szCs w:val="24"/>
          <w:lang w:eastAsia="en-IN"/>
        </w:rPr>
        <w:t> varies widely across end-user groups, with each segment leveraging the technology to solve specific analytical challenges in drug development, structural biology, or material science. Understanding these dynamics is essential for vendors aiming to tailor offerings to high-value use environments.</w:t>
      </w:r>
    </w:p>
    <w:p w14:paraId="27748E29"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304CF388">
          <v:rect id="_x0000_i1075" style="width:0;height:0" o:hralign="center" o:hrstd="t" o:hrnoshade="t" o:hr="t" fillcolor="#0d0d0d" stroked="f"/>
        </w:pict>
      </w:r>
    </w:p>
    <w:p w14:paraId="3D7E7C15"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Pharmaceutical &amp; Biotechnology Companies</w:t>
      </w:r>
    </w:p>
    <w:p w14:paraId="386B0C85"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This is the largest and most commercially significant user segment. CD spectrometers are vital tools for:</w:t>
      </w:r>
    </w:p>
    <w:p w14:paraId="7DCC0A74" w14:textId="77777777" w:rsidR="00011261" w:rsidRPr="00011261" w:rsidRDefault="00011261" w:rsidP="0001126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Verifying protein folding and stability during drug formulation</w:t>
      </w:r>
    </w:p>
    <w:p w14:paraId="17B9F091" w14:textId="77777777" w:rsidR="00011261" w:rsidRPr="00011261" w:rsidRDefault="00011261" w:rsidP="0001126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Ensuring structural comparability in biosimilar development</w:t>
      </w:r>
    </w:p>
    <w:p w14:paraId="534E97DB" w14:textId="77777777" w:rsidR="00011261" w:rsidRPr="00011261" w:rsidRDefault="00011261" w:rsidP="00011261">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Screening conformational changes in peptide and mRNA-based therapies</w:t>
      </w:r>
    </w:p>
    <w:p w14:paraId="09249AB5"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These companies often require </w:t>
      </w:r>
      <w:r w:rsidRPr="00011261">
        <w:rPr>
          <w:rFonts w:ascii="Segoe UI" w:eastAsia="Times New Roman" w:hAnsi="Segoe UI" w:cs="Segoe UI"/>
          <w:b/>
          <w:bCs/>
          <w:color w:val="0D0D0D"/>
          <w:sz w:val="24"/>
          <w:szCs w:val="24"/>
          <w:lang w:eastAsia="en-IN"/>
        </w:rPr>
        <w:t>GMP-compliant, CFR 21 Part 11-enabled</w:t>
      </w:r>
      <w:r w:rsidRPr="00011261">
        <w:rPr>
          <w:rFonts w:ascii="Segoe UI" w:eastAsia="Times New Roman" w:hAnsi="Segoe UI" w:cs="Segoe UI"/>
          <w:color w:val="0D0D0D"/>
          <w:sz w:val="24"/>
          <w:szCs w:val="24"/>
          <w:lang w:eastAsia="en-IN"/>
        </w:rPr>
        <w:t> instruments with data traceability and high throughput. Procurement is typically tied to clinical phase progression or regulatory audits.</w:t>
      </w:r>
    </w:p>
    <w:p w14:paraId="5C4FC5AE"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1327816D">
          <v:rect id="_x0000_i1076" style="width:0;height:0" o:hralign="center" o:hrstd="t" o:hrnoshade="t" o:hr="t" fillcolor="#0d0d0d" stroked="f"/>
        </w:pict>
      </w:r>
    </w:p>
    <w:p w14:paraId="7B5F7954"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Academic and Research Institutes</w:t>
      </w:r>
    </w:p>
    <w:p w14:paraId="18BE728B"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 xml:space="preserve">Universities, structural biology labs, and national research </w:t>
      </w:r>
      <w:proofErr w:type="spellStart"/>
      <w:r w:rsidRPr="00011261">
        <w:rPr>
          <w:rFonts w:ascii="Segoe UI" w:eastAsia="Times New Roman" w:hAnsi="Segoe UI" w:cs="Segoe UI"/>
          <w:color w:val="0D0D0D"/>
          <w:sz w:val="24"/>
          <w:szCs w:val="24"/>
          <w:lang w:eastAsia="en-IN"/>
        </w:rPr>
        <w:t>centers</w:t>
      </w:r>
      <w:proofErr w:type="spellEnd"/>
      <w:r w:rsidRPr="00011261">
        <w:rPr>
          <w:rFonts w:ascii="Segoe UI" w:eastAsia="Times New Roman" w:hAnsi="Segoe UI" w:cs="Segoe UI"/>
          <w:color w:val="0D0D0D"/>
          <w:sz w:val="24"/>
          <w:szCs w:val="24"/>
          <w:lang w:eastAsia="en-IN"/>
        </w:rPr>
        <w:t xml:space="preserve"> use CD spectroscopy for fundamental research, including:</w:t>
      </w:r>
    </w:p>
    <w:p w14:paraId="5D3D0F0B" w14:textId="77777777" w:rsidR="00011261" w:rsidRPr="00011261" w:rsidRDefault="00011261" w:rsidP="0001126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lastRenderedPageBreak/>
        <w:t>Protein folding/unfolding kinetics</w:t>
      </w:r>
    </w:p>
    <w:p w14:paraId="0A76FCF4" w14:textId="77777777" w:rsidR="00011261" w:rsidRPr="00011261" w:rsidRDefault="00011261" w:rsidP="0001126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DNA/RNA conformational studies</w:t>
      </w:r>
    </w:p>
    <w:p w14:paraId="11D2DBF5" w14:textId="77777777" w:rsidR="00011261" w:rsidRPr="00011261" w:rsidRDefault="00011261" w:rsidP="00011261">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Enzyme-substrate binding assessments</w:t>
      </w:r>
    </w:p>
    <w:p w14:paraId="614D0C23"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These users value </w:t>
      </w:r>
      <w:r w:rsidRPr="00011261">
        <w:rPr>
          <w:rFonts w:ascii="Segoe UI" w:eastAsia="Times New Roman" w:hAnsi="Segoe UI" w:cs="Segoe UI"/>
          <w:b/>
          <w:bCs/>
          <w:color w:val="0D0D0D"/>
          <w:sz w:val="24"/>
          <w:szCs w:val="24"/>
          <w:lang w:eastAsia="en-IN"/>
        </w:rPr>
        <w:t>flexibility and modularity</w:t>
      </w:r>
      <w:r w:rsidRPr="00011261">
        <w:rPr>
          <w:rFonts w:ascii="Segoe UI" w:eastAsia="Times New Roman" w:hAnsi="Segoe UI" w:cs="Segoe UI"/>
          <w:color w:val="0D0D0D"/>
          <w:sz w:val="24"/>
          <w:szCs w:val="24"/>
          <w:lang w:eastAsia="en-IN"/>
        </w:rPr>
        <w:t>, often seeking instruments that can be paired with complementary techniques like fluorescence or absorbance. Academic adoption is highly influenced by </w:t>
      </w:r>
      <w:r w:rsidRPr="00011261">
        <w:rPr>
          <w:rFonts w:ascii="Segoe UI" w:eastAsia="Times New Roman" w:hAnsi="Segoe UI" w:cs="Segoe UI"/>
          <w:b/>
          <w:bCs/>
          <w:color w:val="0D0D0D"/>
          <w:sz w:val="24"/>
          <w:szCs w:val="24"/>
          <w:lang w:eastAsia="en-IN"/>
        </w:rPr>
        <w:t>grant availability and collaborative projects</w:t>
      </w:r>
      <w:r w:rsidRPr="00011261">
        <w:rPr>
          <w:rFonts w:ascii="Segoe UI" w:eastAsia="Times New Roman" w:hAnsi="Segoe UI" w:cs="Segoe UI"/>
          <w:color w:val="0D0D0D"/>
          <w:sz w:val="24"/>
          <w:szCs w:val="24"/>
          <w:lang w:eastAsia="en-IN"/>
        </w:rPr>
        <w:t>.</w:t>
      </w:r>
    </w:p>
    <w:p w14:paraId="63D77527"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6D9CDDFB">
          <v:rect id="_x0000_i1077" style="width:0;height:0" o:hralign="center" o:hrstd="t" o:hrnoshade="t" o:hr="t" fillcolor="#0d0d0d" stroked="f"/>
        </w:pict>
      </w:r>
    </w:p>
    <w:p w14:paraId="5BB63C39"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Contract Research Organizations (CROs)</w:t>
      </w:r>
    </w:p>
    <w:p w14:paraId="7931357D"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CROs are emerging as high-growth users, offering </w:t>
      </w:r>
      <w:r w:rsidRPr="00011261">
        <w:rPr>
          <w:rFonts w:ascii="Segoe UI" w:eastAsia="Times New Roman" w:hAnsi="Segoe UI" w:cs="Segoe UI"/>
          <w:b/>
          <w:bCs/>
          <w:color w:val="0D0D0D"/>
          <w:sz w:val="24"/>
          <w:szCs w:val="24"/>
          <w:lang w:eastAsia="en-IN"/>
        </w:rPr>
        <w:t>outsourced structural characterization services</w:t>
      </w:r>
      <w:r w:rsidRPr="00011261">
        <w:rPr>
          <w:rFonts w:ascii="Segoe UI" w:eastAsia="Times New Roman" w:hAnsi="Segoe UI" w:cs="Segoe UI"/>
          <w:color w:val="0D0D0D"/>
          <w:sz w:val="24"/>
          <w:szCs w:val="24"/>
          <w:lang w:eastAsia="en-IN"/>
        </w:rPr>
        <w:t> to pharma and biotech clients. CD spectrometers in CRO settings must be:</w:t>
      </w:r>
    </w:p>
    <w:p w14:paraId="6FDDF3FE" w14:textId="77777777" w:rsidR="00011261" w:rsidRPr="00011261" w:rsidRDefault="00011261" w:rsidP="0001126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Highly automated and software-integrated</w:t>
      </w:r>
    </w:p>
    <w:p w14:paraId="30E65395" w14:textId="77777777" w:rsidR="00011261" w:rsidRPr="00011261" w:rsidRDefault="00011261" w:rsidP="00011261">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Fast and compliant with GLP/GMP protocols</w:t>
      </w:r>
    </w:p>
    <w:p w14:paraId="0F213BCC" w14:textId="77777777" w:rsidR="00011261" w:rsidRPr="00011261" w:rsidRDefault="00011261" w:rsidP="00011261">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The shift toward outsourcing analytical validation is driving CROs to expand their instrument capacity and diversify their spectrometric capabilities.</w:t>
      </w:r>
    </w:p>
    <w:p w14:paraId="08FFAB39"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35FCC68B">
          <v:rect id="_x0000_i1078" style="width:0;height:0" o:hralign="center" o:hrstd="t" o:hrnoshade="t" o:hr="t" fillcolor="#0d0d0d" stroked="f"/>
        </w:pict>
      </w:r>
    </w:p>
    <w:p w14:paraId="53586054"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Regulatory &amp; Compliance Labs</w:t>
      </w:r>
    </w:p>
    <w:p w14:paraId="00746052"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While fewer in number, regulatory labs use CD spectrometers to </w:t>
      </w:r>
      <w:r w:rsidRPr="00011261">
        <w:rPr>
          <w:rFonts w:ascii="Segoe UI" w:eastAsia="Times New Roman" w:hAnsi="Segoe UI" w:cs="Segoe UI"/>
          <w:b/>
          <w:bCs/>
          <w:color w:val="0D0D0D"/>
          <w:sz w:val="24"/>
          <w:szCs w:val="24"/>
          <w:lang w:eastAsia="en-IN"/>
        </w:rPr>
        <w:t>verify structural fidelity in biologics submitted for approval</w:t>
      </w:r>
      <w:r w:rsidRPr="00011261">
        <w:rPr>
          <w:rFonts w:ascii="Segoe UI" w:eastAsia="Times New Roman" w:hAnsi="Segoe UI" w:cs="Segoe UI"/>
          <w:color w:val="0D0D0D"/>
          <w:sz w:val="24"/>
          <w:szCs w:val="24"/>
          <w:lang w:eastAsia="en-IN"/>
        </w:rPr>
        <w:t>. The emphasis is on precision, data integrity, and standardization. These users work closely with international agencies like </w:t>
      </w:r>
      <w:r w:rsidRPr="00011261">
        <w:rPr>
          <w:rFonts w:ascii="Segoe UI" w:eastAsia="Times New Roman" w:hAnsi="Segoe UI" w:cs="Segoe UI"/>
          <w:b/>
          <w:bCs/>
          <w:color w:val="0D0D0D"/>
          <w:sz w:val="24"/>
          <w:szCs w:val="24"/>
          <w:lang w:eastAsia="en-IN"/>
        </w:rPr>
        <w:t>FDA, EMA, and PMDA</w:t>
      </w:r>
      <w:r w:rsidRPr="00011261">
        <w:rPr>
          <w:rFonts w:ascii="Segoe UI" w:eastAsia="Times New Roman" w:hAnsi="Segoe UI" w:cs="Segoe UI"/>
          <w:color w:val="0D0D0D"/>
          <w:sz w:val="24"/>
          <w:szCs w:val="24"/>
          <w:lang w:eastAsia="en-IN"/>
        </w:rPr>
        <w:t>.</w:t>
      </w:r>
    </w:p>
    <w:p w14:paraId="0B9FC930"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3D598CC0">
          <v:rect id="_x0000_i1079" style="width:0;height:0" o:hralign="center" o:hrstd="t" o:hrnoshade="t" o:hr="t" fillcolor="#0d0d0d" stroked="f"/>
        </w:pict>
      </w:r>
    </w:p>
    <w:p w14:paraId="0BF5EE0A"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w:eastAsia="Times New Roman" w:hAnsi="Segoe UI" w:cs="Segoe UI"/>
          <w:b/>
          <w:bCs/>
          <w:color w:val="0D0D0D"/>
          <w:sz w:val="30"/>
          <w:szCs w:val="30"/>
          <w:lang w:eastAsia="en-IN"/>
        </w:rPr>
        <w:t>Realistic Use Case Highlight</w:t>
      </w:r>
    </w:p>
    <w:p w14:paraId="74B9AC11"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 xml:space="preserve">A tertiary research hospital in Seoul, South Korea, collaborated with a domestic biopharma firm to co-develop an mRNA-based cancer vaccine. During preclinical </w:t>
      </w:r>
      <w:r w:rsidRPr="00011261">
        <w:rPr>
          <w:rFonts w:ascii="Segoe UI" w:eastAsia="Times New Roman" w:hAnsi="Segoe UI" w:cs="Segoe UI"/>
          <w:i/>
          <w:iCs/>
          <w:color w:val="0D0D0D"/>
          <w:sz w:val="24"/>
          <w:szCs w:val="24"/>
          <w:lang w:eastAsia="en-IN"/>
        </w:rPr>
        <w:lastRenderedPageBreak/>
        <w:t>development, they used a compact benchtop CD spectrometer to monitor the structural integrity of peptide-antigen complexes at varying temperatures and pH levels.</w:t>
      </w:r>
    </w:p>
    <w:p w14:paraId="120AF3BD"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i/>
          <w:iCs/>
          <w:color w:val="0D0D0D"/>
          <w:sz w:val="24"/>
          <w:szCs w:val="24"/>
          <w:lang w:eastAsia="en-IN"/>
        </w:rPr>
        <w:t>This allowed the research team to identify the optimal formulation buffer and folding conditions, reducing early-stage formulation failures by over 30%. The CD data was also incorporated into regulatory submissions to demonstrate consistency across production batches.</w:t>
      </w:r>
    </w:p>
    <w:p w14:paraId="49355694"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2F797BD1">
          <v:rect id="_x0000_i1080" style="width:0;height:0" o:hralign="center" o:hrstd="t" o:hrnoshade="t" o:hr="t" fillcolor="#0d0d0d" stroked="f"/>
        </w:pict>
      </w:r>
    </w:p>
    <w:p w14:paraId="1E473918"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color w:val="0D0D0D"/>
          <w:sz w:val="24"/>
          <w:szCs w:val="24"/>
          <w:lang w:eastAsia="en-IN"/>
        </w:rPr>
        <w:t>This use case underscores how </w:t>
      </w:r>
      <w:r w:rsidRPr="00011261">
        <w:rPr>
          <w:rFonts w:ascii="Segoe UI" w:eastAsia="Times New Roman" w:hAnsi="Segoe UI" w:cs="Segoe UI"/>
          <w:b/>
          <w:bCs/>
          <w:color w:val="0D0D0D"/>
          <w:sz w:val="24"/>
          <w:szCs w:val="24"/>
          <w:lang w:eastAsia="en-IN"/>
        </w:rPr>
        <w:t>real-time structural insights</w:t>
      </w:r>
      <w:r w:rsidRPr="00011261">
        <w:rPr>
          <w:rFonts w:ascii="Segoe UI" w:eastAsia="Times New Roman" w:hAnsi="Segoe UI" w:cs="Segoe UI"/>
          <w:color w:val="0D0D0D"/>
          <w:sz w:val="24"/>
          <w:szCs w:val="24"/>
          <w:lang w:eastAsia="en-IN"/>
        </w:rPr>
        <w:t> via CD spectroscopy can materially impact </w:t>
      </w:r>
      <w:r w:rsidRPr="00011261">
        <w:rPr>
          <w:rFonts w:ascii="Segoe UI" w:eastAsia="Times New Roman" w:hAnsi="Segoe UI" w:cs="Segoe UI"/>
          <w:b/>
          <w:bCs/>
          <w:color w:val="0D0D0D"/>
          <w:sz w:val="24"/>
          <w:szCs w:val="24"/>
          <w:lang w:eastAsia="en-IN"/>
        </w:rPr>
        <w:t>formulation robustness, clinical success rates, and regulatory compliance</w:t>
      </w:r>
      <w:r w:rsidRPr="00011261">
        <w:rPr>
          <w:rFonts w:ascii="Segoe UI" w:eastAsia="Times New Roman" w:hAnsi="Segoe UI" w:cs="Segoe UI"/>
          <w:color w:val="0D0D0D"/>
          <w:sz w:val="24"/>
          <w:szCs w:val="24"/>
          <w:lang w:eastAsia="en-IN"/>
        </w:rPr>
        <w:t>—making the technology indispensable in both discovery and development pipelines.</w:t>
      </w:r>
    </w:p>
    <w:p w14:paraId="70B48A53"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w:eastAsia="Times New Roman" w:hAnsi="Segoe UI" w:cs="Segoe UI"/>
          <w:b/>
          <w:bCs/>
          <w:color w:val="0D0D0D"/>
          <w:sz w:val="30"/>
          <w:szCs w:val="30"/>
          <w:lang w:eastAsia="en-IN"/>
        </w:rPr>
        <w:t>7. Recent Developments + Opportunities &amp; Restraints</w:t>
      </w:r>
    </w:p>
    <w:p w14:paraId="592B8EAF"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Emoji" w:eastAsia="Times New Roman" w:hAnsi="Segoe UI Emoji" w:cs="Segoe UI Emoji"/>
          <w:b/>
          <w:bCs/>
          <w:color w:val="0D0D0D"/>
          <w:sz w:val="24"/>
          <w:szCs w:val="24"/>
          <w:lang w:eastAsia="en-IN"/>
        </w:rPr>
        <w:t>🆕</w:t>
      </w:r>
      <w:r w:rsidRPr="00011261">
        <w:rPr>
          <w:rFonts w:ascii="Segoe UI" w:eastAsia="Times New Roman" w:hAnsi="Segoe UI" w:cs="Segoe UI"/>
          <w:b/>
          <w:bCs/>
          <w:color w:val="0D0D0D"/>
          <w:sz w:val="24"/>
          <w:szCs w:val="24"/>
          <w:lang w:eastAsia="en-IN"/>
        </w:rPr>
        <w:t> Recent Developments (Past 2 Years)</w:t>
      </w:r>
    </w:p>
    <w:p w14:paraId="770DA537" w14:textId="4CD3D943" w:rsidR="00011261" w:rsidRPr="00011261" w:rsidRDefault="00011261" w:rsidP="0001126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JASCO introduced the J-1500 CD Spectrometer Upgrade Kit</w:t>
      </w:r>
      <w:r w:rsidRPr="00011261">
        <w:rPr>
          <w:rFonts w:ascii="Segoe UI" w:eastAsia="Times New Roman" w:hAnsi="Segoe UI" w:cs="Segoe UI"/>
          <w:color w:val="0D0D0D"/>
          <w:sz w:val="24"/>
          <w:szCs w:val="24"/>
          <w:lang w:eastAsia="en-IN"/>
        </w:rPr>
        <w:t> (2023), allowing existing systems to integrate temperature-controlled multi-cell holders and deep UV enhancements for biopharma analytics.</w:t>
      </w:r>
      <w:r w:rsidRPr="00011261">
        <w:rPr>
          <w:rFonts w:ascii="Segoe UI" w:eastAsia="Times New Roman" w:hAnsi="Segoe UI" w:cs="Segoe UI"/>
          <w:color w:val="0D0D0D"/>
          <w:sz w:val="24"/>
          <w:szCs w:val="24"/>
          <w:lang w:eastAsia="en-IN"/>
        </w:rPr>
        <w:br/>
      </w:r>
    </w:p>
    <w:p w14:paraId="6188206C" w14:textId="2D9BCB52" w:rsidR="00011261" w:rsidRPr="00011261" w:rsidRDefault="00011261" w:rsidP="0001126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 xml:space="preserve">Applied </w:t>
      </w:r>
      <w:proofErr w:type="spellStart"/>
      <w:r w:rsidRPr="00011261">
        <w:rPr>
          <w:rFonts w:ascii="Segoe UI" w:eastAsia="Times New Roman" w:hAnsi="Segoe UI" w:cs="Segoe UI"/>
          <w:b/>
          <w:bCs/>
          <w:color w:val="0D0D0D"/>
          <w:sz w:val="24"/>
          <w:szCs w:val="24"/>
          <w:lang w:eastAsia="en-IN"/>
        </w:rPr>
        <w:t>Photophysics</w:t>
      </w:r>
      <w:proofErr w:type="spellEnd"/>
      <w:r w:rsidRPr="00011261">
        <w:rPr>
          <w:rFonts w:ascii="Segoe UI" w:eastAsia="Times New Roman" w:hAnsi="Segoe UI" w:cs="Segoe UI"/>
          <w:b/>
          <w:bCs/>
          <w:color w:val="0D0D0D"/>
          <w:sz w:val="24"/>
          <w:szCs w:val="24"/>
          <w:lang w:eastAsia="en-IN"/>
        </w:rPr>
        <w:t xml:space="preserve"> launched the </w:t>
      </w:r>
      <w:proofErr w:type="spellStart"/>
      <w:r w:rsidRPr="00011261">
        <w:rPr>
          <w:rFonts w:ascii="Segoe UI" w:eastAsia="Times New Roman" w:hAnsi="Segoe UI" w:cs="Segoe UI"/>
          <w:b/>
          <w:bCs/>
          <w:color w:val="0D0D0D"/>
          <w:sz w:val="24"/>
          <w:szCs w:val="24"/>
          <w:lang w:eastAsia="en-IN"/>
        </w:rPr>
        <w:t>Chirascan</w:t>
      </w:r>
      <w:proofErr w:type="spellEnd"/>
      <w:r w:rsidRPr="00011261">
        <w:rPr>
          <w:rFonts w:ascii="Segoe UI" w:eastAsia="Times New Roman" w:hAnsi="Segoe UI" w:cs="Segoe UI"/>
          <w:b/>
          <w:bCs/>
          <w:color w:val="0D0D0D"/>
          <w:sz w:val="24"/>
          <w:szCs w:val="24"/>
          <w:lang w:eastAsia="en-IN"/>
        </w:rPr>
        <w:t xml:space="preserve"> V100</w:t>
      </w:r>
      <w:r w:rsidRPr="00011261">
        <w:rPr>
          <w:rFonts w:ascii="Segoe UI" w:eastAsia="Times New Roman" w:hAnsi="Segoe UI" w:cs="Segoe UI"/>
          <w:color w:val="0D0D0D"/>
          <w:sz w:val="24"/>
          <w:szCs w:val="24"/>
          <w:lang w:eastAsia="en-IN"/>
        </w:rPr>
        <w:t> (2024), a system optimized for vaccine formulation studies, featuring automation-ready sample loading and faster scanning rates.</w:t>
      </w:r>
      <w:r w:rsidRPr="00011261">
        <w:rPr>
          <w:rFonts w:ascii="Segoe UI" w:eastAsia="Times New Roman" w:hAnsi="Segoe UI" w:cs="Segoe UI"/>
          <w:color w:val="0D0D0D"/>
          <w:sz w:val="24"/>
          <w:szCs w:val="24"/>
          <w:lang w:eastAsia="en-IN"/>
        </w:rPr>
        <w:br/>
      </w:r>
    </w:p>
    <w:p w14:paraId="3E50A960" w14:textId="14C03AC8" w:rsidR="00011261" w:rsidRPr="00011261" w:rsidRDefault="00011261" w:rsidP="0001126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Bio-Logic Science Instruments expanded its modular spectroscopy suite</w:t>
      </w:r>
      <w:r w:rsidRPr="00011261">
        <w:rPr>
          <w:rFonts w:ascii="Segoe UI" w:eastAsia="Times New Roman" w:hAnsi="Segoe UI" w:cs="Segoe UI"/>
          <w:color w:val="0D0D0D"/>
          <w:sz w:val="24"/>
          <w:szCs w:val="24"/>
          <w:lang w:eastAsia="en-IN"/>
        </w:rPr>
        <w:t> (2023) by enabling synchronous CD and fluorescence measurements in a single run, reducing analysis time in protein folding studies.</w:t>
      </w:r>
      <w:r w:rsidRPr="00011261">
        <w:rPr>
          <w:rFonts w:ascii="Segoe UI" w:eastAsia="Times New Roman" w:hAnsi="Segoe UI" w:cs="Segoe UI"/>
          <w:color w:val="0D0D0D"/>
          <w:sz w:val="24"/>
          <w:szCs w:val="24"/>
          <w:lang w:eastAsia="en-IN"/>
        </w:rPr>
        <w:br/>
      </w:r>
    </w:p>
    <w:p w14:paraId="377E8F0F" w14:textId="23CF8ED9" w:rsidR="00011261" w:rsidRPr="00011261" w:rsidRDefault="00011261" w:rsidP="00011261">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HORIBA Scientific formed a partnership with Kyoto University</w:t>
      </w:r>
      <w:r w:rsidRPr="00011261">
        <w:rPr>
          <w:rFonts w:ascii="Segoe UI" w:eastAsia="Times New Roman" w:hAnsi="Segoe UI" w:cs="Segoe UI"/>
          <w:color w:val="0D0D0D"/>
          <w:sz w:val="24"/>
          <w:szCs w:val="24"/>
          <w:lang w:eastAsia="en-IN"/>
        </w:rPr>
        <w:t> (2024) to co-develop a hybrid CD-Raman analytical platform targeting structural biosciences and advanced material research.</w:t>
      </w:r>
      <w:r w:rsidRPr="00011261">
        <w:rPr>
          <w:rFonts w:ascii="Segoe UI" w:eastAsia="Times New Roman" w:hAnsi="Segoe UI" w:cs="Segoe UI"/>
          <w:color w:val="0D0D0D"/>
          <w:sz w:val="24"/>
          <w:szCs w:val="24"/>
          <w:lang w:eastAsia="en-IN"/>
        </w:rPr>
        <w:br/>
      </w:r>
    </w:p>
    <w:p w14:paraId="0D42FB5C" w14:textId="71ECC85D" w:rsidR="00011261" w:rsidRPr="00011261" w:rsidRDefault="00011261" w:rsidP="00011261">
      <w:pPr>
        <w:numPr>
          <w:ilvl w:val="0"/>
          <w:numId w:val="16"/>
        </w:numPr>
        <w:shd w:val="clear" w:color="auto" w:fill="FFFFFF"/>
        <w:spacing w:after="0" w:line="240" w:lineRule="auto"/>
        <w:rPr>
          <w:rFonts w:ascii="Segoe UI" w:eastAsia="Times New Roman" w:hAnsi="Segoe UI" w:cs="Segoe UI"/>
          <w:color w:val="0D0D0D"/>
          <w:sz w:val="24"/>
          <w:szCs w:val="24"/>
          <w:lang w:eastAsia="en-IN"/>
        </w:rPr>
      </w:pPr>
      <w:proofErr w:type="spellStart"/>
      <w:r w:rsidRPr="00011261">
        <w:rPr>
          <w:rFonts w:ascii="Segoe UI" w:eastAsia="Times New Roman" w:hAnsi="Segoe UI" w:cs="Segoe UI"/>
          <w:b/>
          <w:bCs/>
          <w:color w:val="0D0D0D"/>
          <w:sz w:val="24"/>
          <w:szCs w:val="24"/>
          <w:lang w:eastAsia="en-IN"/>
        </w:rPr>
        <w:t>Olis</w:t>
      </w:r>
      <w:proofErr w:type="spellEnd"/>
      <w:r w:rsidRPr="00011261">
        <w:rPr>
          <w:rFonts w:ascii="Segoe UI" w:eastAsia="Times New Roman" w:hAnsi="Segoe UI" w:cs="Segoe UI"/>
          <w:b/>
          <w:bCs/>
          <w:color w:val="0D0D0D"/>
          <w:sz w:val="24"/>
          <w:szCs w:val="24"/>
          <w:lang w:eastAsia="en-IN"/>
        </w:rPr>
        <w:t xml:space="preserve"> Inc. released a retrofit solution</w:t>
      </w:r>
      <w:r w:rsidRPr="00011261">
        <w:rPr>
          <w:rFonts w:ascii="Segoe UI" w:eastAsia="Times New Roman" w:hAnsi="Segoe UI" w:cs="Segoe UI"/>
          <w:color w:val="0D0D0D"/>
          <w:sz w:val="24"/>
          <w:szCs w:val="24"/>
          <w:lang w:eastAsia="en-IN"/>
        </w:rPr>
        <w:t> (2023) allowing 1990s-era CD spectrometers to be upgraded with AI-supported optics and compliance-ready software.</w:t>
      </w:r>
      <w:r w:rsidRPr="00011261">
        <w:rPr>
          <w:rFonts w:ascii="Segoe UI" w:eastAsia="Times New Roman" w:hAnsi="Segoe UI" w:cs="Segoe UI"/>
          <w:color w:val="0D0D0D"/>
          <w:sz w:val="24"/>
          <w:szCs w:val="24"/>
          <w:lang w:eastAsia="en-IN"/>
        </w:rPr>
        <w:br/>
      </w:r>
    </w:p>
    <w:p w14:paraId="5DB1A1C8"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6E326CEA">
          <v:rect id="_x0000_i1087" style="width:0;height:0" o:hralign="center" o:hrstd="t" o:hrnoshade="t" o:hr="t" fillcolor="#0d0d0d" stroked="f"/>
        </w:pict>
      </w:r>
    </w:p>
    <w:p w14:paraId="029859B1"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Emoji" w:eastAsia="Times New Roman" w:hAnsi="Segoe UI Emoji" w:cs="Segoe UI Emoji"/>
          <w:b/>
          <w:bCs/>
          <w:color w:val="0D0D0D"/>
          <w:sz w:val="24"/>
          <w:szCs w:val="24"/>
          <w:lang w:eastAsia="en-IN"/>
        </w:rPr>
        <w:lastRenderedPageBreak/>
        <w:t>🔁</w:t>
      </w:r>
      <w:r w:rsidRPr="00011261">
        <w:rPr>
          <w:rFonts w:ascii="Segoe UI" w:eastAsia="Times New Roman" w:hAnsi="Segoe UI" w:cs="Segoe UI"/>
          <w:b/>
          <w:bCs/>
          <w:color w:val="0D0D0D"/>
          <w:sz w:val="24"/>
          <w:szCs w:val="24"/>
          <w:lang w:eastAsia="en-IN"/>
        </w:rPr>
        <w:t> Opportunities</w:t>
      </w:r>
    </w:p>
    <w:p w14:paraId="29B57B39" w14:textId="77777777" w:rsidR="00011261" w:rsidRPr="00011261" w:rsidRDefault="00011261" w:rsidP="0001126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Biopharma Expansion in Emerging Markets</w:t>
      </w:r>
      <w:r w:rsidRPr="00011261">
        <w:rPr>
          <w:rFonts w:ascii="Segoe UI" w:eastAsia="Times New Roman" w:hAnsi="Segoe UI" w:cs="Segoe UI"/>
          <w:color w:val="0D0D0D"/>
          <w:sz w:val="24"/>
          <w:szCs w:val="24"/>
          <w:lang w:eastAsia="en-IN"/>
        </w:rPr>
        <w:br/>
        <w:t>With growing investments in biosimilars and biologics in India, China, and Brazil, there is a significant market opportunity for </w:t>
      </w:r>
      <w:r w:rsidRPr="00011261">
        <w:rPr>
          <w:rFonts w:ascii="Segoe UI" w:eastAsia="Times New Roman" w:hAnsi="Segoe UI" w:cs="Segoe UI"/>
          <w:b/>
          <w:bCs/>
          <w:color w:val="0D0D0D"/>
          <w:sz w:val="24"/>
          <w:szCs w:val="24"/>
          <w:lang w:eastAsia="en-IN"/>
        </w:rPr>
        <w:t>mid-range CD systems</w:t>
      </w:r>
      <w:r w:rsidRPr="00011261">
        <w:rPr>
          <w:rFonts w:ascii="Segoe UI" w:eastAsia="Times New Roman" w:hAnsi="Segoe UI" w:cs="Segoe UI"/>
          <w:color w:val="0D0D0D"/>
          <w:sz w:val="24"/>
          <w:szCs w:val="24"/>
          <w:lang w:eastAsia="en-IN"/>
        </w:rPr>
        <w:t> optimized for GMP and R&amp;D use.</w:t>
      </w:r>
    </w:p>
    <w:p w14:paraId="3244FBB9" w14:textId="77777777" w:rsidR="00011261" w:rsidRPr="00011261" w:rsidRDefault="00011261" w:rsidP="0001126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AI-Powered Spectral Analysis</w:t>
      </w:r>
      <w:r w:rsidRPr="00011261">
        <w:rPr>
          <w:rFonts w:ascii="Segoe UI" w:eastAsia="Times New Roman" w:hAnsi="Segoe UI" w:cs="Segoe UI"/>
          <w:color w:val="0D0D0D"/>
          <w:sz w:val="24"/>
          <w:szCs w:val="24"/>
          <w:lang w:eastAsia="en-IN"/>
        </w:rPr>
        <w:br/>
        <w:t>The integration of </w:t>
      </w:r>
      <w:r w:rsidRPr="00011261">
        <w:rPr>
          <w:rFonts w:ascii="Segoe UI" w:eastAsia="Times New Roman" w:hAnsi="Segoe UI" w:cs="Segoe UI"/>
          <w:b/>
          <w:bCs/>
          <w:color w:val="0D0D0D"/>
          <w:sz w:val="24"/>
          <w:szCs w:val="24"/>
          <w:lang w:eastAsia="en-IN"/>
        </w:rPr>
        <w:t>machine learning for pattern recognition and predictive folding models</w:t>
      </w:r>
      <w:r w:rsidRPr="00011261">
        <w:rPr>
          <w:rFonts w:ascii="Segoe UI" w:eastAsia="Times New Roman" w:hAnsi="Segoe UI" w:cs="Segoe UI"/>
          <w:color w:val="0D0D0D"/>
          <w:sz w:val="24"/>
          <w:szCs w:val="24"/>
          <w:lang w:eastAsia="en-IN"/>
        </w:rPr>
        <w:t> opens a new frontier in automation and high-throughput workflows.</w:t>
      </w:r>
    </w:p>
    <w:p w14:paraId="1B79B3AA" w14:textId="77777777" w:rsidR="00011261" w:rsidRPr="00011261" w:rsidRDefault="00011261" w:rsidP="00011261">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Academic Research Funding for Structural Biology</w:t>
      </w:r>
      <w:r w:rsidRPr="00011261">
        <w:rPr>
          <w:rFonts w:ascii="Segoe UI" w:eastAsia="Times New Roman" w:hAnsi="Segoe UI" w:cs="Segoe UI"/>
          <w:color w:val="0D0D0D"/>
          <w:sz w:val="24"/>
          <w:szCs w:val="24"/>
          <w:lang w:eastAsia="en-IN"/>
        </w:rPr>
        <w:br/>
        <w:t>Governments and philanthropic organizations are increasingly funding structural biology research, particularly in protein misfolding diseases and epigenetics—areas where CD spectroscopy provides vital insights.</w:t>
      </w:r>
    </w:p>
    <w:p w14:paraId="26EE30DD"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1F8948A4">
          <v:rect id="_x0000_i1088" style="width:0;height:0" o:hralign="center" o:hrstd="t" o:hrnoshade="t" o:hr="t" fillcolor="#0d0d0d" stroked="f"/>
        </w:pict>
      </w:r>
    </w:p>
    <w:p w14:paraId="1AD5594A"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Emoji" w:eastAsia="Times New Roman" w:hAnsi="Segoe UI Emoji" w:cs="Segoe UI Emoji"/>
          <w:b/>
          <w:bCs/>
          <w:color w:val="0D0D0D"/>
          <w:sz w:val="24"/>
          <w:szCs w:val="24"/>
          <w:lang w:eastAsia="en-IN"/>
        </w:rPr>
        <w:t>🚫</w:t>
      </w:r>
      <w:r w:rsidRPr="00011261">
        <w:rPr>
          <w:rFonts w:ascii="Segoe UI" w:eastAsia="Times New Roman" w:hAnsi="Segoe UI" w:cs="Segoe UI"/>
          <w:b/>
          <w:bCs/>
          <w:color w:val="0D0D0D"/>
          <w:sz w:val="24"/>
          <w:szCs w:val="24"/>
          <w:lang w:eastAsia="en-IN"/>
        </w:rPr>
        <w:t> Restraints</w:t>
      </w:r>
    </w:p>
    <w:p w14:paraId="05CF3EE8" w14:textId="77777777" w:rsidR="00011261" w:rsidRPr="00011261" w:rsidRDefault="00011261" w:rsidP="0001126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High Capital Investment for Advanced CD Systems</w:t>
      </w:r>
      <w:r w:rsidRPr="00011261">
        <w:rPr>
          <w:rFonts w:ascii="Segoe UI" w:eastAsia="Times New Roman" w:hAnsi="Segoe UI" w:cs="Segoe UI"/>
          <w:color w:val="0D0D0D"/>
          <w:sz w:val="24"/>
          <w:szCs w:val="24"/>
          <w:lang w:eastAsia="en-IN"/>
        </w:rPr>
        <w:br/>
        <w:t xml:space="preserve">High-end CD spectrometers can cost upwards of six figures, which limits accessibility for smaller academic institutions and </w:t>
      </w:r>
      <w:proofErr w:type="spellStart"/>
      <w:r w:rsidRPr="00011261">
        <w:rPr>
          <w:rFonts w:ascii="Segoe UI" w:eastAsia="Times New Roman" w:hAnsi="Segoe UI" w:cs="Segoe UI"/>
          <w:color w:val="0D0D0D"/>
          <w:sz w:val="24"/>
          <w:szCs w:val="24"/>
          <w:lang w:eastAsia="en-IN"/>
        </w:rPr>
        <w:t>startups</w:t>
      </w:r>
      <w:proofErr w:type="spellEnd"/>
      <w:r w:rsidRPr="00011261">
        <w:rPr>
          <w:rFonts w:ascii="Segoe UI" w:eastAsia="Times New Roman" w:hAnsi="Segoe UI" w:cs="Segoe UI"/>
          <w:color w:val="0D0D0D"/>
          <w:sz w:val="24"/>
          <w:szCs w:val="24"/>
          <w:lang w:eastAsia="en-IN"/>
        </w:rPr>
        <w:t xml:space="preserve"> unless grant-supported.</w:t>
      </w:r>
    </w:p>
    <w:p w14:paraId="7AAD07A5" w14:textId="77777777" w:rsidR="00011261" w:rsidRPr="00011261" w:rsidRDefault="00011261" w:rsidP="00011261">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Shortage of Trained Personnel</w:t>
      </w:r>
      <w:r w:rsidRPr="00011261">
        <w:rPr>
          <w:rFonts w:ascii="Segoe UI" w:eastAsia="Times New Roman" w:hAnsi="Segoe UI" w:cs="Segoe UI"/>
          <w:color w:val="0D0D0D"/>
          <w:sz w:val="24"/>
          <w:szCs w:val="24"/>
          <w:lang w:eastAsia="en-IN"/>
        </w:rPr>
        <w:br/>
        <w:t>CD spectroscopy requires skilled interpretation, particularly for complex protein folding studies, and the current shortage of experienced operators is a barrier to broader adoption.</w:t>
      </w:r>
    </w:p>
    <w:p w14:paraId="42CB790C" w14:textId="7642BC53" w:rsidR="00011261" w:rsidRDefault="00011261">
      <w:r>
        <w:br w:type="page"/>
      </w:r>
    </w:p>
    <w:p w14:paraId="63FB89E2"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w:eastAsia="Times New Roman" w:hAnsi="Segoe UI" w:cs="Segoe UI"/>
          <w:b/>
          <w:bCs/>
          <w:color w:val="0D0D0D"/>
          <w:sz w:val="30"/>
          <w:szCs w:val="30"/>
          <w:lang w:eastAsia="en-IN"/>
        </w:rPr>
        <w:lastRenderedPageBreak/>
        <w:t>8. Report Summary, FAQs, and SEO Schema</w:t>
      </w:r>
    </w:p>
    <w:p w14:paraId="43E58748"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Emoji" w:eastAsia="Times New Roman" w:hAnsi="Segoe UI Emoji" w:cs="Segoe UI Emoji"/>
          <w:b/>
          <w:bCs/>
          <w:color w:val="0D0D0D"/>
          <w:sz w:val="24"/>
          <w:szCs w:val="24"/>
          <w:lang w:eastAsia="en-IN"/>
        </w:rPr>
        <w:t>📘</w:t>
      </w:r>
      <w:r w:rsidRPr="00011261">
        <w:rPr>
          <w:rFonts w:ascii="Segoe UI" w:eastAsia="Times New Roman" w:hAnsi="Segoe UI" w:cs="Segoe UI"/>
          <w:b/>
          <w:bCs/>
          <w:color w:val="0D0D0D"/>
          <w:sz w:val="24"/>
          <w:szCs w:val="24"/>
          <w:lang w:eastAsia="en-IN"/>
        </w:rPr>
        <w:t> A.1. Report Title (Long-Form)</w:t>
      </w:r>
    </w:p>
    <w:p w14:paraId="5783A960"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Circular Dichroism Spectrometer Market By Product Type (Linearly Polarized CD Spectrometers, Circularly Polarized CD Spectrometers, Modular/Benchtop CD Spectrometers, Portable CD Spectrometers); By Application (Protein Secondary Structure Analysis, Nucleic Acid Characterization, Chiral Material Testing, Quality Control in Biomanufacturing, Conformational Change Studies); By End User (Pharmaceutical &amp; Biotechnology Companies, Academic and Research Institutes, CROs, Regulatory &amp; Compliance Labs); By Geography, Segment Revenue Estimation, Forecast, 2024–2030.</w:t>
      </w:r>
    </w:p>
    <w:p w14:paraId="7105A801"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Emoji" w:eastAsia="Times New Roman" w:hAnsi="Segoe UI Emoji" w:cs="Segoe UI Emoji"/>
          <w:b/>
          <w:bCs/>
          <w:color w:val="0D0D0D"/>
          <w:sz w:val="24"/>
          <w:szCs w:val="24"/>
          <w:lang w:eastAsia="en-IN"/>
        </w:rPr>
        <w:t>🧾</w:t>
      </w:r>
      <w:r w:rsidRPr="00011261">
        <w:rPr>
          <w:rFonts w:ascii="Segoe UI" w:eastAsia="Times New Roman" w:hAnsi="Segoe UI" w:cs="Segoe UI"/>
          <w:b/>
          <w:bCs/>
          <w:color w:val="0D0D0D"/>
          <w:sz w:val="24"/>
          <w:szCs w:val="24"/>
          <w:lang w:eastAsia="en-IN"/>
        </w:rPr>
        <w:t> A.2. URL Title (all lowercase)</w:t>
      </w:r>
    </w:p>
    <w:p w14:paraId="010B304B"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circular dichroism spectrometer market</w:t>
      </w:r>
    </w:p>
    <w:p w14:paraId="25485F86"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Emoji" w:eastAsia="Times New Roman" w:hAnsi="Segoe UI Emoji" w:cs="Segoe UI Emoji"/>
          <w:b/>
          <w:bCs/>
          <w:color w:val="0D0D0D"/>
          <w:sz w:val="24"/>
          <w:szCs w:val="24"/>
          <w:lang w:eastAsia="en-IN"/>
        </w:rPr>
        <w:t>💰</w:t>
      </w:r>
      <w:r w:rsidRPr="00011261">
        <w:rPr>
          <w:rFonts w:ascii="Segoe UI" w:eastAsia="Times New Roman" w:hAnsi="Segoe UI" w:cs="Segoe UI"/>
          <w:b/>
          <w:bCs/>
          <w:color w:val="0D0D0D"/>
          <w:sz w:val="24"/>
          <w:szCs w:val="24"/>
          <w:lang w:eastAsia="en-IN"/>
        </w:rPr>
        <w:t> A.3. SEO Display Title</w:t>
      </w:r>
    </w:p>
    <w:p w14:paraId="64856CF3" w14:textId="52F1512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Circular Dichroism Spectrometer Market Size ($</w:t>
      </w:r>
      <w:r w:rsidR="00F62C78">
        <w:rPr>
          <w:rFonts w:ascii="Segoe UI" w:eastAsia="Times New Roman" w:hAnsi="Segoe UI" w:cs="Segoe UI"/>
          <w:b/>
          <w:bCs/>
          <w:color w:val="0D0D0D"/>
          <w:sz w:val="24"/>
          <w:szCs w:val="24"/>
          <w:lang w:eastAsia="en-IN"/>
        </w:rPr>
        <w:t>94.04</w:t>
      </w:r>
      <w:r w:rsidRPr="00011261">
        <w:rPr>
          <w:rFonts w:ascii="Segoe UI" w:eastAsia="Times New Roman" w:hAnsi="Segoe UI" w:cs="Segoe UI"/>
          <w:b/>
          <w:bCs/>
          <w:color w:val="0D0D0D"/>
          <w:sz w:val="24"/>
          <w:szCs w:val="24"/>
          <w:lang w:eastAsia="en-IN"/>
        </w:rPr>
        <w:t xml:space="preserve"> Million) 2030</w:t>
      </w:r>
    </w:p>
    <w:p w14:paraId="6DB18060"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21BB8F14">
          <v:rect id="_x0000_i1091" style="width:0;height:0" o:hralign="center" o:hrstd="t" o:hrnoshade="t" o:hr="t" fillcolor="#0d0d0d" stroked="f"/>
        </w:pict>
      </w:r>
    </w:p>
    <w:p w14:paraId="4D96E028"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Emoji" w:eastAsia="Times New Roman" w:hAnsi="Segoe UI Emoji" w:cs="Segoe UI Emoji"/>
          <w:b/>
          <w:bCs/>
          <w:color w:val="0D0D0D"/>
          <w:sz w:val="30"/>
          <w:szCs w:val="30"/>
          <w:lang w:eastAsia="en-IN"/>
        </w:rPr>
        <w:t>📊</w:t>
      </w:r>
      <w:r w:rsidRPr="00011261">
        <w:rPr>
          <w:rFonts w:ascii="Segoe UI" w:eastAsia="Times New Roman" w:hAnsi="Segoe UI" w:cs="Segoe UI"/>
          <w:b/>
          <w:bCs/>
          <w:color w:val="0D0D0D"/>
          <w:sz w:val="30"/>
          <w:szCs w:val="30"/>
          <w:lang w:eastAsia="en-IN"/>
        </w:rPr>
        <w:t>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1"/>
        <w:gridCol w:w="6809"/>
      </w:tblGrid>
      <w:tr w:rsidR="00011261" w:rsidRPr="00011261" w14:paraId="54631315" w14:textId="77777777" w:rsidTr="0001126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0222CFC" w14:textId="77777777" w:rsidR="00011261" w:rsidRPr="00011261" w:rsidRDefault="00011261" w:rsidP="00011261">
            <w:pPr>
              <w:spacing w:after="0" w:line="240" w:lineRule="atLeast"/>
              <w:jc w:val="center"/>
              <w:rPr>
                <w:rFonts w:ascii="Times New Roman" w:eastAsia="Times New Roman" w:hAnsi="Times New Roman" w:cs="Times New Roman"/>
                <w:b/>
                <w:bCs/>
                <w:color w:val="0D0D0D"/>
                <w:sz w:val="21"/>
                <w:szCs w:val="21"/>
                <w:lang w:eastAsia="en-IN"/>
              </w:rPr>
            </w:pPr>
            <w:r w:rsidRPr="00011261">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A2479D8" w14:textId="77777777" w:rsidR="00011261" w:rsidRPr="00011261" w:rsidRDefault="00011261" w:rsidP="00011261">
            <w:pPr>
              <w:spacing w:after="0" w:line="240" w:lineRule="atLeast"/>
              <w:jc w:val="center"/>
              <w:rPr>
                <w:rFonts w:ascii="Times New Roman" w:eastAsia="Times New Roman" w:hAnsi="Times New Roman" w:cs="Times New Roman"/>
                <w:b/>
                <w:bCs/>
                <w:color w:val="0D0D0D"/>
                <w:sz w:val="21"/>
                <w:szCs w:val="21"/>
                <w:lang w:eastAsia="en-IN"/>
              </w:rPr>
            </w:pPr>
            <w:r w:rsidRPr="00011261">
              <w:rPr>
                <w:rFonts w:ascii="Times New Roman" w:eastAsia="Times New Roman" w:hAnsi="Times New Roman" w:cs="Times New Roman"/>
                <w:b/>
                <w:bCs/>
                <w:color w:val="0D0D0D"/>
                <w:sz w:val="21"/>
                <w:szCs w:val="21"/>
                <w:lang w:eastAsia="en-IN"/>
              </w:rPr>
              <w:t>Details</w:t>
            </w:r>
          </w:p>
        </w:tc>
      </w:tr>
      <w:tr w:rsidR="00011261" w:rsidRPr="00011261" w14:paraId="014A2F41"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DFEEA2"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D2AD2B"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2024 – 2030</w:t>
            </w:r>
          </w:p>
        </w:tc>
      </w:tr>
      <w:tr w:rsidR="00011261" w:rsidRPr="00011261" w14:paraId="394B4A9B"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60381EB"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9BDBC8"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b/>
                <w:bCs/>
                <w:color w:val="0D0D0D"/>
                <w:sz w:val="21"/>
                <w:szCs w:val="21"/>
                <w:lang w:eastAsia="en-IN"/>
              </w:rPr>
              <w:t>USD 61.5 Million</w:t>
            </w:r>
          </w:p>
        </w:tc>
      </w:tr>
      <w:tr w:rsidR="00011261" w:rsidRPr="00011261" w14:paraId="78EE1511"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79EE52"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B87F08" w14:textId="6E0AE716"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b/>
                <w:bCs/>
                <w:color w:val="0D0D0D"/>
                <w:sz w:val="21"/>
                <w:szCs w:val="21"/>
                <w:lang w:eastAsia="en-IN"/>
              </w:rPr>
              <w:t xml:space="preserve">USD </w:t>
            </w:r>
            <w:r w:rsidR="00F62C78">
              <w:rPr>
                <w:rFonts w:ascii="Times New Roman" w:eastAsia="Times New Roman" w:hAnsi="Times New Roman" w:cs="Times New Roman"/>
                <w:b/>
                <w:bCs/>
                <w:color w:val="0D0D0D"/>
                <w:sz w:val="21"/>
                <w:szCs w:val="21"/>
                <w:lang w:eastAsia="en-IN"/>
              </w:rPr>
              <w:t>94.04</w:t>
            </w:r>
            <w:r w:rsidRPr="00011261">
              <w:rPr>
                <w:rFonts w:ascii="Times New Roman" w:eastAsia="Times New Roman" w:hAnsi="Times New Roman" w:cs="Times New Roman"/>
                <w:b/>
                <w:bCs/>
                <w:color w:val="0D0D0D"/>
                <w:sz w:val="21"/>
                <w:szCs w:val="21"/>
                <w:lang w:eastAsia="en-IN"/>
              </w:rPr>
              <w:t xml:space="preserve"> Million</w:t>
            </w:r>
          </w:p>
        </w:tc>
      </w:tr>
      <w:tr w:rsidR="00011261" w:rsidRPr="00011261" w14:paraId="007499E4"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AB3219"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ADCBEA" w14:textId="5F2D816A"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b/>
                <w:bCs/>
                <w:color w:val="0D0D0D"/>
                <w:sz w:val="21"/>
                <w:szCs w:val="21"/>
                <w:lang w:eastAsia="en-IN"/>
              </w:rPr>
              <w:t xml:space="preserve">CAGR of </w:t>
            </w:r>
            <w:r w:rsidR="00F62C78">
              <w:rPr>
                <w:rFonts w:ascii="Times New Roman" w:eastAsia="Times New Roman" w:hAnsi="Times New Roman" w:cs="Times New Roman"/>
                <w:b/>
                <w:bCs/>
                <w:color w:val="0D0D0D"/>
                <w:sz w:val="21"/>
                <w:szCs w:val="21"/>
                <w:lang w:eastAsia="en-IN"/>
              </w:rPr>
              <w:t>7.3</w:t>
            </w:r>
            <w:r w:rsidRPr="00011261">
              <w:rPr>
                <w:rFonts w:ascii="Times New Roman" w:eastAsia="Times New Roman" w:hAnsi="Times New Roman" w:cs="Times New Roman"/>
                <w:b/>
                <w:bCs/>
                <w:color w:val="0D0D0D"/>
                <w:sz w:val="21"/>
                <w:szCs w:val="21"/>
                <w:lang w:eastAsia="en-IN"/>
              </w:rPr>
              <w:t>% (2024 – 2030)</w:t>
            </w:r>
          </w:p>
        </w:tc>
      </w:tr>
      <w:tr w:rsidR="00011261" w:rsidRPr="00011261" w14:paraId="68826526"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440770E"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24028C"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2023</w:t>
            </w:r>
          </w:p>
        </w:tc>
      </w:tr>
      <w:tr w:rsidR="00011261" w:rsidRPr="00011261" w14:paraId="7CF1B4E0"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6F5268"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B96201"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2017 – 2021</w:t>
            </w:r>
          </w:p>
        </w:tc>
      </w:tr>
      <w:tr w:rsidR="00011261" w:rsidRPr="00011261" w14:paraId="265F268B"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B4E085"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1644EE"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USD Million, CAGR (2024 – 2030)</w:t>
            </w:r>
          </w:p>
        </w:tc>
      </w:tr>
      <w:tr w:rsidR="00011261" w:rsidRPr="00011261" w14:paraId="6FD63D0C"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56724C"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6B923F"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By Product Type, By Application, By End User, By Geography</w:t>
            </w:r>
          </w:p>
        </w:tc>
      </w:tr>
      <w:tr w:rsidR="00011261" w:rsidRPr="00011261" w14:paraId="72AEF2E6"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F0DE1D"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lastRenderedPageBreak/>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85AF9E"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Linearly Polarized, Circularly Polarized, Modular/Benchtop, Portable</w:t>
            </w:r>
          </w:p>
        </w:tc>
      </w:tr>
      <w:tr w:rsidR="00011261" w:rsidRPr="00011261" w14:paraId="18E1CC36"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A94BBB"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CB073F"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Protein Structure, Nucleic Acids, Chiral Materials, Biomanufacturing QC, Conformation Studies</w:t>
            </w:r>
          </w:p>
        </w:tc>
      </w:tr>
      <w:tr w:rsidR="00011261" w:rsidRPr="00011261" w14:paraId="7F01EE7A"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6402AB"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C725CC"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Pharma &amp; Biotech, Academia, CROs, Regulatory Labs</w:t>
            </w:r>
          </w:p>
        </w:tc>
      </w:tr>
      <w:tr w:rsidR="00011261" w:rsidRPr="00011261" w14:paraId="3827FD8E"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26C9C4"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171907"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North America, Europe, Asia-Pacific, Latin America, Middle East &amp; Africa</w:t>
            </w:r>
          </w:p>
        </w:tc>
      </w:tr>
      <w:tr w:rsidR="00011261" w:rsidRPr="00011261" w14:paraId="54C4CA8B"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370C85"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E845A5"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U.S., UK, Germany, China, India, Japan, Brazil, South Korea, Saudi Arabia</w:t>
            </w:r>
          </w:p>
        </w:tc>
      </w:tr>
      <w:tr w:rsidR="00011261" w:rsidRPr="00011261" w14:paraId="4DD699B3" w14:textId="77777777" w:rsidTr="0001126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9B1D26"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BA0ECE"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 Growth in biologics &amp; mRNA drugs</w:t>
            </w:r>
            <w:r w:rsidRPr="00011261">
              <w:rPr>
                <w:rFonts w:ascii="Times New Roman" w:eastAsia="Times New Roman" w:hAnsi="Times New Roman" w:cs="Times New Roman"/>
                <w:sz w:val="21"/>
                <w:szCs w:val="21"/>
                <w:lang w:eastAsia="en-IN"/>
              </w:rPr>
              <w:br/>
              <w:t>• Regulatory emphasis on structure validation</w:t>
            </w:r>
            <w:r w:rsidRPr="00011261">
              <w:rPr>
                <w:rFonts w:ascii="Times New Roman" w:eastAsia="Times New Roman" w:hAnsi="Times New Roman" w:cs="Times New Roman"/>
                <w:sz w:val="21"/>
                <w:szCs w:val="21"/>
                <w:lang w:eastAsia="en-IN"/>
              </w:rPr>
              <w:br/>
              <w:t>• Academic research funding</w:t>
            </w:r>
          </w:p>
        </w:tc>
      </w:tr>
      <w:tr w:rsidR="00011261" w:rsidRPr="00011261" w14:paraId="05ABEDA1" w14:textId="77777777" w:rsidTr="00011261">
        <w:trPr>
          <w:tblCellSpacing w:w="15" w:type="dxa"/>
        </w:trPr>
        <w:tc>
          <w:tcPr>
            <w:tcW w:w="0" w:type="auto"/>
            <w:tcMar>
              <w:top w:w="137" w:type="dxa"/>
              <w:left w:w="0" w:type="dxa"/>
              <w:bottom w:w="360" w:type="dxa"/>
              <w:right w:w="137" w:type="dxa"/>
            </w:tcMar>
            <w:vAlign w:val="bottom"/>
            <w:hideMark/>
          </w:tcPr>
          <w:p w14:paraId="3CD34FF4"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11AF1B03" w14:textId="77777777" w:rsidR="00011261" w:rsidRPr="00011261" w:rsidRDefault="00011261" w:rsidP="00011261">
            <w:pPr>
              <w:spacing w:after="0" w:line="240" w:lineRule="auto"/>
              <w:rPr>
                <w:rFonts w:ascii="Times New Roman" w:eastAsia="Times New Roman" w:hAnsi="Times New Roman" w:cs="Times New Roman"/>
                <w:sz w:val="21"/>
                <w:szCs w:val="21"/>
                <w:lang w:eastAsia="en-IN"/>
              </w:rPr>
            </w:pPr>
            <w:r w:rsidRPr="00011261">
              <w:rPr>
                <w:rFonts w:ascii="Times New Roman" w:eastAsia="Times New Roman" w:hAnsi="Times New Roman" w:cs="Times New Roman"/>
                <w:sz w:val="21"/>
                <w:szCs w:val="21"/>
                <w:lang w:eastAsia="en-IN"/>
              </w:rPr>
              <w:t>Available upon request</w:t>
            </w:r>
          </w:p>
        </w:tc>
      </w:tr>
    </w:tbl>
    <w:p w14:paraId="2FC7DB0F"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pict w14:anchorId="336CC8CF">
          <v:rect id="_x0000_i1092" style="width:0;height:0" o:hralign="center" o:hrstd="t" o:hrnoshade="t" o:hr="t" fillcolor="#0d0d0d" stroked="f"/>
        </w:pict>
      </w:r>
    </w:p>
    <w:p w14:paraId="212B9050"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Emoji" w:eastAsia="Times New Roman" w:hAnsi="Segoe UI Emoji" w:cs="Segoe UI Emoji"/>
          <w:b/>
          <w:bCs/>
          <w:color w:val="0D0D0D"/>
          <w:sz w:val="30"/>
          <w:szCs w:val="30"/>
          <w:lang w:eastAsia="en-IN"/>
        </w:rPr>
        <w:t>❓</w:t>
      </w:r>
      <w:r w:rsidRPr="00011261">
        <w:rPr>
          <w:rFonts w:ascii="Segoe UI" w:eastAsia="Times New Roman" w:hAnsi="Segoe UI" w:cs="Segoe UI"/>
          <w:b/>
          <w:bCs/>
          <w:color w:val="0D0D0D"/>
          <w:sz w:val="30"/>
          <w:szCs w:val="30"/>
          <w:lang w:eastAsia="en-IN"/>
        </w:rPr>
        <w:t> C. Top 5 FAQs</w:t>
      </w:r>
    </w:p>
    <w:p w14:paraId="1F4C19F1"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Q1. How big is the circular dichroism spectrometer market?</w:t>
      </w:r>
      <w:r w:rsidRPr="00011261">
        <w:rPr>
          <w:rFonts w:ascii="Segoe UI" w:eastAsia="Times New Roman" w:hAnsi="Segoe UI" w:cs="Segoe UI"/>
          <w:color w:val="0D0D0D"/>
          <w:sz w:val="24"/>
          <w:szCs w:val="24"/>
          <w:lang w:eastAsia="en-IN"/>
        </w:rPr>
        <w:br/>
        <w:t>The global circular dichroism spectrometer market was valued at </w:t>
      </w:r>
      <w:r w:rsidRPr="00011261">
        <w:rPr>
          <w:rFonts w:ascii="Segoe UI" w:eastAsia="Times New Roman" w:hAnsi="Segoe UI" w:cs="Segoe UI"/>
          <w:b/>
          <w:bCs/>
          <w:color w:val="0D0D0D"/>
          <w:sz w:val="24"/>
          <w:szCs w:val="24"/>
          <w:lang w:eastAsia="en-IN"/>
        </w:rPr>
        <w:t>USD 61.5 million</w:t>
      </w:r>
      <w:r w:rsidRPr="00011261">
        <w:rPr>
          <w:rFonts w:ascii="Segoe UI" w:eastAsia="Times New Roman" w:hAnsi="Segoe UI" w:cs="Segoe UI"/>
          <w:color w:val="0D0D0D"/>
          <w:sz w:val="24"/>
          <w:szCs w:val="24"/>
          <w:lang w:eastAsia="en-IN"/>
        </w:rPr>
        <w:t> in 2024.</w:t>
      </w:r>
    </w:p>
    <w:p w14:paraId="458BF3F7" w14:textId="4AA05A8C"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Q2. What is the CAGR for the circular dichroism spectrometer market during the forecast period?</w:t>
      </w:r>
      <w:r w:rsidRPr="00011261">
        <w:rPr>
          <w:rFonts w:ascii="Segoe UI" w:eastAsia="Times New Roman" w:hAnsi="Segoe UI" w:cs="Segoe UI"/>
          <w:color w:val="0D0D0D"/>
          <w:sz w:val="24"/>
          <w:szCs w:val="24"/>
          <w:lang w:eastAsia="en-IN"/>
        </w:rPr>
        <w:br/>
        <w:t>The market is expected to grow at a </w:t>
      </w:r>
      <w:r w:rsidRPr="00011261">
        <w:rPr>
          <w:rFonts w:ascii="Segoe UI" w:eastAsia="Times New Roman" w:hAnsi="Segoe UI" w:cs="Segoe UI"/>
          <w:b/>
          <w:bCs/>
          <w:color w:val="0D0D0D"/>
          <w:sz w:val="24"/>
          <w:szCs w:val="24"/>
          <w:lang w:eastAsia="en-IN"/>
        </w:rPr>
        <w:t xml:space="preserve">CAGR of </w:t>
      </w:r>
      <w:r w:rsidR="00F62C78">
        <w:rPr>
          <w:rFonts w:ascii="Segoe UI" w:eastAsia="Times New Roman" w:hAnsi="Segoe UI" w:cs="Segoe UI"/>
          <w:b/>
          <w:bCs/>
          <w:color w:val="0D0D0D"/>
          <w:sz w:val="24"/>
          <w:szCs w:val="24"/>
          <w:lang w:eastAsia="en-IN"/>
        </w:rPr>
        <w:t>7.3</w:t>
      </w:r>
      <w:r w:rsidRPr="00011261">
        <w:rPr>
          <w:rFonts w:ascii="Segoe UI" w:eastAsia="Times New Roman" w:hAnsi="Segoe UI" w:cs="Segoe UI"/>
          <w:b/>
          <w:bCs/>
          <w:color w:val="0D0D0D"/>
          <w:sz w:val="24"/>
          <w:szCs w:val="24"/>
          <w:lang w:eastAsia="en-IN"/>
        </w:rPr>
        <w:t>%</w:t>
      </w:r>
      <w:r w:rsidRPr="00011261">
        <w:rPr>
          <w:rFonts w:ascii="Segoe UI" w:eastAsia="Times New Roman" w:hAnsi="Segoe UI" w:cs="Segoe UI"/>
          <w:color w:val="0D0D0D"/>
          <w:sz w:val="24"/>
          <w:szCs w:val="24"/>
          <w:lang w:eastAsia="en-IN"/>
        </w:rPr>
        <w:t> from 2024 to 2030.</w:t>
      </w:r>
    </w:p>
    <w:p w14:paraId="251B142A"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Q3. Who are the major players in the circular dichroism spectrometer market?</w:t>
      </w:r>
      <w:r w:rsidRPr="00011261">
        <w:rPr>
          <w:rFonts w:ascii="Segoe UI" w:eastAsia="Times New Roman" w:hAnsi="Segoe UI" w:cs="Segoe UI"/>
          <w:color w:val="0D0D0D"/>
          <w:sz w:val="24"/>
          <w:szCs w:val="24"/>
          <w:lang w:eastAsia="en-IN"/>
        </w:rPr>
        <w:br/>
        <w:t>Leading players include </w:t>
      </w:r>
      <w:r w:rsidRPr="00011261">
        <w:rPr>
          <w:rFonts w:ascii="Segoe UI" w:eastAsia="Times New Roman" w:hAnsi="Segoe UI" w:cs="Segoe UI"/>
          <w:b/>
          <w:bCs/>
          <w:color w:val="0D0D0D"/>
          <w:sz w:val="24"/>
          <w:szCs w:val="24"/>
          <w:lang w:eastAsia="en-IN"/>
        </w:rPr>
        <w:t xml:space="preserve">JASCO Corporation, Applied </w:t>
      </w:r>
      <w:proofErr w:type="spellStart"/>
      <w:r w:rsidRPr="00011261">
        <w:rPr>
          <w:rFonts w:ascii="Segoe UI" w:eastAsia="Times New Roman" w:hAnsi="Segoe UI" w:cs="Segoe UI"/>
          <w:b/>
          <w:bCs/>
          <w:color w:val="0D0D0D"/>
          <w:sz w:val="24"/>
          <w:szCs w:val="24"/>
          <w:lang w:eastAsia="en-IN"/>
        </w:rPr>
        <w:t>Photophysics</w:t>
      </w:r>
      <w:proofErr w:type="spellEnd"/>
      <w:r w:rsidRPr="00011261">
        <w:rPr>
          <w:rFonts w:ascii="Segoe UI" w:eastAsia="Times New Roman" w:hAnsi="Segoe UI" w:cs="Segoe UI"/>
          <w:b/>
          <w:bCs/>
          <w:color w:val="0D0D0D"/>
          <w:sz w:val="24"/>
          <w:szCs w:val="24"/>
          <w:lang w:eastAsia="en-IN"/>
        </w:rPr>
        <w:t xml:space="preserve">, Bio-Logic, Aviv Biomedical, </w:t>
      </w:r>
      <w:proofErr w:type="spellStart"/>
      <w:r w:rsidRPr="00011261">
        <w:rPr>
          <w:rFonts w:ascii="Segoe UI" w:eastAsia="Times New Roman" w:hAnsi="Segoe UI" w:cs="Segoe UI"/>
          <w:b/>
          <w:bCs/>
          <w:color w:val="0D0D0D"/>
          <w:sz w:val="24"/>
          <w:szCs w:val="24"/>
          <w:lang w:eastAsia="en-IN"/>
        </w:rPr>
        <w:t>Olis</w:t>
      </w:r>
      <w:proofErr w:type="spellEnd"/>
      <w:r w:rsidRPr="00011261">
        <w:rPr>
          <w:rFonts w:ascii="Segoe UI" w:eastAsia="Times New Roman" w:hAnsi="Segoe UI" w:cs="Segoe UI"/>
          <w:b/>
          <w:bCs/>
          <w:color w:val="0D0D0D"/>
          <w:sz w:val="24"/>
          <w:szCs w:val="24"/>
          <w:lang w:eastAsia="en-IN"/>
        </w:rPr>
        <w:t xml:space="preserve"> Inc., HORIBA Scientific</w:t>
      </w:r>
      <w:r w:rsidRPr="00011261">
        <w:rPr>
          <w:rFonts w:ascii="Segoe UI" w:eastAsia="Times New Roman" w:hAnsi="Segoe UI" w:cs="Segoe UI"/>
          <w:color w:val="0D0D0D"/>
          <w:sz w:val="24"/>
          <w:szCs w:val="24"/>
          <w:lang w:eastAsia="en-IN"/>
        </w:rPr>
        <w:t>, and </w:t>
      </w:r>
      <w:r w:rsidRPr="00011261">
        <w:rPr>
          <w:rFonts w:ascii="Segoe UI" w:eastAsia="Times New Roman" w:hAnsi="Segoe UI" w:cs="Segoe UI"/>
          <w:b/>
          <w:bCs/>
          <w:color w:val="0D0D0D"/>
          <w:sz w:val="24"/>
          <w:szCs w:val="24"/>
          <w:lang w:eastAsia="en-IN"/>
        </w:rPr>
        <w:t>Hinds Instruments</w:t>
      </w:r>
      <w:r w:rsidRPr="00011261">
        <w:rPr>
          <w:rFonts w:ascii="Segoe UI" w:eastAsia="Times New Roman" w:hAnsi="Segoe UI" w:cs="Segoe UI"/>
          <w:color w:val="0D0D0D"/>
          <w:sz w:val="24"/>
          <w:szCs w:val="24"/>
          <w:lang w:eastAsia="en-IN"/>
        </w:rPr>
        <w:t>.</w:t>
      </w:r>
    </w:p>
    <w:p w14:paraId="1AE14309"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Q4. Which region dominates the circular dichroism spectrometer market?</w:t>
      </w:r>
      <w:r w:rsidRPr="00011261">
        <w:rPr>
          <w:rFonts w:ascii="Segoe UI" w:eastAsia="Times New Roman" w:hAnsi="Segoe UI" w:cs="Segoe UI"/>
          <w:color w:val="0D0D0D"/>
          <w:sz w:val="24"/>
          <w:szCs w:val="24"/>
          <w:lang w:eastAsia="en-IN"/>
        </w:rPr>
        <w:br/>
      </w:r>
      <w:r w:rsidRPr="00011261">
        <w:rPr>
          <w:rFonts w:ascii="Segoe UI" w:eastAsia="Times New Roman" w:hAnsi="Segoe UI" w:cs="Segoe UI"/>
          <w:b/>
          <w:bCs/>
          <w:color w:val="0D0D0D"/>
          <w:sz w:val="24"/>
          <w:szCs w:val="24"/>
          <w:lang w:eastAsia="en-IN"/>
        </w:rPr>
        <w:t>North America</w:t>
      </w:r>
      <w:r w:rsidRPr="00011261">
        <w:rPr>
          <w:rFonts w:ascii="Segoe UI" w:eastAsia="Times New Roman" w:hAnsi="Segoe UI" w:cs="Segoe UI"/>
          <w:color w:val="0D0D0D"/>
          <w:sz w:val="24"/>
          <w:szCs w:val="24"/>
          <w:lang w:eastAsia="en-IN"/>
        </w:rPr>
        <w:t> leads due to strong biopharma infrastructure and regulatory frameworks.</w:t>
      </w:r>
    </w:p>
    <w:p w14:paraId="4ED57773" w14:textId="77777777" w:rsidR="00011261" w:rsidRPr="00011261" w:rsidRDefault="00011261" w:rsidP="00011261">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11261">
        <w:rPr>
          <w:rFonts w:ascii="Segoe UI" w:eastAsia="Times New Roman" w:hAnsi="Segoe UI" w:cs="Segoe UI"/>
          <w:b/>
          <w:bCs/>
          <w:color w:val="0D0D0D"/>
          <w:sz w:val="24"/>
          <w:szCs w:val="24"/>
          <w:lang w:eastAsia="en-IN"/>
        </w:rPr>
        <w:t>Q5. What factors are driving the circular dichroism spectrometer market?</w:t>
      </w:r>
      <w:r w:rsidRPr="00011261">
        <w:rPr>
          <w:rFonts w:ascii="Segoe UI" w:eastAsia="Times New Roman" w:hAnsi="Segoe UI" w:cs="Segoe UI"/>
          <w:color w:val="0D0D0D"/>
          <w:sz w:val="24"/>
          <w:szCs w:val="24"/>
          <w:lang w:eastAsia="en-IN"/>
        </w:rPr>
        <w:br/>
        <w:t xml:space="preserve">Growth is </w:t>
      </w:r>
      <w:proofErr w:type="spellStart"/>
      <w:r w:rsidRPr="00011261">
        <w:rPr>
          <w:rFonts w:ascii="Segoe UI" w:eastAsia="Times New Roman" w:hAnsi="Segoe UI" w:cs="Segoe UI"/>
          <w:color w:val="0D0D0D"/>
          <w:sz w:val="24"/>
          <w:szCs w:val="24"/>
          <w:lang w:eastAsia="en-IN"/>
        </w:rPr>
        <w:t>fueled</w:t>
      </w:r>
      <w:proofErr w:type="spellEnd"/>
      <w:r w:rsidRPr="00011261">
        <w:rPr>
          <w:rFonts w:ascii="Segoe UI" w:eastAsia="Times New Roman" w:hAnsi="Segoe UI" w:cs="Segoe UI"/>
          <w:color w:val="0D0D0D"/>
          <w:sz w:val="24"/>
          <w:szCs w:val="24"/>
          <w:lang w:eastAsia="en-IN"/>
        </w:rPr>
        <w:t xml:space="preserve"> by </w:t>
      </w:r>
      <w:r w:rsidRPr="00011261">
        <w:rPr>
          <w:rFonts w:ascii="Segoe UI" w:eastAsia="Times New Roman" w:hAnsi="Segoe UI" w:cs="Segoe UI"/>
          <w:b/>
          <w:bCs/>
          <w:color w:val="0D0D0D"/>
          <w:sz w:val="24"/>
          <w:szCs w:val="24"/>
          <w:lang w:eastAsia="en-IN"/>
        </w:rPr>
        <w:t>biopharma expansion, academic research, and increasing structural validation requirements</w:t>
      </w:r>
      <w:r w:rsidRPr="00011261">
        <w:rPr>
          <w:rFonts w:ascii="Segoe UI" w:eastAsia="Times New Roman" w:hAnsi="Segoe UI" w:cs="Segoe UI"/>
          <w:color w:val="0D0D0D"/>
          <w:sz w:val="24"/>
          <w:szCs w:val="24"/>
          <w:lang w:eastAsia="en-IN"/>
        </w:rPr>
        <w:t>.</w:t>
      </w:r>
    </w:p>
    <w:p w14:paraId="6E54660B" w14:textId="77777777" w:rsidR="00011261" w:rsidRPr="00011261" w:rsidRDefault="00011261" w:rsidP="00011261">
      <w:pPr>
        <w:spacing w:before="720" w:after="720" w:line="240" w:lineRule="auto"/>
        <w:rPr>
          <w:rFonts w:ascii="Times New Roman" w:eastAsia="Times New Roman" w:hAnsi="Times New Roman" w:cs="Times New Roman"/>
          <w:sz w:val="24"/>
          <w:szCs w:val="24"/>
          <w:lang w:eastAsia="en-IN"/>
        </w:rPr>
      </w:pPr>
      <w:r w:rsidRPr="00011261">
        <w:rPr>
          <w:rFonts w:ascii="Times New Roman" w:eastAsia="Times New Roman" w:hAnsi="Times New Roman" w:cs="Times New Roman"/>
          <w:sz w:val="24"/>
          <w:szCs w:val="24"/>
          <w:lang w:eastAsia="en-IN"/>
        </w:rPr>
        <w:lastRenderedPageBreak/>
        <w:pict w14:anchorId="6F607F2B">
          <v:rect id="_x0000_i1093" style="width:0;height:0" o:hralign="center" o:hrstd="t" o:hrnoshade="t" o:hr="t" fillcolor="#0d0d0d" stroked="f"/>
        </w:pict>
      </w:r>
    </w:p>
    <w:p w14:paraId="36DBAA15" w14:textId="77777777" w:rsidR="00011261" w:rsidRPr="00011261" w:rsidRDefault="00011261" w:rsidP="00011261">
      <w:pPr>
        <w:shd w:val="clear" w:color="auto" w:fill="FFFFFF"/>
        <w:spacing w:after="0" w:line="240" w:lineRule="auto"/>
        <w:outlineLvl w:val="2"/>
        <w:rPr>
          <w:rFonts w:ascii="Segoe UI" w:eastAsia="Times New Roman" w:hAnsi="Segoe UI" w:cs="Segoe UI"/>
          <w:b/>
          <w:bCs/>
          <w:color w:val="0D0D0D"/>
          <w:sz w:val="30"/>
          <w:szCs w:val="30"/>
          <w:lang w:eastAsia="en-IN"/>
        </w:rPr>
      </w:pPr>
      <w:r w:rsidRPr="00011261">
        <w:rPr>
          <w:rFonts w:ascii="Segoe UI Emoji" w:eastAsia="Times New Roman" w:hAnsi="Segoe UI Emoji" w:cs="Segoe UI Emoji"/>
          <w:b/>
          <w:bCs/>
          <w:color w:val="0D0D0D"/>
          <w:sz w:val="30"/>
          <w:szCs w:val="30"/>
          <w:lang w:eastAsia="en-IN"/>
        </w:rPr>
        <w:t>🧩</w:t>
      </w:r>
      <w:r w:rsidRPr="00011261">
        <w:rPr>
          <w:rFonts w:ascii="Segoe UI" w:eastAsia="Times New Roman" w:hAnsi="Segoe UI" w:cs="Segoe UI"/>
          <w:b/>
          <w:bCs/>
          <w:color w:val="0D0D0D"/>
          <w:sz w:val="30"/>
          <w:szCs w:val="30"/>
          <w:lang w:eastAsia="en-IN"/>
        </w:rPr>
        <w:t> D. Schema Markup</w:t>
      </w:r>
    </w:p>
    <w:p w14:paraId="2418CBA9"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1. Breadcrumb Schema</w:t>
      </w:r>
    </w:p>
    <w:p w14:paraId="6649D8AD" w14:textId="77777777" w:rsidR="00011261" w:rsidRPr="00011261" w:rsidRDefault="00011261" w:rsidP="000112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11261">
        <w:rPr>
          <w:rFonts w:ascii="Segoe UI" w:eastAsia="Times New Roman" w:hAnsi="Segoe UI" w:cs="Segoe UI"/>
          <w:color w:val="5D5D5D"/>
          <w:sz w:val="18"/>
          <w:szCs w:val="18"/>
          <w:lang w:eastAsia="en-IN"/>
        </w:rPr>
        <w:t>json</w:t>
      </w:r>
    </w:p>
    <w:p w14:paraId="3A0A4D39" w14:textId="77777777" w:rsidR="00011261" w:rsidRPr="00011261" w:rsidRDefault="00011261" w:rsidP="000112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11261">
        <w:rPr>
          <w:rFonts w:ascii="Segoe UI" w:eastAsia="Times New Roman" w:hAnsi="Segoe UI" w:cs="Segoe UI"/>
          <w:color w:val="5D5D5D"/>
          <w:sz w:val="18"/>
          <w:szCs w:val="18"/>
          <w:lang w:eastAsia="en-IN"/>
        </w:rPr>
        <w:t>Copy code</w:t>
      </w:r>
    </w:p>
    <w:p w14:paraId="38415E85" w14:textId="262EF16F" w:rsidR="00011261" w:rsidRPr="00011261" w:rsidRDefault="00011261" w:rsidP="000112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"@context"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"https://schema.org"</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w:t>
      </w:r>
      <w:proofErr w:type="spellStart"/>
      <w:r w:rsidRPr="00011261">
        <w:rPr>
          <w:rFonts w:ascii="Courier New" w:eastAsia="Times New Roman" w:hAnsi="Courier New" w:cs="Courier New"/>
          <w:color w:val="50A14F"/>
          <w:sz w:val="20"/>
          <w:szCs w:val="20"/>
          <w:lang w:eastAsia="en-IN"/>
        </w:rPr>
        <w:t>BreadcrumbList</w:t>
      </w:r>
      <w:proofErr w:type="spellEnd"/>
      <w:r w:rsidRPr="00011261">
        <w:rPr>
          <w:rFonts w:ascii="Courier New" w:eastAsia="Times New Roman" w:hAnsi="Courier New" w:cs="Courier New"/>
          <w:color w:val="50A14F"/>
          <w:sz w:val="20"/>
          <w:szCs w:val="20"/>
          <w:lang w:eastAsia="en-IN"/>
        </w:rPr>
        <w: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w:t>
      </w:r>
      <w:proofErr w:type="spellStart"/>
      <w:r w:rsidRPr="00011261">
        <w:rPr>
          <w:rFonts w:ascii="Courier New" w:eastAsia="Times New Roman" w:hAnsi="Courier New" w:cs="Courier New"/>
          <w:color w:val="986801"/>
          <w:sz w:val="20"/>
          <w:szCs w:val="20"/>
          <w:lang w:eastAsia="en-IN"/>
        </w:rPr>
        <w:t>itemListElement</w:t>
      </w:r>
      <w:proofErr w:type="spellEnd"/>
      <w:r w:rsidRPr="00011261">
        <w:rPr>
          <w:rFonts w:ascii="Courier New" w:eastAsia="Times New Roman" w:hAnsi="Courier New" w:cs="Courier New"/>
          <w:color w:val="986801"/>
          <w:sz w:val="20"/>
          <w:szCs w:val="20"/>
          <w:lang w:eastAsia="en-IN"/>
        </w:rPr>
        <w:t>"</w:t>
      </w:r>
      <w:r w:rsidRPr="00011261">
        <w:rPr>
          <w:rFonts w:ascii="Courier New" w:eastAsia="Times New Roman" w:hAnsi="Courier New" w:cs="Courier New"/>
          <w:color w:val="383A42"/>
          <w:sz w:val="20"/>
          <w:szCs w:val="20"/>
          <w:lang w:eastAsia="en-IN"/>
        </w:rPr>
        <w:t xml:space="preserve">: [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w:t>
      </w:r>
      <w:proofErr w:type="spellStart"/>
      <w:r w:rsidRPr="00011261">
        <w:rPr>
          <w:rFonts w:ascii="Courier New" w:eastAsia="Times New Roman" w:hAnsi="Courier New" w:cs="Courier New"/>
          <w:color w:val="50A14F"/>
          <w:sz w:val="20"/>
          <w:szCs w:val="20"/>
          <w:lang w:eastAsia="en-IN"/>
        </w:rPr>
        <w:t>ListItem</w:t>
      </w:r>
      <w:proofErr w:type="spellEnd"/>
      <w:r w:rsidRPr="00011261">
        <w:rPr>
          <w:rFonts w:ascii="Courier New" w:eastAsia="Times New Roman" w:hAnsi="Courier New" w:cs="Courier New"/>
          <w:color w:val="50A14F"/>
          <w:sz w:val="20"/>
          <w:szCs w:val="20"/>
          <w:lang w:eastAsia="en-IN"/>
        </w:rPr>
        <w: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"position"</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1</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"name"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"Home"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"item"</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"https://www.strategicmarketresearch.com/"</w:t>
      </w:r>
      <w:r w:rsidRPr="00011261">
        <w:rPr>
          <w:rFonts w:ascii="Courier New" w:eastAsia="Times New Roman" w:hAnsi="Courier New" w:cs="Courier New"/>
          <w:color w:val="383A42"/>
          <w:sz w:val="20"/>
          <w:szCs w:val="20"/>
          <w:lang w:eastAsia="en-IN"/>
        </w:rPr>
        <w:t xml:space="preserve"> },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w:t>
      </w:r>
      <w:proofErr w:type="spellStart"/>
      <w:r w:rsidRPr="00011261">
        <w:rPr>
          <w:rFonts w:ascii="Courier New" w:eastAsia="Times New Roman" w:hAnsi="Courier New" w:cs="Courier New"/>
          <w:color w:val="50A14F"/>
          <w:sz w:val="20"/>
          <w:szCs w:val="20"/>
          <w:lang w:eastAsia="en-IN"/>
        </w:rPr>
        <w:t>ListItem</w:t>
      </w:r>
      <w:proofErr w:type="spellEnd"/>
      <w:r w:rsidRPr="00011261">
        <w:rPr>
          <w:rFonts w:ascii="Courier New" w:eastAsia="Times New Roman" w:hAnsi="Courier New" w:cs="Courier New"/>
          <w:color w:val="50A14F"/>
          <w:sz w:val="20"/>
          <w:szCs w:val="20"/>
          <w:lang w:eastAsia="en-IN"/>
        </w:rPr>
        <w: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"position"</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2</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"name"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w:t>
      </w:r>
      <w:r w:rsidR="00F62C78">
        <w:rPr>
          <w:rFonts w:ascii="Courier New" w:eastAsia="Times New Roman" w:hAnsi="Courier New" w:cs="Courier New"/>
          <w:color w:val="50A14F"/>
          <w:sz w:val="20"/>
          <w:szCs w:val="20"/>
          <w:lang w:eastAsia="en-IN"/>
        </w:rPr>
        <w:t>Healthcare</w:t>
      </w:r>
      <w:r w:rsidRPr="00011261">
        <w:rPr>
          <w:rFonts w:ascii="Courier New" w:eastAsia="Times New Roman" w:hAnsi="Courier New" w:cs="Courier New"/>
          <w:color w:val="50A14F"/>
          <w:sz w:val="20"/>
          <w:szCs w:val="20"/>
          <w:lang w:eastAsia="en-IN"/>
        </w:rPr>
        <w: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"item"</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"https://www.strategicmarketresearch.com/reports/</w:t>
      </w:r>
      <w:r w:rsidR="00F62C78">
        <w:rPr>
          <w:rFonts w:ascii="Courier New" w:eastAsia="Times New Roman" w:hAnsi="Courier New" w:cs="Courier New"/>
          <w:color w:val="50A14F"/>
          <w:sz w:val="20"/>
          <w:szCs w:val="20"/>
          <w:lang w:eastAsia="en-IN"/>
        </w:rPr>
        <w:t>healthcare</w:t>
      </w:r>
      <w:r w:rsidRPr="00011261">
        <w:rPr>
          <w:rFonts w:ascii="Courier New" w:eastAsia="Times New Roman" w:hAnsi="Courier New" w:cs="Courier New"/>
          <w:color w:val="50A14F"/>
          <w:sz w:val="20"/>
          <w:szCs w:val="20"/>
          <w:lang w:eastAsia="en-IN"/>
        </w:rPr>
        <w:t>"</w:t>
      </w:r>
      <w:r w:rsidRPr="00011261">
        <w:rPr>
          <w:rFonts w:ascii="Courier New" w:eastAsia="Times New Roman" w:hAnsi="Courier New" w:cs="Courier New"/>
          <w:color w:val="383A42"/>
          <w:sz w:val="20"/>
          <w:szCs w:val="20"/>
          <w:lang w:eastAsia="en-IN"/>
        </w:rPr>
        <w:t xml:space="preserve"> },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w:t>
      </w:r>
      <w:proofErr w:type="spellStart"/>
      <w:r w:rsidRPr="00011261">
        <w:rPr>
          <w:rFonts w:ascii="Courier New" w:eastAsia="Times New Roman" w:hAnsi="Courier New" w:cs="Courier New"/>
          <w:color w:val="50A14F"/>
          <w:sz w:val="20"/>
          <w:szCs w:val="20"/>
          <w:lang w:eastAsia="en-IN"/>
        </w:rPr>
        <w:t>ListItem</w:t>
      </w:r>
      <w:proofErr w:type="spellEnd"/>
      <w:r w:rsidRPr="00011261">
        <w:rPr>
          <w:rFonts w:ascii="Courier New" w:eastAsia="Times New Roman" w:hAnsi="Courier New" w:cs="Courier New"/>
          <w:color w:val="50A14F"/>
          <w:sz w:val="20"/>
          <w:szCs w:val="20"/>
          <w:lang w:eastAsia="en-IN"/>
        </w:rPr>
        <w: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"position"</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3</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"name"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"Circular Dichroism Spectrometer Market Report 2030"</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"item"</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"https://www.strategicmarketresearch.com/market-report/circular-dichroism-spectrometer-market"</w:t>
      </w:r>
      <w:r w:rsidRPr="00011261">
        <w:rPr>
          <w:rFonts w:ascii="Courier New" w:eastAsia="Times New Roman" w:hAnsi="Courier New" w:cs="Courier New"/>
          <w:color w:val="383A42"/>
          <w:sz w:val="20"/>
          <w:szCs w:val="20"/>
          <w:lang w:eastAsia="en-IN"/>
        </w:rPr>
        <w:t xml:space="preserve"> } ] } </w:t>
      </w:r>
    </w:p>
    <w:p w14:paraId="3ED3F3DA" w14:textId="77777777" w:rsidR="00011261" w:rsidRPr="00011261" w:rsidRDefault="00011261" w:rsidP="00011261">
      <w:pPr>
        <w:shd w:val="clear" w:color="auto" w:fill="FFFFFF"/>
        <w:spacing w:after="0" w:line="240" w:lineRule="auto"/>
        <w:outlineLvl w:val="3"/>
        <w:rPr>
          <w:rFonts w:ascii="Segoe UI" w:eastAsia="Times New Roman" w:hAnsi="Segoe UI" w:cs="Segoe UI"/>
          <w:b/>
          <w:bCs/>
          <w:color w:val="0D0D0D"/>
          <w:sz w:val="24"/>
          <w:szCs w:val="24"/>
          <w:lang w:eastAsia="en-IN"/>
        </w:rPr>
      </w:pPr>
      <w:r w:rsidRPr="00011261">
        <w:rPr>
          <w:rFonts w:ascii="Segoe UI" w:eastAsia="Times New Roman" w:hAnsi="Segoe UI" w:cs="Segoe UI"/>
          <w:b/>
          <w:bCs/>
          <w:color w:val="0D0D0D"/>
          <w:sz w:val="24"/>
          <w:szCs w:val="24"/>
          <w:lang w:eastAsia="en-IN"/>
        </w:rPr>
        <w:t>2. FAQ Schema</w:t>
      </w:r>
    </w:p>
    <w:p w14:paraId="643EBC5F" w14:textId="77777777" w:rsidR="00011261" w:rsidRPr="00011261" w:rsidRDefault="00011261" w:rsidP="000112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11261">
        <w:rPr>
          <w:rFonts w:ascii="Segoe UI" w:eastAsia="Times New Roman" w:hAnsi="Segoe UI" w:cs="Segoe UI"/>
          <w:color w:val="5D5D5D"/>
          <w:sz w:val="18"/>
          <w:szCs w:val="18"/>
          <w:lang w:eastAsia="en-IN"/>
        </w:rPr>
        <w:t>json</w:t>
      </w:r>
    </w:p>
    <w:p w14:paraId="55CD81F8" w14:textId="77777777" w:rsidR="00011261" w:rsidRPr="00011261" w:rsidRDefault="00011261" w:rsidP="000112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11261">
        <w:rPr>
          <w:rFonts w:ascii="Segoe UI" w:eastAsia="Times New Roman" w:hAnsi="Segoe UI" w:cs="Segoe UI"/>
          <w:color w:val="5D5D5D"/>
          <w:sz w:val="18"/>
          <w:szCs w:val="18"/>
          <w:lang w:eastAsia="en-IN"/>
        </w:rPr>
        <w:t>Copy code</w:t>
      </w:r>
    </w:p>
    <w:p w14:paraId="47FFF1CB" w14:textId="1BF79610" w:rsidR="00011261" w:rsidRPr="00011261" w:rsidRDefault="00011261" w:rsidP="0001126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"@context"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"https://schema.org"</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w:t>
      </w:r>
      <w:proofErr w:type="spellStart"/>
      <w:r w:rsidRPr="00011261">
        <w:rPr>
          <w:rFonts w:ascii="Courier New" w:eastAsia="Times New Roman" w:hAnsi="Courier New" w:cs="Courier New"/>
          <w:color w:val="50A14F"/>
          <w:sz w:val="20"/>
          <w:szCs w:val="20"/>
          <w:lang w:eastAsia="en-IN"/>
        </w:rPr>
        <w:t>FAQPage</w:t>
      </w:r>
      <w:proofErr w:type="spellEnd"/>
      <w:r w:rsidRPr="00011261">
        <w:rPr>
          <w:rFonts w:ascii="Courier New" w:eastAsia="Times New Roman" w:hAnsi="Courier New" w:cs="Courier New"/>
          <w:color w:val="50A14F"/>
          <w:sz w:val="20"/>
          <w:szCs w:val="20"/>
          <w:lang w:eastAsia="en-IN"/>
        </w:rPr>
        <w: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w:t>
      </w:r>
      <w:proofErr w:type="spellStart"/>
      <w:r w:rsidRPr="00011261">
        <w:rPr>
          <w:rFonts w:ascii="Courier New" w:eastAsia="Times New Roman" w:hAnsi="Courier New" w:cs="Courier New"/>
          <w:color w:val="986801"/>
          <w:sz w:val="20"/>
          <w:szCs w:val="20"/>
          <w:lang w:eastAsia="en-IN"/>
        </w:rPr>
        <w:t>mainEntity</w:t>
      </w:r>
      <w:proofErr w:type="spellEnd"/>
      <w:r w:rsidRPr="00011261">
        <w:rPr>
          <w:rFonts w:ascii="Courier New" w:eastAsia="Times New Roman" w:hAnsi="Courier New" w:cs="Courier New"/>
          <w:color w:val="986801"/>
          <w:sz w:val="20"/>
          <w:szCs w:val="20"/>
          <w:lang w:eastAsia="en-IN"/>
        </w:rPr>
        <w:t>"</w:t>
      </w:r>
      <w:r w:rsidRPr="00011261">
        <w:rPr>
          <w:rFonts w:ascii="Courier New" w:eastAsia="Times New Roman" w:hAnsi="Courier New" w:cs="Courier New"/>
          <w:color w:val="383A42"/>
          <w:sz w:val="20"/>
          <w:szCs w:val="20"/>
          <w:lang w:eastAsia="en-IN"/>
        </w:rPr>
        <w:t xml:space="preserve">: [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"Question"</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"name"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"How big is the circular dichroism spectrometer market?"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w:t>
      </w:r>
      <w:proofErr w:type="spellStart"/>
      <w:r w:rsidRPr="00011261">
        <w:rPr>
          <w:rFonts w:ascii="Courier New" w:eastAsia="Times New Roman" w:hAnsi="Courier New" w:cs="Courier New"/>
          <w:color w:val="986801"/>
          <w:sz w:val="20"/>
          <w:szCs w:val="20"/>
          <w:lang w:eastAsia="en-IN"/>
        </w:rPr>
        <w:t>acceptedAnswer</w:t>
      </w:r>
      <w:proofErr w:type="spellEnd"/>
      <w:r w:rsidRPr="00011261">
        <w:rPr>
          <w:rFonts w:ascii="Courier New" w:eastAsia="Times New Roman" w:hAnsi="Courier New" w:cs="Courier New"/>
          <w:color w:val="986801"/>
          <w:sz w:val="20"/>
          <w:szCs w:val="20"/>
          <w:lang w:eastAsia="en-IN"/>
        </w:rPr>
        <w:t>"</w:t>
      </w:r>
      <w:r w:rsidRPr="00011261">
        <w:rPr>
          <w:rFonts w:ascii="Courier New" w:eastAsia="Times New Roman" w:hAnsi="Courier New" w:cs="Courier New"/>
          <w:color w:val="383A42"/>
          <w:sz w:val="20"/>
          <w:szCs w:val="20"/>
          <w:lang w:eastAsia="en-IN"/>
        </w:rPr>
        <w:t xml:space="preserve">: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"Answer"</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"text"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"The global circular dichroism spectrometer market was valued at USD 61.5 million in 2024."</w:t>
      </w:r>
      <w:r w:rsidRPr="00011261">
        <w:rPr>
          <w:rFonts w:ascii="Courier New" w:eastAsia="Times New Roman" w:hAnsi="Courier New" w:cs="Courier New"/>
          <w:color w:val="383A42"/>
          <w:sz w:val="20"/>
          <w:szCs w:val="20"/>
          <w:lang w:eastAsia="en-IN"/>
        </w:rPr>
        <w:t xml:space="preserve"> } },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"Question"</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"name"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"What is the CAGR for the circular dichroism spectrometer market during the forecast period?"</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w:t>
      </w:r>
      <w:proofErr w:type="spellStart"/>
      <w:r w:rsidRPr="00011261">
        <w:rPr>
          <w:rFonts w:ascii="Courier New" w:eastAsia="Times New Roman" w:hAnsi="Courier New" w:cs="Courier New"/>
          <w:color w:val="986801"/>
          <w:sz w:val="20"/>
          <w:szCs w:val="20"/>
          <w:lang w:eastAsia="en-IN"/>
        </w:rPr>
        <w:t>acceptedAnswer</w:t>
      </w:r>
      <w:proofErr w:type="spellEnd"/>
      <w:r w:rsidRPr="00011261">
        <w:rPr>
          <w:rFonts w:ascii="Courier New" w:eastAsia="Times New Roman" w:hAnsi="Courier New" w:cs="Courier New"/>
          <w:color w:val="986801"/>
          <w:sz w:val="20"/>
          <w:szCs w:val="20"/>
          <w:lang w:eastAsia="en-IN"/>
        </w:rPr>
        <w:t>"</w:t>
      </w:r>
      <w:r w:rsidRPr="00011261">
        <w:rPr>
          <w:rFonts w:ascii="Courier New" w:eastAsia="Times New Roman" w:hAnsi="Courier New" w:cs="Courier New"/>
          <w:color w:val="383A42"/>
          <w:sz w:val="20"/>
          <w:szCs w:val="20"/>
          <w:lang w:eastAsia="en-IN"/>
        </w:rPr>
        <w:t xml:space="preserve">: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"Answer"</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"text"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 xml:space="preserve">"The market is expected to grow at a CAGR of </w:t>
      </w:r>
      <w:r w:rsidR="00F62C78">
        <w:rPr>
          <w:rFonts w:ascii="Courier New" w:eastAsia="Times New Roman" w:hAnsi="Courier New" w:cs="Courier New"/>
          <w:color w:val="50A14F"/>
          <w:sz w:val="20"/>
          <w:szCs w:val="20"/>
          <w:lang w:eastAsia="en-IN"/>
        </w:rPr>
        <w:t>7.3</w:t>
      </w:r>
      <w:r w:rsidRPr="00011261">
        <w:rPr>
          <w:rFonts w:ascii="Courier New" w:eastAsia="Times New Roman" w:hAnsi="Courier New" w:cs="Courier New"/>
          <w:color w:val="50A14F"/>
          <w:sz w:val="20"/>
          <w:szCs w:val="20"/>
          <w:lang w:eastAsia="en-IN"/>
        </w:rPr>
        <w:t>% from 2024 to 2030."</w:t>
      </w:r>
      <w:r w:rsidRPr="00011261">
        <w:rPr>
          <w:rFonts w:ascii="Courier New" w:eastAsia="Times New Roman" w:hAnsi="Courier New" w:cs="Courier New"/>
          <w:color w:val="383A42"/>
          <w:sz w:val="20"/>
          <w:szCs w:val="20"/>
          <w:lang w:eastAsia="en-IN"/>
        </w:rPr>
        <w:t xml:space="preserve"> } },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"Question"</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"name"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"Who are the major players in the circular dichroism spectrometer market?"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w:t>
      </w:r>
      <w:proofErr w:type="spellStart"/>
      <w:r w:rsidRPr="00011261">
        <w:rPr>
          <w:rFonts w:ascii="Courier New" w:eastAsia="Times New Roman" w:hAnsi="Courier New" w:cs="Courier New"/>
          <w:color w:val="986801"/>
          <w:sz w:val="20"/>
          <w:szCs w:val="20"/>
          <w:lang w:eastAsia="en-IN"/>
        </w:rPr>
        <w:t>acceptedAnswer</w:t>
      </w:r>
      <w:proofErr w:type="spellEnd"/>
      <w:r w:rsidRPr="00011261">
        <w:rPr>
          <w:rFonts w:ascii="Courier New" w:eastAsia="Times New Roman" w:hAnsi="Courier New" w:cs="Courier New"/>
          <w:color w:val="986801"/>
          <w:sz w:val="20"/>
          <w:szCs w:val="20"/>
          <w:lang w:eastAsia="en-IN"/>
        </w:rPr>
        <w:t>"</w:t>
      </w:r>
      <w:r w:rsidRPr="00011261">
        <w:rPr>
          <w:rFonts w:ascii="Courier New" w:eastAsia="Times New Roman" w:hAnsi="Courier New" w:cs="Courier New"/>
          <w:color w:val="383A42"/>
          <w:sz w:val="20"/>
          <w:szCs w:val="20"/>
          <w:lang w:eastAsia="en-IN"/>
        </w:rPr>
        <w:t xml:space="preserve">: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"Answer"</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"text"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 xml:space="preserve">"Leading players include JASCO Corporation, Applied </w:t>
      </w:r>
      <w:proofErr w:type="spellStart"/>
      <w:r w:rsidRPr="00011261">
        <w:rPr>
          <w:rFonts w:ascii="Courier New" w:eastAsia="Times New Roman" w:hAnsi="Courier New" w:cs="Courier New"/>
          <w:color w:val="50A14F"/>
          <w:sz w:val="20"/>
          <w:szCs w:val="20"/>
          <w:lang w:eastAsia="en-IN"/>
        </w:rPr>
        <w:t>Photophysics</w:t>
      </w:r>
      <w:proofErr w:type="spellEnd"/>
      <w:r w:rsidRPr="00011261">
        <w:rPr>
          <w:rFonts w:ascii="Courier New" w:eastAsia="Times New Roman" w:hAnsi="Courier New" w:cs="Courier New"/>
          <w:color w:val="50A14F"/>
          <w:sz w:val="20"/>
          <w:szCs w:val="20"/>
          <w:lang w:eastAsia="en-IN"/>
        </w:rPr>
        <w:t xml:space="preserve">, Bio-Logic, Aviv Biomedical, </w:t>
      </w:r>
      <w:proofErr w:type="spellStart"/>
      <w:r w:rsidRPr="00011261">
        <w:rPr>
          <w:rFonts w:ascii="Courier New" w:eastAsia="Times New Roman" w:hAnsi="Courier New" w:cs="Courier New"/>
          <w:color w:val="50A14F"/>
          <w:sz w:val="20"/>
          <w:szCs w:val="20"/>
          <w:lang w:eastAsia="en-IN"/>
        </w:rPr>
        <w:t>Olis</w:t>
      </w:r>
      <w:proofErr w:type="spellEnd"/>
      <w:r w:rsidRPr="00011261">
        <w:rPr>
          <w:rFonts w:ascii="Courier New" w:eastAsia="Times New Roman" w:hAnsi="Courier New" w:cs="Courier New"/>
          <w:color w:val="50A14F"/>
          <w:sz w:val="20"/>
          <w:szCs w:val="20"/>
          <w:lang w:eastAsia="en-IN"/>
        </w:rPr>
        <w:t xml:space="preserve"> Inc., HORIBA Scientific, and Hinds Instruments."</w:t>
      </w:r>
      <w:r w:rsidRPr="00011261">
        <w:rPr>
          <w:rFonts w:ascii="Courier New" w:eastAsia="Times New Roman" w:hAnsi="Courier New" w:cs="Courier New"/>
          <w:color w:val="383A42"/>
          <w:sz w:val="20"/>
          <w:szCs w:val="20"/>
          <w:lang w:eastAsia="en-IN"/>
        </w:rPr>
        <w:t xml:space="preserve"> } },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"Question"</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"name"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"Which region dominates the circular dichroism spectrometer market?"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w:t>
      </w:r>
      <w:proofErr w:type="spellStart"/>
      <w:r w:rsidRPr="00011261">
        <w:rPr>
          <w:rFonts w:ascii="Courier New" w:eastAsia="Times New Roman" w:hAnsi="Courier New" w:cs="Courier New"/>
          <w:color w:val="986801"/>
          <w:sz w:val="20"/>
          <w:szCs w:val="20"/>
          <w:lang w:eastAsia="en-IN"/>
        </w:rPr>
        <w:t>acceptedAnswer</w:t>
      </w:r>
      <w:proofErr w:type="spellEnd"/>
      <w:r w:rsidRPr="00011261">
        <w:rPr>
          <w:rFonts w:ascii="Courier New" w:eastAsia="Times New Roman" w:hAnsi="Courier New" w:cs="Courier New"/>
          <w:color w:val="986801"/>
          <w:sz w:val="20"/>
          <w:szCs w:val="20"/>
          <w:lang w:eastAsia="en-IN"/>
        </w:rPr>
        <w:t>"</w:t>
      </w:r>
      <w:r w:rsidRPr="00011261">
        <w:rPr>
          <w:rFonts w:ascii="Courier New" w:eastAsia="Times New Roman" w:hAnsi="Courier New" w:cs="Courier New"/>
          <w:color w:val="383A42"/>
          <w:sz w:val="20"/>
          <w:szCs w:val="20"/>
          <w:lang w:eastAsia="en-IN"/>
        </w:rPr>
        <w:t xml:space="preserve">: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"Answer"</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"text"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"North America leads due to strong biopharma infrastructure and regulatory frameworks."</w:t>
      </w:r>
      <w:r w:rsidRPr="00011261">
        <w:rPr>
          <w:rFonts w:ascii="Courier New" w:eastAsia="Times New Roman" w:hAnsi="Courier New" w:cs="Courier New"/>
          <w:color w:val="383A42"/>
          <w:sz w:val="20"/>
          <w:szCs w:val="20"/>
          <w:lang w:eastAsia="en-IN"/>
        </w:rPr>
        <w:t xml:space="preserve"> } },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"Question"</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"name"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"What factors are driving the circular dichroism spectrometer market?"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w:t>
      </w:r>
      <w:proofErr w:type="spellStart"/>
      <w:r w:rsidRPr="00011261">
        <w:rPr>
          <w:rFonts w:ascii="Courier New" w:eastAsia="Times New Roman" w:hAnsi="Courier New" w:cs="Courier New"/>
          <w:color w:val="986801"/>
          <w:sz w:val="20"/>
          <w:szCs w:val="20"/>
          <w:lang w:eastAsia="en-IN"/>
        </w:rPr>
        <w:t>acceptedAnswer</w:t>
      </w:r>
      <w:proofErr w:type="spellEnd"/>
      <w:r w:rsidRPr="00011261">
        <w:rPr>
          <w:rFonts w:ascii="Courier New" w:eastAsia="Times New Roman" w:hAnsi="Courier New" w:cs="Courier New"/>
          <w:color w:val="986801"/>
          <w:sz w:val="20"/>
          <w:szCs w:val="20"/>
          <w:lang w:eastAsia="en-IN"/>
        </w:rPr>
        <w:t>"</w:t>
      </w:r>
      <w:r w:rsidRPr="00011261">
        <w:rPr>
          <w:rFonts w:ascii="Courier New" w:eastAsia="Times New Roman" w:hAnsi="Courier New" w:cs="Courier New"/>
          <w:color w:val="383A42"/>
          <w:sz w:val="20"/>
          <w:szCs w:val="20"/>
          <w:lang w:eastAsia="en-IN"/>
        </w:rPr>
        <w:t xml:space="preserve">: { </w:t>
      </w:r>
      <w:r w:rsidRPr="00011261">
        <w:rPr>
          <w:rFonts w:ascii="Courier New" w:eastAsia="Times New Roman" w:hAnsi="Courier New" w:cs="Courier New"/>
          <w:color w:val="986801"/>
          <w:sz w:val="20"/>
          <w:szCs w:val="20"/>
          <w:lang w:eastAsia="en-IN"/>
        </w:rPr>
        <w:t>"@type"</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"Answer"</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986801"/>
          <w:sz w:val="20"/>
          <w:szCs w:val="20"/>
          <w:lang w:eastAsia="en-IN"/>
        </w:rPr>
        <w:t>"text"</w:t>
      </w:r>
      <w:r w:rsidRPr="00011261">
        <w:rPr>
          <w:rFonts w:ascii="Courier New" w:eastAsia="Times New Roman" w:hAnsi="Courier New" w:cs="Courier New"/>
          <w:color w:val="383A42"/>
          <w:sz w:val="20"/>
          <w:szCs w:val="20"/>
          <w:lang w:eastAsia="en-IN"/>
        </w:rPr>
        <w:t xml:space="preserve">: </w:t>
      </w:r>
      <w:r w:rsidRPr="00011261">
        <w:rPr>
          <w:rFonts w:ascii="Courier New" w:eastAsia="Times New Roman" w:hAnsi="Courier New" w:cs="Courier New"/>
          <w:color w:val="50A14F"/>
          <w:sz w:val="20"/>
          <w:szCs w:val="20"/>
          <w:lang w:eastAsia="en-IN"/>
        </w:rPr>
        <w:t xml:space="preserve">"Growth is </w:t>
      </w:r>
      <w:proofErr w:type="spellStart"/>
      <w:r w:rsidRPr="00011261">
        <w:rPr>
          <w:rFonts w:ascii="Courier New" w:eastAsia="Times New Roman" w:hAnsi="Courier New" w:cs="Courier New"/>
          <w:color w:val="50A14F"/>
          <w:sz w:val="20"/>
          <w:szCs w:val="20"/>
          <w:lang w:eastAsia="en-IN"/>
        </w:rPr>
        <w:t>fueled</w:t>
      </w:r>
      <w:proofErr w:type="spellEnd"/>
      <w:r w:rsidRPr="00011261">
        <w:rPr>
          <w:rFonts w:ascii="Courier New" w:eastAsia="Times New Roman" w:hAnsi="Courier New" w:cs="Courier New"/>
          <w:color w:val="50A14F"/>
          <w:sz w:val="20"/>
          <w:szCs w:val="20"/>
          <w:lang w:eastAsia="en-IN"/>
        </w:rPr>
        <w:t xml:space="preserve"> by biopharma expansion, academic research, and increasing structural validation requirements."</w:t>
      </w:r>
      <w:r w:rsidRPr="00011261">
        <w:rPr>
          <w:rFonts w:ascii="Courier New" w:eastAsia="Times New Roman" w:hAnsi="Courier New" w:cs="Courier New"/>
          <w:color w:val="383A42"/>
          <w:sz w:val="20"/>
          <w:szCs w:val="20"/>
          <w:lang w:eastAsia="en-IN"/>
        </w:rPr>
        <w:t xml:space="preserve"> } } ] }</w:t>
      </w:r>
    </w:p>
    <w:p w14:paraId="41EBDC20" w14:textId="24521BF1" w:rsidR="00F62C78" w:rsidRDefault="00F62C78">
      <w:r>
        <w:br w:type="page"/>
      </w:r>
    </w:p>
    <w:p w14:paraId="5F49B955" w14:textId="77777777" w:rsidR="00F62C78" w:rsidRPr="00F62C78" w:rsidRDefault="00F62C78" w:rsidP="00F62C78">
      <w:pPr>
        <w:shd w:val="clear" w:color="auto" w:fill="FFFFFF"/>
        <w:spacing w:after="0" w:line="240" w:lineRule="auto"/>
        <w:outlineLvl w:val="2"/>
        <w:rPr>
          <w:rFonts w:ascii="Segoe UI" w:eastAsia="Times New Roman" w:hAnsi="Segoe UI" w:cs="Segoe UI"/>
          <w:b/>
          <w:bCs/>
          <w:color w:val="0D0D0D"/>
          <w:sz w:val="30"/>
          <w:szCs w:val="30"/>
          <w:lang w:eastAsia="en-IN"/>
        </w:rPr>
      </w:pPr>
      <w:r w:rsidRPr="00F62C78">
        <w:rPr>
          <w:rFonts w:ascii="Segoe UI" w:eastAsia="Times New Roman" w:hAnsi="Segoe UI" w:cs="Segoe UI"/>
          <w:b/>
          <w:bCs/>
          <w:color w:val="0D0D0D"/>
          <w:sz w:val="30"/>
          <w:szCs w:val="30"/>
          <w:lang w:eastAsia="en-IN"/>
        </w:rPr>
        <w:lastRenderedPageBreak/>
        <w:t>9. Table of Contents for Circular Dichroism Spectrometer Market Report (2024–2030)</w:t>
      </w:r>
    </w:p>
    <w:p w14:paraId="2A57D370" w14:textId="77777777" w:rsidR="00F62C78" w:rsidRPr="00F62C78" w:rsidRDefault="00F62C78" w:rsidP="00F62C78">
      <w:pPr>
        <w:spacing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180BDA88">
          <v:rect id="_x0000_i1097" style="width:0;height:0" o:hralign="center" o:hrstd="t" o:hrnoshade="t" o:hr="t" fillcolor="#0d0d0d" stroked="f"/>
        </w:pict>
      </w:r>
    </w:p>
    <w:p w14:paraId="06573633"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Executive Summary</w:t>
      </w:r>
    </w:p>
    <w:p w14:paraId="5AC6F314" w14:textId="77777777" w:rsidR="00F62C78" w:rsidRPr="00F62C78" w:rsidRDefault="00F62C78" w:rsidP="00F62C78">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Market Overview</w:t>
      </w:r>
    </w:p>
    <w:p w14:paraId="1D683B15" w14:textId="77777777" w:rsidR="00F62C78" w:rsidRPr="00F62C78" w:rsidRDefault="00F62C78" w:rsidP="00F62C78">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Market Attractiveness by Product Type, Application, End User, and Region</w:t>
      </w:r>
    </w:p>
    <w:p w14:paraId="42AF4EEC" w14:textId="77777777" w:rsidR="00F62C78" w:rsidRPr="00F62C78" w:rsidRDefault="00F62C78" w:rsidP="00F62C78">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Strategic Insights from Key Executives (CXO Perspective)</w:t>
      </w:r>
    </w:p>
    <w:p w14:paraId="5A7399B6" w14:textId="77777777" w:rsidR="00F62C78" w:rsidRPr="00F62C78" w:rsidRDefault="00F62C78" w:rsidP="00F62C78">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Historical Market Size and Future Projections (2022–2030)</w:t>
      </w:r>
    </w:p>
    <w:p w14:paraId="1FDCBD20" w14:textId="77777777" w:rsidR="00F62C78" w:rsidRPr="00F62C78" w:rsidRDefault="00F62C78" w:rsidP="00F62C78">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Summary of Market Segmentation by Product Type, Application, End User, and Region</w:t>
      </w:r>
    </w:p>
    <w:p w14:paraId="72503E94"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19CB4217">
          <v:rect id="_x0000_i1098" style="width:0;height:0" o:hralign="center" o:hrstd="t" o:hrnoshade="t" o:hr="t" fillcolor="#0d0d0d" stroked="f"/>
        </w:pict>
      </w:r>
    </w:p>
    <w:p w14:paraId="0B7D9853"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Market Share Analysis</w:t>
      </w:r>
    </w:p>
    <w:p w14:paraId="6C4952A2" w14:textId="77777777" w:rsidR="00F62C78" w:rsidRPr="00F62C78" w:rsidRDefault="00F62C78" w:rsidP="00F62C78">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Leading Players by Revenue and Market Share</w:t>
      </w:r>
    </w:p>
    <w:p w14:paraId="53F410AE" w14:textId="77777777" w:rsidR="00F62C78" w:rsidRPr="00F62C78" w:rsidRDefault="00F62C78" w:rsidP="00F62C78">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Market Share by Product Type, Application, and End User</w:t>
      </w:r>
    </w:p>
    <w:p w14:paraId="5530B88E"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25B3260D">
          <v:rect id="_x0000_i1099" style="width:0;height:0" o:hralign="center" o:hrstd="t" o:hrnoshade="t" o:hr="t" fillcolor="#0d0d0d" stroked="f"/>
        </w:pict>
      </w:r>
    </w:p>
    <w:p w14:paraId="4924F527"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Investment Opportunities in the Circular Dichroism Spectrometer Market</w:t>
      </w:r>
    </w:p>
    <w:p w14:paraId="29DDC3A5" w14:textId="77777777" w:rsidR="00F62C78" w:rsidRPr="00F62C78" w:rsidRDefault="00F62C78" w:rsidP="00F62C78">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Key Technological Developments</w:t>
      </w:r>
    </w:p>
    <w:p w14:paraId="3BA748B0" w14:textId="77777777" w:rsidR="00F62C78" w:rsidRPr="00F62C78" w:rsidRDefault="00F62C78" w:rsidP="00F62C78">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Mergers, Acquisitions, and Strategic Partnerships</w:t>
      </w:r>
    </w:p>
    <w:p w14:paraId="1B9C672D" w14:textId="77777777" w:rsidR="00F62C78" w:rsidRPr="00F62C78" w:rsidRDefault="00F62C78" w:rsidP="00F62C78">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High-Growth Segments for Capital Allocation</w:t>
      </w:r>
    </w:p>
    <w:p w14:paraId="5A2ED7A7"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64C79551">
          <v:rect id="_x0000_i1100" style="width:0;height:0" o:hralign="center" o:hrstd="t" o:hrnoshade="t" o:hr="t" fillcolor="#0d0d0d" stroked="f"/>
        </w:pict>
      </w:r>
    </w:p>
    <w:p w14:paraId="5214053F"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Market Introduction</w:t>
      </w:r>
    </w:p>
    <w:p w14:paraId="651A2B16" w14:textId="77777777" w:rsidR="00F62C78" w:rsidRPr="00F62C78" w:rsidRDefault="00F62C78" w:rsidP="00F62C7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Definition and Scope of the Study</w:t>
      </w:r>
    </w:p>
    <w:p w14:paraId="37F3C5BB" w14:textId="77777777" w:rsidR="00F62C78" w:rsidRPr="00F62C78" w:rsidRDefault="00F62C78" w:rsidP="00F62C7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Market Structure and Key Findings</w:t>
      </w:r>
    </w:p>
    <w:p w14:paraId="1DF56F80" w14:textId="77777777" w:rsidR="00F62C78" w:rsidRPr="00F62C78" w:rsidRDefault="00F62C78" w:rsidP="00F62C7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Overview of Top Investment Pockets</w:t>
      </w:r>
    </w:p>
    <w:p w14:paraId="6BC34FCC"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57B82109">
          <v:rect id="_x0000_i1101" style="width:0;height:0" o:hralign="center" o:hrstd="t" o:hrnoshade="t" o:hr="t" fillcolor="#0d0d0d" stroked="f"/>
        </w:pict>
      </w:r>
    </w:p>
    <w:p w14:paraId="3ED93E32"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lastRenderedPageBreak/>
        <w:t>Research Methodology</w:t>
      </w:r>
    </w:p>
    <w:p w14:paraId="2F33CC06" w14:textId="77777777" w:rsidR="00F62C78" w:rsidRPr="00F62C78" w:rsidRDefault="00F62C78" w:rsidP="00F62C78">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Research Process Overview</w:t>
      </w:r>
    </w:p>
    <w:p w14:paraId="7126BD12" w14:textId="77777777" w:rsidR="00F62C78" w:rsidRPr="00F62C78" w:rsidRDefault="00F62C78" w:rsidP="00F62C78">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Primary and Secondary Research Approaches</w:t>
      </w:r>
    </w:p>
    <w:p w14:paraId="763052E6" w14:textId="77777777" w:rsidR="00F62C78" w:rsidRPr="00F62C78" w:rsidRDefault="00F62C78" w:rsidP="00F62C78">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Market Size Estimation and Forecasting Techniques</w:t>
      </w:r>
    </w:p>
    <w:p w14:paraId="36E92908"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4DD84397">
          <v:rect id="_x0000_i1102" style="width:0;height:0" o:hralign="center" o:hrstd="t" o:hrnoshade="t" o:hr="t" fillcolor="#0d0d0d" stroked="f"/>
        </w:pict>
      </w:r>
    </w:p>
    <w:p w14:paraId="29D7EBE7"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Market Dynamics</w:t>
      </w:r>
    </w:p>
    <w:p w14:paraId="5B81C825" w14:textId="77777777" w:rsidR="00F62C78" w:rsidRPr="00F62C78" w:rsidRDefault="00F62C78" w:rsidP="00F62C78">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Key Market Drivers</w:t>
      </w:r>
    </w:p>
    <w:p w14:paraId="1CE81B5F" w14:textId="77777777" w:rsidR="00F62C78" w:rsidRPr="00F62C78" w:rsidRDefault="00F62C78" w:rsidP="00F62C78">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Challenges and Restraints Impacting Growth</w:t>
      </w:r>
    </w:p>
    <w:p w14:paraId="0F6EBC85" w14:textId="77777777" w:rsidR="00F62C78" w:rsidRPr="00F62C78" w:rsidRDefault="00F62C78" w:rsidP="00F62C78">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Emerging Opportunities for Stakeholders</w:t>
      </w:r>
    </w:p>
    <w:p w14:paraId="2642E5DA" w14:textId="77777777" w:rsidR="00F62C78" w:rsidRPr="00F62C78" w:rsidRDefault="00F62C78" w:rsidP="00F62C78">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Impact of Technological and Regulatory Factors</w:t>
      </w:r>
    </w:p>
    <w:p w14:paraId="6F78A420"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7CA5D237">
          <v:rect id="_x0000_i1103" style="width:0;height:0" o:hralign="center" o:hrstd="t" o:hrnoshade="t" o:hr="t" fillcolor="#0d0d0d" stroked="f"/>
        </w:pict>
      </w:r>
    </w:p>
    <w:p w14:paraId="023D47DB"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Global Circular Dichroism Spectrometer Market Analysis</w:t>
      </w:r>
    </w:p>
    <w:p w14:paraId="03FA4327" w14:textId="77777777" w:rsidR="00F62C78" w:rsidRPr="00F62C78" w:rsidRDefault="00F62C78" w:rsidP="00F62C78">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Historical Market Size and Volume (2022–2023)</w:t>
      </w:r>
    </w:p>
    <w:p w14:paraId="32EED130" w14:textId="77777777" w:rsidR="00F62C78" w:rsidRPr="00F62C78" w:rsidRDefault="00F62C78" w:rsidP="00F62C78">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Market Size and Volume Forecasts (2024–2030)</w:t>
      </w:r>
    </w:p>
    <w:p w14:paraId="0EDBFABE" w14:textId="77777777" w:rsidR="00F62C78" w:rsidRPr="00F62C78" w:rsidRDefault="00F62C78" w:rsidP="00F62C7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62C78">
        <w:rPr>
          <w:rFonts w:ascii="Segoe UI" w:eastAsia="Times New Roman" w:hAnsi="Segoe UI" w:cs="Segoe UI"/>
          <w:b/>
          <w:bCs/>
          <w:color w:val="0D0D0D"/>
          <w:sz w:val="24"/>
          <w:szCs w:val="24"/>
          <w:lang w:eastAsia="en-IN"/>
        </w:rPr>
        <w:t>By Product Type:</w:t>
      </w:r>
    </w:p>
    <w:p w14:paraId="282F0D39" w14:textId="77777777" w:rsidR="00F62C78" w:rsidRPr="00F62C78" w:rsidRDefault="00F62C78" w:rsidP="00F62C78">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Linearly Polarized CD Spectrometers</w:t>
      </w:r>
    </w:p>
    <w:p w14:paraId="301B1CC3" w14:textId="77777777" w:rsidR="00F62C78" w:rsidRPr="00F62C78" w:rsidRDefault="00F62C78" w:rsidP="00F62C78">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Circularly Polarized CD Spectrometers</w:t>
      </w:r>
    </w:p>
    <w:p w14:paraId="1B2B26E4" w14:textId="77777777" w:rsidR="00F62C78" w:rsidRPr="00F62C78" w:rsidRDefault="00F62C78" w:rsidP="00F62C78">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Modular/Benchtop CD Spectrometers</w:t>
      </w:r>
    </w:p>
    <w:p w14:paraId="617FC3F1" w14:textId="77777777" w:rsidR="00F62C78" w:rsidRPr="00F62C78" w:rsidRDefault="00F62C78" w:rsidP="00F62C78">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Portable CD Spectrometers</w:t>
      </w:r>
    </w:p>
    <w:p w14:paraId="7D8CE534" w14:textId="77777777" w:rsidR="00F62C78" w:rsidRPr="00F62C78" w:rsidRDefault="00F62C78" w:rsidP="00F62C7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62C78">
        <w:rPr>
          <w:rFonts w:ascii="Segoe UI" w:eastAsia="Times New Roman" w:hAnsi="Segoe UI" w:cs="Segoe UI"/>
          <w:b/>
          <w:bCs/>
          <w:color w:val="0D0D0D"/>
          <w:sz w:val="24"/>
          <w:szCs w:val="24"/>
          <w:lang w:eastAsia="en-IN"/>
        </w:rPr>
        <w:t>By Application:</w:t>
      </w:r>
    </w:p>
    <w:p w14:paraId="2141EC96" w14:textId="77777777" w:rsidR="00F62C78" w:rsidRPr="00F62C78" w:rsidRDefault="00F62C78" w:rsidP="00F62C7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Protein Secondary Structure Analysis</w:t>
      </w:r>
    </w:p>
    <w:p w14:paraId="791DF128" w14:textId="77777777" w:rsidR="00F62C78" w:rsidRPr="00F62C78" w:rsidRDefault="00F62C78" w:rsidP="00F62C7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Nucleic Acid Characterization</w:t>
      </w:r>
    </w:p>
    <w:p w14:paraId="0CB9945B" w14:textId="77777777" w:rsidR="00F62C78" w:rsidRPr="00F62C78" w:rsidRDefault="00F62C78" w:rsidP="00F62C7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Chiral Material Testing</w:t>
      </w:r>
    </w:p>
    <w:p w14:paraId="467D0E3F" w14:textId="77777777" w:rsidR="00F62C78" w:rsidRPr="00F62C78" w:rsidRDefault="00F62C78" w:rsidP="00F62C7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Quality Control in Biomanufacturing</w:t>
      </w:r>
    </w:p>
    <w:p w14:paraId="469860A7" w14:textId="77777777" w:rsidR="00F62C78" w:rsidRPr="00F62C78" w:rsidRDefault="00F62C78" w:rsidP="00F62C7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Conformational Change Studies</w:t>
      </w:r>
    </w:p>
    <w:p w14:paraId="5EC0B15F" w14:textId="77777777" w:rsidR="00F62C78" w:rsidRPr="00F62C78" w:rsidRDefault="00F62C78" w:rsidP="00F62C7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62C78">
        <w:rPr>
          <w:rFonts w:ascii="Segoe UI" w:eastAsia="Times New Roman" w:hAnsi="Segoe UI" w:cs="Segoe UI"/>
          <w:b/>
          <w:bCs/>
          <w:color w:val="0D0D0D"/>
          <w:sz w:val="24"/>
          <w:szCs w:val="24"/>
          <w:lang w:eastAsia="en-IN"/>
        </w:rPr>
        <w:t>By End User:</w:t>
      </w:r>
    </w:p>
    <w:p w14:paraId="21616706" w14:textId="77777777" w:rsidR="00F62C78" w:rsidRPr="00F62C78" w:rsidRDefault="00F62C78" w:rsidP="00F62C78">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Pharmaceutical &amp; Biotechnology Companies</w:t>
      </w:r>
    </w:p>
    <w:p w14:paraId="30BA1F08" w14:textId="77777777" w:rsidR="00F62C78" w:rsidRPr="00F62C78" w:rsidRDefault="00F62C78" w:rsidP="00F62C78">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Academic and Research Institutes</w:t>
      </w:r>
    </w:p>
    <w:p w14:paraId="6F45452E" w14:textId="77777777" w:rsidR="00F62C78" w:rsidRPr="00F62C78" w:rsidRDefault="00F62C78" w:rsidP="00F62C78">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Contract Research Organizations (CROs)</w:t>
      </w:r>
    </w:p>
    <w:p w14:paraId="4F7BD64B" w14:textId="77777777" w:rsidR="00F62C78" w:rsidRPr="00F62C78" w:rsidRDefault="00F62C78" w:rsidP="00F62C78">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lastRenderedPageBreak/>
        <w:t>Regulatory &amp; Compliance Laboratories</w:t>
      </w:r>
    </w:p>
    <w:p w14:paraId="5CD8DA54" w14:textId="77777777" w:rsidR="00F62C78" w:rsidRPr="00F62C78" w:rsidRDefault="00F62C78" w:rsidP="00F62C7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62C78">
        <w:rPr>
          <w:rFonts w:ascii="Segoe UI" w:eastAsia="Times New Roman" w:hAnsi="Segoe UI" w:cs="Segoe UI"/>
          <w:b/>
          <w:bCs/>
          <w:color w:val="0D0D0D"/>
          <w:sz w:val="24"/>
          <w:szCs w:val="24"/>
          <w:lang w:eastAsia="en-IN"/>
        </w:rPr>
        <w:t>By Region:</w:t>
      </w:r>
    </w:p>
    <w:p w14:paraId="063CB59D" w14:textId="77777777" w:rsidR="00F62C78" w:rsidRPr="00F62C78" w:rsidRDefault="00F62C78" w:rsidP="00F62C78">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North America</w:t>
      </w:r>
    </w:p>
    <w:p w14:paraId="62100D7E" w14:textId="77777777" w:rsidR="00F62C78" w:rsidRPr="00F62C78" w:rsidRDefault="00F62C78" w:rsidP="00F62C78">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Europe</w:t>
      </w:r>
    </w:p>
    <w:p w14:paraId="1CE2833A" w14:textId="77777777" w:rsidR="00F62C78" w:rsidRPr="00F62C78" w:rsidRDefault="00F62C78" w:rsidP="00F62C78">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Asia-Pacific</w:t>
      </w:r>
    </w:p>
    <w:p w14:paraId="38D1037D" w14:textId="77777777" w:rsidR="00F62C78" w:rsidRPr="00F62C78" w:rsidRDefault="00F62C78" w:rsidP="00F62C78">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Latin America</w:t>
      </w:r>
    </w:p>
    <w:p w14:paraId="457FADD3" w14:textId="77777777" w:rsidR="00F62C78" w:rsidRPr="00F62C78" w:rsidRDefault="00F62C78" w:rsidP="00F62C78">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Middle East &amp; Africa</w:t>
      </w:r>
    </w:p>
    <w:p w14:paraId="4E3C4235"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007E8A6F">
          <v:rect id="_x0000_i1104" style="width:0;height:0" o:hralign="center" o:hrstd="t" o:hrnoshade="t" o:hr="t" fillcolor="#0d0d0d" stroked="f"/>
        </w:pict>
      </w:r>
    </w:p>
    <w:p w14:paraId="78C4BAD3"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Regional Market Analysis</w:t>
      </w:r>
    </w:p>
    <w:p w14:paraId="2E402D1C" w14:textId="77777777" w:rsidR="00F62C78" w:rsidRPr="00F62C78" w:rsidRDefault="00F62C78" w:rsidP="00F62C7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62C78">
        <w:rPr>
          <w:rFonts w:ascii="Segoe UI" w:eastAsia="Times New Roman" w:hAnsi="Segoe UI" w:cs="Segoe UI"/>
          <w:b/>
          <w:bCs/>
          <w:color w:val="0D0D0D"/>
          <w:sz w:val="24"/>
          <w:szCs w:val="24"/>
          <w:lang w:eastAsia="en-IN"/>
        </w:rPr>
        <w:t>North America</w:t>
      </w:r>
    </w:p>
    <w:p w14:paraId="6F0F59C5" w14:textId="77777777" w:rsidR="00F62C78" w:rsidRPr="00F62C78" w:rsidRDefault="00F62C78" w:rsidP="00F62C78">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U.S.</w:t>
      </w:r>
    </w:p>
    <w:p w14:paraId="3AF3C929" w14:textId="77777777" w:rsidR="00F62C78" w:rsidRPr="00F62C78" w:rsidRDefault="00F62C78" w:rsidP="00F62C78">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Canada</w:t>
      </w:r>
    </w:p>
    <w:p w14:paraId="357907A1" w14:textId="77777777" w:rsidR="00F62C78" w:rsidRPr="00F62C78" w:rsidRDefault="00F62C78" w:rsidP="00F62C7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62C78">
        <w:rPr>
          <w:rFonts w:ascii="Segoe UI" w:eastAsia="Times New Roman" w:hAnsi="Segoe UI" w:cs="Segoe UI"/>
          <w:b/>
          <w:bCs/>
          <w:color w:val="0D0D0D"/>
          <w:sz w:val="24"/>
          <w:szCs w:val="24"/>
          <w:lang w:eastAsia="en-IN"/>
        </w:rPr>
        <w:t>Europe</w:t>
      </w:r>
    </w:p>
    <w:p w14:paraId="7F268E3E" w14:textId="77777777" w:rsidR="00F62C78" w:rsidRPr="00F62C78" w:rsidRDefault="00F62C78" w:rsidP="00F62C78">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Germany</w:t>
      </w:r>
    </w:p>
    <w:p w14:paraId="052BC9CD" w14:textId="77777777" w:rsidR="00F62C78" w:rsidRPr="00F62C78" w:rsidRDefault="00F62C78" w:rsidP="00F62C78">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United Kingdom</w:t>
      </w:r>
    </w:p>
    <w:p w14:paraId="7BE978E3" w14:textId="77777777" w:rsidR="00F62C78" w:rsidRPr="00F62C78" w:rsidRDefault="00F62C78" w:rsidP="00F62C78">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France</w:t>
      </w:r>
    </w:p>
    <w:p w14:paraId="46CF9E3E" w14:textId="77777777" w:rsidR="00F62C78" w:rsidRPr="00F62C78" w:rsidRDefault="00F62C78" w:rsidP="00F62C78">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Italy</w:t>
      </w:r>
    </w:p>
    <w:p w14:paraId="25F67B14" w14:textId="77777777" w:rsidR="00F62C78" w:rsidRPr="00F62C78" w:rsidRDefault="00F62C78" w:rsidP="00F62C78">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Rest of Europe</w:t>
      </w:r>
    </w:p>
    <w:p w14:paraId="7BDC7DD6" w14:textId="77777777" w:rsidR="00F62C78" w:rsidRPr="00F62C78" w:rsidRDefault="00F62C78" w:rsidP="00F62C7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62C78">
        <w:rPr>
          <w:rFonts w:ascii="Segoe UI" w:eastAsia="Times New Roman" w:hAnsi="Segoe UI" w:cs="Segoe UI"/>
          <w:b/>
          <w:bCs/>
          <w:color w:val="0D0D0D"/>
          <w:sz w:val="24"/>
          <w:szCs w:val="24"/>
          <w:lang w:eastAsia="en-IN"/>
        </w:rPr>
        <w:t>Asia-Pacific</w:t>
      </w:r>
    </w:p>
    <w:p w14:paraId="54D47732" w14:textId="77777777" w:rsidR="00F62C78" w:rsidRPr="00F62C78" w:rsidRDefault="00F62C78" w:rsidP="00F62C78">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China</w:t>
      </w:r>
    </w:p>
    <w:p w14:paraId="75EDAE20" w14:textId="77777777" w:rsidR="00F62C78" w:rsidRPr="00F62C78" w:rsidRDefault="00F62C78" w:rsidP="00F62C78">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Japan</w:t>
      </w:r>
    </w:p>
    <w:p w14:paraId="3A3DF038" w14:textId="77777777" w:rsidR="00F62C78" w:rsidRPr="00F62C78" w:rsidRDefault="00F62C78" w:rsidP="00F62C78">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India</w:t>
      </w:r>
    </w:p>
    <w:p w14:paraId="75357213" w14:textId="77777777" w:rsidR="00F62C78" w:rsidRPr="00F62C78" w:rsidRDefault="00F62C78" w:rsidP="00F62C78">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South Korea</w:t>
      </w:r>
    </w:p>
    <w:p w14:paraId="1E664C06" w14:textId="77777777" w:rsidR="00F62C78" w:rsidRPr="00F62C78" w:rsidRDefault="00F62C78" w:rsidP="00F62C78">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Rest of Asia-Pacific</w:t>
      </w:r>
    </w:p>
    <w:p w14:paraId="557F453D" w14:textId="77777777" w:rsidR="00F62C78" w:rsidRPr="00F62C78" w:rsidRDefault="00F62C78" w:rsidP="00F62C7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62C78">
        <w:rPr>
          <w:rFonts w:ascii="Segoe UI" w:eastAsia="Times New Roman" w:hAnsi="Segoe UI" w:cs="Segoe UI"/>
          <w:b/>
          <w:bCs/>
          <w:color w:val="0D0D0D"/>
          <w:sz w:val="24"/>
          <w:szCs w:val="24"/>
          <w:lang w:eastAsia="en-IN"/>
        </w:rPr>
        <w:t>Latin America</w:t>
      </w:r>
    </w:p>
    <w:p w14:paraId="0E9024CF" w14:textId="77777777" w:rsidR="00F62C78" w:rsidRPr="00F62C78" w:rsidRDefault="00F62C78" w:rsidP="00F62C78">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Brazil</w:t>
      </w:r>
    </w:p>
    <w:p w14:paraId="4AE0BF0A" w14:textId="77777777" w:rsidR="00F62C78" w:rsidRPr="00F62C78" w:rsidRDefault="00F62C78" w:rsidP="00F62C78">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Mexico</w:t>
      </w:r>
    </w:p>
    <w:p w14:paraId="2B0DB20F" w14:textId="77777777" w:rsidR="00F62C78" w:rsidRPr="00F62C78" w:rsidRDefault="00F62C78" w:rsidP="00F62C78">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Rest of Latin America</w:t>
      </w:r>
    </w:p>
    <w:p w14:paraId="4774B19B" w14:textId="77777777" w:rsidR="00F62C78" w:rsidRPr="00F62C78" w:rsidRDefault="00F62C78" w:rsidP="00F62C7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62C78">
        <w:rPr>
          <w:rFonts w:ascii="Segoe UI" w:eastAsia="Times New Roman" w:hAnsi="Segoe UI" w:cs="Segoe UI"/>
          <w:b/>
          <w:bCs/>
          <w:color w:val="0D0D0D"/>
          <w:sz w:val="24"/>
          <w:szCs w:val="24"/>
          <w:lang w:eastAsia="en-IN"/>
        </w:rPr>
        <w:t>Middle East &amp; Africa</w:t>
      </w:r>
    </w:p>
    <w:p w14:paraId="62CE5E13" w14:textId="77777777" w:rsidR="00F62C78" w:rsidRPr="00F62C78" w:rsidRDefault="00F62C78" w:rsidP="00F62C78">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lastRenderedPageBreak/>
        <w:t>GCC Countries</w:t>
      </w:r>
    </w:p>
    <w:p w14:paraId="21FBE5C8" w14:textId="77777777" w:rsidR="00F62C78" w:rsidRPr="00F62C78" w:rsidRDefault="00F62C78" w:rsidP="00F62C78">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South Africa</w:t>
      </w:r>
    </w:p>
    <w:p w14:paraId="57AAEC31" w14:textId="77777777" w:rsidR="00F62C78" w:rsidRPr="00F62C78" w:rsidRDefault="00F62C78" w:rsidP="00F62C78">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Rest of MEA</w:t>
      </w:r>
    </w:p>
    <w:p w14:paraId="5333F907"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119180F2">
          <v:rect id="_x0000_i1105" style="width:0;height:0" o:hralign="center" o:hrstd="t" o:hrnoshade="t" o:hr="t" fillcolor="#0d0d0d" stroked="f"/>
        </w:pict>
      </w:r>
    </w:p>
    <w:p w14:paraId="0BE56A99"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Key Players and Competitive Analysis</w:t>
      </w:r>
    </w:p>
    <w:p w14:paraId="7B371604" w14:textId="77777777" w:rsidR="00F62C78" w:rsidRPr="00F62C78" w:rsidRDefault="00F62C78" w:rsidP="00F62C78">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JASCO Corporation</w:t>
      </w:r>
    </w:p>
    <w:p w14:paraId="0B549EA1" w14:textId="77777777" w:rsidR="00F62C78" w:rsidRPr="00F62C78" w:rsidRDefault="00F62C78" w:rsidP="00F62C78">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 xml:space="preserve">Applied </w:t>
      </w:r>
      <w:proofErr w:type="spellStart"/>
      <w:r w:rsidRPr="00F62C78">
        <w:rPr>
          <w:rFonts w:ascii="Segoe UI" w:eastAsia="Times New Roman" w:hAnsi="Segoe UI" w:cs="Segoe UI"/>
          <w:color w:val="0D0D0D"/>
          <w:sz w:val="24"/>
          <w:szCs w:val="24"/>
          <w:lang w:eastAsia="en-IN"/>
        </w:rPr>
        <w:t>Photophysics</w:t>
      </w:r>
      <w:proofErr w:type="spellEnd"/>
    </w:p>
    <w:p w14:paraId="48562DAD" w14:textId="77777777" w:rsidR="00F62C78" w:rsidRPr="00F62C78" w:rsidRDefault="00F62C78" w:rsidP="00F62C78">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Bio-Logic Science Instruments</w:t>
      </w:r>
    </w:p>
    <w:p w14:paraId="2D231F9D" w14:textId="77777777" w:rsidR="00F62C78" w:rsidRPr="00F62C78" w:rsidRDefault="00F62C78" w:rsidP="00F62C78">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Aviv Biomedical</w:t>
      </w:r>
    </w:p>
    <w:p w14:paraId="378094BD" w14:textId="77777777" w:rsidR="00F62C78" w:rsidRPr="00F62C78" w:rsidRDefault="00F62C78" w:rsidP="00F62C78">
      <w:pPr>
        <w:numPr>
          <w:ilvl w:val="0"/>
          <w:numId w:val="35"/>
        </w:numPr>
        <w:shd w:val="clear" w:color="auto" w:fill="FFFFFF"/>
        <w:spacing w:after="0" w:line="240" w:lineRule="auto"/>
        <w:rPr>
          <w:rFonts w:ascii="Segoe UI" w:eastAsia="Times New Roman" w:hAnsi="Segoe UI" w:cs="Segoe UI"/>
          <w:color w:val="0D0D0D"/>
          <w:sz w:val="24"/>
          <w:szCs w:val="24"/>
          <w:lang w:eastAsia="en-IN"/>
        </w:rPr>
      </w:pPr>
      <w:proofErr w:type="spellStart"/>
      <w:r w:rsidRPr="00F62C78">
        <w:rPr>
          <w:rFonts w:ascii="Segoe UI" w:eastAsia="Times New Roman" w:hAnsi="Segoe UI" w:cs="Segoe UI"/>
          <w:color w:val="0D0D0D"/>
          <w:sz w:val="24"/>
          <w:szCs w:val="24"/>
          <w:lang w:eastAsia="en-IN"/>
        </w:rPr>
        <w:t>Olis</w:t>
      </w:r>
      <w:proofErr w:type="spellEnd"/>
      <w:r w:rsidRPr="00F62C78">
        <w:rPr>
          <w:rFonts w:ascii="Segoe UI" w:eastAsia="Times New Roman" w:hAnsi="Segoe UI" w:cs="Segoe UI"/>
          <w:color w:val="0D0D0D"/>
          <w:sz w:val="24"/>
          <w:szCs w:val="24"/>
          <w:lang w:eastAsia="en-IN"/>
        </w:rPr>
        <w:t xml:space="preserve"> Inc.</w:t>
      </w:r>
    </w:p>
    <w:p w14:paraId="5AD6F42B" w14:textId="77777777" w:rsidR="00F62C78" w:rsidRPr="00F62C78" w:rsidRDefault="00F62C78" w:rsidP="00F62C78">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Hinds Instruments</w:t>
      </w:r>
    </w:p>
    <w:p w14:paraId="036209D7" w14:textId="77777777" w:rsidR="00F62C78" w:rsidRPr="00F62C78" w:rsidRDefault="00F62C78" w:rsidP="00F62C78">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HORIBA Scientific</w:t>
      </w:r>
    </w:p>
    <w:p w14:paraId="63202604" w14:textId="77777777" w:rsidR="00F62C78" w:rsidRPr="00F62C78" w:rsidRDefault="00F62C78" w:rsidP="00F62C78">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Company Profiles, Market Strategies, and Global Reach</w:t>
      </w:r>
    </w:p>
    <w:p w14:paraId="635F4809"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160C755F">
          <v:rect id="_x0000_i1106" style="width:0;height:0" o:hralign="center" o:hrstd="t" o:hrnoshade="t" o:hr="t" fillcolor="#0d0d0d" stroked="f"/>
        </w:pict>
      </w:r>
    </w:p>
    <w:p w14:paraId="595B6047"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Appendix</w:t>
      </w:r>
    </w:p>
    <w:p w14:paraId="218969EC" w14:textId="77777777" w:rsidR="00F62C78" w:rsidRPr="00F62C78" w:rsidRDefault="00F62C78" w:rsidP="00F62C78">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Abbreviations and Terminologies</w:t>
      </w:r>
    </w:p>
    <w:p w14:paraId="2FB14C51" w14:textId="77777777" w:rsidR="00F62C78" w:rsidRPr="00F62C78" w:rsidRDefault="00F62C78" w:rsidP="00F62C78">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References and Sources</w:t>
      </w:r>
    </w:p>
    <w:p w14:paraId="3FC98123"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76FF77FD">
          <v:rect id="_x0000_i1107" style="width:0;height:0" o:hralign="center" o:hrstd="t" o:hrnoshade="t" o:hr="t" fillcolor="#0d0d0d" stroked="f"/>
        </w:pict>
      </w:r>
    </w:p>
    <w:p w14:paraId="306C0105"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List of Tables</w:t>
      </w:r>
    </w:p>
    <w:p w14:paraId="3A6FE679" w14:textId="77777777" w:rsidR="00F62C78" w:rsidRPr="00F62C78" w:rsidRDefault="00F62C78" w:rsidP="00F62C78">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Market Size by Product Type, Application, End User, and Region (2024–2030)</w:t>
      </w:r>
    </w:p>
    <w:p w14:paraId="71E978A2" w14:textId="77777777" w:rsidR="00F62C78" w:rsidRPr="00F62C78" w:rsidRDefault="00F62C78" w:rsidP="00F62C78">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Regional Breakdown by Product Type and Application</w:t>
      </w:r>
    </w:p>
    <w:p w14:paraId="24C5E666" w14:textId="77777777" w:rsidR="00F62C78" w:rsidRPr="00F62C78" w:rsidRDefault="00F62C78" w:rsidP="00F62C78">
      <w:pPr>
        <w:spacing w:before="720" w:after="720" w:line="240" w:lineRule="auto"/>
        <w:rPr>
          <w:rFonts w:ascii="Times New Roman" w:eastAsia="Times New Roman" w:hAnsi="Times New Roman" w:cs="Times New Roman"/>
          <w:sz w:val="24"/>
          <w:szCs w:val="24"/>
          <w:lang w:eastAsia="en-IN"/>
        </w:rPr>
      </w:pPr>
      <w:r w:rsidRPr="00F62C78">
        <w:rPr>
          <w:rFonts w:ascii="Times New Roman" w:eastAsia="Times New Roman" w:hAnsi="Times New Roman" w:cs="Times New Roman"/>
          <w:sz w:val="24"/>
          <w:szCs w:val="24"/>
          <w:lang w:eastAsia="en-IN"/>
        </w:rPr>
        <w:pict w14:anchorId="41AB2F7E">
          <v:rect id="_x0000_i1108" style="width:0;height:0" o:hralign="center" o:hrstd="t" o:hrnoshade="t" o:hr="t" fillcolor="#0d0d0d" stroked="f"/>
        </w:pict>
      </w:r>
    </w:p>
    <w:p w14:paraId="5724A128" w14:textId="77777777" w:rsidR="00F62C78" w:rsidRPr="00F62C78" w:rsidRDefault="00F62C78" w:rsidP="00F62C78">
      <w:pPr>
        <w:shd w:val="clear" w:color="auto" w:fill="FFFFFF"/>
        <w:spacing w:after="0" w:line="240" w:lineRule="auto"/>
        <w:outlineLvl w:val="3"/>
        <w:rPr>
          <w:rFonts w:ascii="Segoe UI" w:eastAsia="Times New Roman" w:hAnsi="Segoe UI" w:cs="Segoe UI"/>
          <w:b/>
          <w:bCs/>
          <w:color w:val="0D0D0D"/>
          <w:sz w:val="24"/>
          <w:szCs w:val="24"/>
          <w:lang w:eastAsia="en-IN"/>
        </w:rPr>
      </w:pPr>
      <w:r w:rsidRPr="00F62C78">
        <w:rPr>
          <w:rFonts w:ascii="Segoe UI" w:eastAsia="Times New Roman" w:hAnsi="Segoe UI" w:cs="Segoe UI"/>
          <w:b/>
          <w:bCs/>
          <w:color w:val="0D0D0D"/>
          <w:sz w:val="24"/>
          <w:szCs w:val="24"/>
          <w:lang w:eastAsia="en-IN"/>
        </w:rPr>
        <w:t>List of Figures</w:t>
      </w:r>
    </w:p>
    <w:p w14:paraId="33476E06" w14:textId="77777777" w:rsidR="00F62C78" w:rsidRPr="00F62C78" w:rsidRDefault="00F62C78" w:rsidP="00F62C78">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Market Dynamics: Drivers, Restraints, Opportunities</w:t>
      </w:r>
    </w:p>
    <w:p w14:paraId="5654A4A2" w14:textId="77777777" w:rsidR="00F62C78" w:rsidRPr="00F62C78" w:rsidRDefault="00F62C78" w:rsidP="00F62C78">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Regional Snapshot Overview</w:t>
      </w:r>
    </w:p>
    <w:p w14:paraId="083CCD7F" w14:textId="77777777" w:rsidR="00F62C78" w:rsidRPr="00F62C78" w:rsidRDefault="00F62C78" w:rsidP="00F62C78">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Competitive Landscape Visualization</w:t>
      </w:r>
    </w:p>
    <w:p w14:paraId="1FA4312B" w14:textId="77777777" w:rsidR="00F62C78" w:rsidRPr="00F62C78" w:rsidRDefault="00F62C78" w:rsidP="00F62C78">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lastRenderedPageBreak/>
        <w:t>Adoption Curve by End User</w:t>
      </w:r>
    </w:p>
    <w:p w14:paraId="78FF02A7" w14:textId="77777777" w:rsidR="00F62C78" w:rsidRPr="00F62C78" w:rsidRDefault="00F62C78" w:rsidP="00F62C78">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F62C78">
        <w:rPr>
          <w:rFonts w:ascii="Segoe UI" w:eastAsia="Times New Roman" w:hAnsi="Segoe UI" w:cs="Segoe UI"/>
          <w:color w:val="0D0D0D"/>
          <w:sz w:val="24"/>
          <w:szCs w:val="24"/>
          <w:lang w:eastAsia="en-IN"/>
        </w:rPr>
        <w:t>Growth Trajectories by Segment (2024 vs. 2030)</w:t>
      </w:r>
    </w:p>
    <w:p w14:paraId="7D06ACFC"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3036"/>
    <w:multiLevelType w:val="multilevel"/>
    <w:tmpl w:val="9D9C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040F6"/>
    <w:multiLevelType w:val="multilevel"/>
    <w:tmpl w:val="AF10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07575"/>
    <w:multiLevelType w:val="multilevel"/>
    <w:tmpl w:val="D93E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C7521"/>
    <w:multiLevelType w:val="multilevel"/>
    <w:tmpl w:val="74A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B01C2B"/>
    <w:multiLevelType w:val="multilevel"/>
    <w:tmpl w:val="A940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B953D3"/>
    <w:multiLevelType w:val="multilevel"/>
    <w:tmpl w:val="19D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75FAE"/>
    <w:multiLevelType w:val="multilevel"/>
    <w:tmpl w:val="DB50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83FEE"/>
    <w:multiLevelType w:val="multilevel"/>
    <w:tmpl w:val="B714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F42CDF"/>
    <w:multiLevelType w:val="multilevel"/>
    <w:tmpl w:val="5C12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229B0"/>
    <w:multiLevelType w:val="multilevel"/>
    <w:tmpl w:val="0FF2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CA41B0"/>
    <w:multiLevelType w:val="multilevel"/>
    <w:tmpl w:val="86EC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8A7FA9"/>
    <w:multiLevelType w:val="multilevel"/>
    <w:tmpl w:val="92A2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DA7551"/>
    <w:multiLevelType w:val="multilevel"/>
    <w:tmpl w:val="CE4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281C26"/>
    <w:multiLevelType w:val="multilevel"/>
    <w:tmpl w:val="095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EF51D7"/>
    <w:multiLevelType w:val="multilevel"/>
    <w:tmpl w:val="F802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375742"/>
    <w:multiLevelType w:val="multilevel"/>
    <w:tmpl w:val="B33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684AA7"/>
    <w:multiLevelType w:val="multilevel"/>
    <w:tmpl w:val="7FEC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A0F54"/>
    <w:multiLevelType w:val="multilevel"/>
    <w:tmpl w:val="7A36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5C134D"/>
    <w:multiLevelType w:val="multilevel"/>
    <w:tmpl w:val="5CE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B9786B"/>
    <w:multiLevelType w:val="multilevel"/>
    <w:tmpl w:val="E358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1D4FEA"/>
    <w:multiLevelType w:val="multilevel"/>
    <w:tmpl w:val="0D3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3D78C7"/>
    <w:multiLevelType w:val="multilevel"/>
    <w:tmpl w:val="9F8C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5414A2"/>
    <w:multiLevelType w:val="multilevel"/>
    <w:tmpl w:val="91F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B74CD3"/>
    <w:multiLevelType w:val="multilevel"/>
    <w:tmpl w:val="EF5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9D6D94"/>
    <w:multiLevelType w:val="multilevel"/>
    <w:tmpl w:val="22A2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D82E76"/>
    <w:multiLevelType w:val="multilevel"/>
    <w:tmpl w:val="48CE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4D767C"/>
    <w:multiLevelType w:val="multilevel"/>
    <w:tmpl w:val="939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F97D56"/>
    <w:multiLevelType w:val="multilevel"/>
    <w:tmpl w:val="545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8329AC"/>
    <w:multiLevelType w:val="multilevel"/>
    <w:tmpl w:val="EC7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2500D1"/>
    <w:multiLevelType w:val="multilevel"/>
    <w:tmpl w:val="ECB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F46F03"/>
    <w:multiLevelType w:val="multilevel"/>
    <w:tmpl w:val="4AC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F963E0"/>
    <w:multiLevelType w:val="multilevel"/>
    <w:tmpl w:val="8A50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3F4DA9"/>
    <w:multiLevelType w:val="multilevel"/>
    <w:tmpl w:val="2FE2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015701"/>
    <w:multiLevelType w:val="multilevel"/>
    <w:tmpl w:val="2AB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580244"/>
    <w:multiLevelType w:val="multilevel"/>
    <w:tmpl w:val="24BA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AD7276"/>
    <w:multiLevelType w:val="multilevel"/>
    <w:tmpl w:val="EC62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EE47E3"/>
    <w:multiLevelType w:val="multilevel"/>
    <w:tmpl w:val="2292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E37A1E"/>
    <w:multiLevelType w:val="multilevel"/>
    <w:tmpl w:val="48EE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26"/>
  </w:num>
  <w:num w:numId="4">
    <w:abstractNumId w:val="34"/>
  </w:num>
  <w:num w:numId="5">
    <w:abstractNumId w:val="3"/>
  </w:num>
  <w:num w:numId="6">
    <w:abstractNumId w:val="36"/>
  </w:num>
  <w:num w:numId="7">
    <w:abstractNumId w:val="11"/>
  </w:num>
  <w:num w:numId="8">
    <w:abstractNumId w:val="20"/>
  </w:num>
  <w:num w:numId="9">
    <w:abstractNumId w:val="9"/>
  </w:num>
  <w:num w:numId="10">
    <w:abstractNumId w:val="14"/>
  </w:num>
  <w:num w:numId="11">
    <w:abstractNumId w:val="13"/>
  </w:num>
  <w:num w:numId="12">
    <w:abstractNumId w:val="0"/>
  </w:num>
  <w:num w:numId="13">
    <w:abstractNumId w:val="29"/>
  </w:num>
  <w:num w:numId="14">
    <w:abstractNumId w:val="30"/>
  </w:num>
  <w:num w:numId="15">
    <w:abstractNumId w:val="23"/>
  </w:num>
  <w:num w:numId="16">
    <w:abstractNumId w:val="8"/>
  </w:num>
  <w:num w:numId="17">
    <w:abstractNumId w:val="16"/>
  </w:num>
  <w:num w:numId="18">
    <w:abstractNumId w:val="32"/>
  </w:num>
  <w:num w:numId="19">
    <w:abstractNumId w:val="35"/>
  </w:num>
  <w:num w:numId="20">
    <w:abstractNumId w:val="27"/>
  </w:num>
  <w:num w:numId="21">
    <w:abstractNumId w:val="22"/>
  </w:num>
  <w:num w:numId="22">
    <w:abstractNumId w:val="1"/>
  </w:num>
  <w:num w:numId="23">
    <w:abstractNumId w:val="19"/>
  </w:num>
  <w:num w:numId="24">
    <w:abstractNumId w:val="28"/>
  </w:num>
  <w:num w:numId="25">
    <w:abstractNumId w:val="6"/>
  </w:num>
  <w:num w:numId="26">
    <w:abstractNumId w:val="7"/>
  </w:num>
  <w:num w:numId="27">
    <w:abstractNumId w:val="33"/>
  </w:num>
  <w:num w:numId="28">
    <w:abstractNumId w:val="25"/>
  </w:num>
  <w:num w:numId="29">
    <w:abstractNumId w:val="37"/>
  </w:num>
  <w:num w:numId="30">
    <w:abstractNumId w:val="21"/>
  </w:num>
  <w:num w:numId="31">
    <w:abstractNumId w:val="12"/>
  </w:num>
  <w:num w:numId="32">
    <w:abstractNumId w:val="10"/>
  </w:num>
  <w:num w:numId="33">
    <w:abstractNumId w:val="2"/>
  </w:num>
  <w:num w:numId="34">
    <w:abstractNumId w:val="24"/>
  </w:num>
  <w:num w:numId="35">
    <w:abstractNumId w:val="31"/>
  </w:num>
  <w:num w:numId="36">
    <w:abstractNumId w:val="15"/>
  </w:num>
  <w:num w:numId="37">
    <w:abstractNumId w:val="18"/>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61"/>
    <w:rsid w:val="00011261"/>
    <w:rsid w:val="0038114E"/>
    <w:rsid w:val="00A11F02"/>
    <w:rsid w:val="00F62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FFF32"/>
  <w15:chartTrackingRefBased/>
  <w15:docId w15:val="{5FFA0652-7D7D-4DA5-B79F-460D9A39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34709">
      <w:bodyDiv w:val="1"/>
      <w:marLeft w:val="0"/>
      <w:marRight w:val="0"/>
      <w:marTop w:val="0"/>
      <w:marBottom w:val="0"/>
      <w:divBdr>
        <w:top w:val="none" w:sz="0" w:space="0" w:color="auto"/>
        <w:left w:val="none" w:sz="0" w:space="0" w:color="auto"/>
        <w:bottom w:val="none" w:sz="0" w:space="0" w:color="auto"/>
        <w:right w:val="none" w:sz="0" w:space="0" w:color="auto"/>
      </w:divBdr>
    </w:div>
    <w:div w:id="281689441">
      <w:bodyDiv w:val="1"/>
      <w:marLeft w:val="0"/>
      <w:marRight w:val="0"/>
      <w:marTop w:val="0"/>
      <w:marBottom w:val="0"/>
      <w:divBdr>
        <w:top w:val="none" w:sz="0" w:space="0" w:color="auto"/>
        <w:left w:val="none" w:sz="0" w:space="0" w:color="auto"/>
        <w:bottom w:val="none" w:sz="0" w:space="0" w:color="auto"/>
        <w:right w:val="none" w:sz="0" w:space="0" w:color="auto"/>
      </w:divBdr>
      <w:divsChild>
        <w:div w:id="1858427430">
          <w:marLeft w:val="0"/>
          <w:marRight w:val="0"/>
          <w:marTop w:val="0"/>
          <w:marBottom w:val="0"/>
          <w:divBdr>
            <w:top w:val="none" w:sz="0" w:space="0" w:color="auto"/>
            <w:left w:val="none" w:sz="0" w:space="0" w:color="auto"/>
            <w:bottom w:val="none" w:sz="0" w:space="0" w:color="auto"/>
            <w:right w:val="none" w:sz="0" w:space="0" w:color="auto"/>
          </w:divBdr>
          <w:divsChild>
            <w:div w:id="767700985">
              <w:marLeft w:val="0"/>
              <w:marRight w:val="0"/>
              <w:marTop w:val="0"/>
              <w:marBottom w:val="0"/>
              <w:divBdr>
                <w:top w:val="none" w:sz="0" w:space="0" w:color="auto"/>
                <w:left w:val="none" w:sz="0" w:space="0" w:color="auto"/>
                <w:bottom w:val="none" w:sz="0" w:space="0" w:color="auto"/>
                <w:right w:val="none" w:sz="0" w:space="0" w:color="auto"/>
              </w:divBdr>
            </w:div>
          </w:divsChild>
        </w:div>
        <w:div w:id="35394594">
          <w:marLeft w:val="0"/>
          <w:marRight w:val="0"/>
          <w:marTop w:val="0"/>
          <w:marBottom w:val="0"/>
          <w:divBdr>
            <w:top w:val="none" w:sz="0" w:space="0" w:color="auto"/>
            <w:left w:val="none" w:sz="0" w:space="0" w:color="auto"/>
            <w:bottom w:val="none" w:sz="0" w:space="0" w:color="auto"/>
            <w:right w:val="none" w:sz="0" w:space="0" w:color="auto"/>
          </w:divBdr>
          <w:divsChild>
            <w:div w:id="292715261">
              <w:marLeft w:val="0"/>
              <w:marRight w:val="0"/>
              <w:marTop w:val="0"/>
              <w:marBottom w:val="0"/>
              <w:divBdr>
                <w:top w:val="none" w:sz="0" w:space="0" w:color="auto"/>
                <w:left w:val="none" w:sz="0" w:space="0" w:color="auto"/>
                <w:bottom w:val="none" w:sz="0" w:space="0" w:color="auto"/>
                <w:right w:val="none" w:sz="0" w:space="0" w:color="auto"/>
              </w:divBdr>
            </w:div>
            <w:div w:id="1880631625">
              <w:marLeft w:val="0"/>
              <w:marRight w:val="0"/>
              <w:marTop w:val="0"/>
              <w:marBottom w:val="0"/>
              <w:divBdr>
                <w:top w:val="none" w:sz="0" w:space="0" w:color="auto"/>
                <w:left w:val="none" w:sz="0" w:space="0" w:color="auto"/>
                <w:bottom w:val="none" w:sz="0" w:space="0" w:color="auto"/>
                <w:right w:val="none" w:sz="0" w:space="0" w:color="auto"/>
              </w:divBdr>
              <w:divsChild>
                <w:div w:id="1028217765">
                  <w:marLeft w:val="0"/>
                  <w:marRight w:val="0"/>
                  <w:marTop w:val="0"/>
                  <w:marBottom w:val="0"/>
                  <w:divBdr>
                    <w:top w:val="none" w:sz="0" w:space="0" w:color="auto"/>
                    <w:left w:val="none" w:sz="0" w:space="0" w:color="auto"/>
                    <w:bottom w:val="none" w:sz="0" w:space="0" w:color="auto"/>
                    <w:right w:val="none" w:sz="0" w:space="0" w:color="auto"/>
                  </w:divBdr>
                  <w:divsChild>
                    <w:div w:id="19562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41584">
              <w:marLeft w:val="0"/>
              <w:marRight w:val="0"/>
              <w:marTop w:val="0"/>
              <w:marBottom w:val="0"/>
              <w:divBdr>
                <w:top w:val="none" w:sz="0" w:space="0" w:color="auto"/>
                <w:left w:val="none" w:sz="0" w:space="0" w:color="auto"/>
                <w:bottom w:val="none" w:sz="0" w:space="0" w:color="auto"/>
                <w:right w:val="none" w:sz="0" w:space="0" w:color="auto"/>
              </w:divBdr>
            </w:div>
          </w:divsChild>
        </w:div>
        <w:div w:id="1674525077">
          <w:marLeft w:val="0"/>
          <w:marRight w:val="0"/>
          <w:marTop w:val="0"/>
          <w:marBottom w:val="0"/>
          <w:divBdr>
            <w:top w:val="none" w:sz="0" w:space="0" w:color="auto"/>
            <w:left w:val="none" w:sz="0" w:space="0" w:color="auto"/>
            <w:bottom w:val="none" w:sz="0" w:space="0" w:color="auto"/>
            <w:right w:val="none" w:sz="0" w:space="0" w:color="auto"/>
          </w:divBdr>
          <w:divsChild>
            <w:div w:id="1682850600">
              <w:marLeft w:val="0"/>
              <w:marRight w:val="0"/>
              <w:marTop w:val="0"/>
              <w:marBottom w:val="0"/>
              <w:divBdr>
                <w:top w:val="none" w:sz="0" w:space="0" w:color="auto"/>
                <w:left w:val="none" w:sz="0" w:space="0" w:color="auto"/>
                <w:bottom w:val="none" w:sz="0" w:space="0" w:color="auto"/>
                <w:right w:val="none" w:sz="0" w:space="0" w:color="auto"/>
              </w:divBdr>
            </w:div>
            <w:div w:id="584072527">
              <w:marLeft w:val="0"/>
              <w:marRight w:val="0"/>
              <w:marTop w:val="0"/>
              <w:marBottom w:val="0"/>
              <w:divBdr>
                <w:top w:val="none" w:sz="0" w:space="0" w:color="auto"/>
                <w:left w:val="none" w:sz="0" w:space="0" w:color="auto"/>
                <w:bottom w:val="none" w:sz="0" w:space="0" w:color="auto"/>
                <w:right w:val="none" w:sz="0" w:space="0" w:color="auto"/>
              </w:divBdr>
              <w:divsChild>
                <w:div w:id="2062091402">
                  <w:marLeft w:val="0"/>
                  <w:marRight w:val="0"/>
                  <w:marTop w:val="0"/>
                  <w:marBottom w:val="0"/>
                  <w:divBdr>
                    <w:top w:val="none" w:sz="0" w:space="0" w:color="auto"/>
                    <w:left w:val="none" w:sz="0" w:space="0" w:color="auto"/>
                    <w:bottom w:val="none" w:sz="0" w:space="0" w:color="auto"/>
                    <w:right w:val="none" w:sz="0" w:space="0" w:color="auto"/>
                  </w:divBdr>
                  <w:divsChild>
                    <w:div w:id="531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50257">
      <w:bodyDiv w:val="1"/>
      <w:marLeft w:val="0"/>
      <w:marRight w:val="0"/>
      <w:marTop w:val="0"/>
      <w:marBottom w:val="0"/>
      <w:divBdr>
        <w:top w:val="none" w:sz="0" w:space="0" w:color="auto"/>
        <w:left w:val="none" w:sz="0" w:space="0" w:color="auto"/>
        <w:bottom w:val="none" w:sz="0" w:space="0" w:color="auto"/>
        <w:right w:val="none" w:sz="0" w:space="0" w:color="auto"/>
      </w:divBdr>
    </w:div>
    <w:div w:id="1116484332">
      <w:bodyDiv w:val="1"/>
      <w:marLeft w:val="0"/>
      <w:marRight w:val="0"/>
      <w:marTop w:val="0"/>
      <w:marBottom w:val="0"/>
      <w:divBdr>
        <w:top w:val="none" w:sz="0" w:space="0" w:color="auto"/>
        <w:left w:val="none" w:sz="0" w:space="0" w:color="auto"/>
        <w:bottom w:val="none" w:sz="0" w:space="0" w:color="auto"/>
        <w:right w:val="none" w:sz="0" w:space="0" w:color="auto"/>
      </w:divBdr>
    </w:div>
    <w:div w:id="1125545836">
      <w:bodyDiv w:val="1"/>
      <w:marLeft w:val="0"/>
      <w:marRight w:val="0"/>
      <w:marTop w:val="0"/>
      <w:marBottom w:val="0"/>
      <w:divBdr>
        <w:top w:val="none" w:sz="0" w:space="0" w:color="auto"/>
        <w:left w:val="none" w:sz="0" w:space="0" w:color="auto"/>
        <w:bottom w:val="none" w:sz="0" w:space="0" w:color="auto"/>
        <w:right w:val="none" w:sz="0" w:space="0" w:color="auto"/>
      </w:divBdr>
    </w:div>
    <w:div w:id="1183275661">
      <w:bodyDiv w:val="1"/>
      <w:marLeft w:val="0"/>
      <w:marRight w:val="0"/>
      <w:marTop w:val="0"/>
      <w:marBottom w:val="0"/>
      <w:divBdr>
        <w:top w:val="none" w:sz="0" w:space="0" w:color="auto"/>
        <w:left w:val="none" w:sz="0" w:space="0" w:color="auto"/>
        <w:bottom w:val="none" w:sz="0" w:space="0" w:color="auto"/>
        <w:right w:val="none" w:sz="0" w:space="0" w:color="auto"/>
      </w:divBdr>
    </w:div>
    <w:div w:id="1258245417">
      <w:bodyDiv w:val="1"/>
      <w:marLeft w:val="0"/>
      <w:marRight w:val="0"/>
      <w:marTop w:val="0"/>
      <w:marBottom w:val="0"/>
      <w:divBdr>
        <w:top w:val="none" w:sz="0" w:space="0" w:color="auto"/>
        <w:left w:val="none" w:sz="0" w:space="0" w:color="auto"/>
        <w:bottom w:val="none" w:sz="0" w:space="0" w:color="auto"/>
        <w:right w:val="none" w:sz="0" w:space="0" w:color="auto"/>
      </w:divBdr>
    </w:div>
    <w:div w:id="1360010019">
      <w:bodyDiv w:val="1"/>
      <w:marLeft w:val="0"/>
      <w:marRight w:val="0"/>
      <w:marTop w:val="0"/>
      <w:marBottom w:val="0"/>
      <w:divBdr>
        <w:top w:val="none" w:sz="0" w:space="0" w:color="auto"/>
        <w:left w:val="none" w:sz="0" w:space="0" w:color="auto"/>
        <w:bottom w:val="none" w:sz="0" w:space="0" w:color="auto"/>
        <w:right w:val="none" w:sz="0" w:space="0" w:color="auto"/>
      </w:divBdr>
    </w:div>
    <w:div w:id="1542547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23</Pages>
  <Words>4549</Words>
  <Characters>25933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2025-06-26T12:46:00Z</dcterms:created>
  <dcterms:modified xsi:type="dcterms:W3CDTF">2025-06-26T13:02:00Z</dcterms:modified>
</cp:coreProperties>
</file>