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6EB4B" w14:textId="77777777" w:rsidR="00BC70EF" w:rsidRPr="00BC70EF" w:rsidRDefault="00BC70EF" w:rsidP="00BC70EF">
      <w:pPr>
        <w:shd w:val="clear" w:color="auto" w:fill="FFFFFF"/>
        <w:spacing w:after="0" w:line="240" w:lineRule="auto"/>
        <w:outlineLvl w:val="1"/>
        <w:rPr>
          <w:rFonts w:ascii="Segoe UI" w:eastAsia="Times New Roman" w:hAnsi="Segoe UI" w:cs="Segoe UI"/>
          <w:b/>
          <w:bCs/>
          <w:color w:val="0D0D0D"/>
          <w:sz w:val="36"/>
          <w:szCs w:val="36"/>
          <w:lang w:eastAsia="en-IN"/>
        </w:rPr>
      </w:pPr>
      <w:r w:rsidRPr="00BC70EF">
        <w:rPr>
          <w:rFonts w:ascii="Segoe UI" w:eastAsia="Times New Roman" w:hAnsi="Segoe UI" w:cs="Segoe UI"/>
          <w:b/>
          <w:bCs/>
          <w:color w:val="0D0D0D"/>
          <w:sz w:val="36"/>
          <w:szCs w:val="36"/>
          <w:lang w:eastAsia="en-IN"/>
        </w:rPr>
        <w:t>Global Cell Viability Assays Market: Introduction and Strategic Context (2024–2030)</w:t>
      </w:r>
    </w:p>
    <w:p w14:paraId="172D6E4C" w14:textId="1F331F4F"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The </w:t>
      </w:r>
      <w:r w:rsidR="009329A9" w:rsidRPr="00BC70EF">
        <w:rPr>
          <w:rFonts w:ascii="Segoe UI" w:eastAsia="Times New Roman" w:hAnsi="Segoe UI" w:cs="Segoe UI"/>
          <w:b/>
          <w:bCs/>
          <w:color w:val="0D0D0D"/>
          <w:sz w:val="24"/>
          <w:szCs w:val="24"/>
          <w:lang w:eastAsia="en-IN"/>
        </w:rPr>
        <w:t>Global Cell Viability Assays Market</w:t>
      </w:r>
      <w:r w:rsidR="009329A9" w:rsidRPr="00BC70EF">
        <w:rPr>
          <w:rFonts w:ascii="Segoe UI" w:eastAsia="Times New Roman" w:hAnsi="Segoe UI" w:cs="Segoe UI"/>
          <w:color w:val="0D0D0D"/>
          <w:sz w:val="24"/>
          <w:szCs w:val="24"/>
          <w:lang w:eastAsia="en-IN"/>
        </w:rPr>
        <w:t> </w:t>
      </w:r>
      <w:r w:rsidRPr="00BC70EF">
        <w:rPr>
          <w:rFonts w:ascii="Segoe UI" w:eastAsia="Times New Roman" w:hAnsi="Segoe UI" w:cs="Segoe UI"/>
          <w:color w:val="0D0D0D"/>
          <w:sz w:val="24"/>
          <w:szCs w:val="24"/>
          <w:lang w:eastAsia="en-IN"/>
        </w:rPr>
        <w:t>will witness a robust </w:t>
      </w:r>
      <w:r w:rsidRPr="00BC70EF">
        <w:rPr>
          <w:rFonts w:ascii="Segoe UI" w:eastAsia="Times New Roman" w:hAnsi="Segoe UI" w:cs="Segoe UI"/>
          <w:b/>
          <w:bCs/>
          <w:color w:val="0D0D0D"/>
          <w:sz w:val="24"/>
          <w:szCs w:val="24"/>
          <w:lang w:eastAsia="en-IN"/>
        </w:rPr>
        <w:t xml:space="preserve">CAGR of </w:t>
      </w:r>
      <w:r w:rsidR="009329A9">
        <w:rPr>
          <w:rFonts w:ascii="Segoe UI" w:eastAsia="Times New Roman" w:hAnsi="Segoe UI" w:cs="Segoe UI"/>
          <w:b/>
          <w:bCs/>
          <w:color w:val="0D0D0D"/>
          <w:sz w:val="24"/>
          <w:szCs w:val="24"/>
          <w:lang w:eastAsia="en-IN"/>
        </w:rPr>
        <w:t>6.5</w:t>
      </w:r>
      <w:r w:rsidRPr="00BC70EF">
        <w:rPr>
          <w:rFonts w:ascii="Segoe UI" w:eastAsia="Times New Roman" w:hAnsi="Segoe UI" w:cs="Segoe UI"/>
          <w:b/>
          <w:bCs/>
          <w:color w:val="0D0D0D"/>
          <w:sz w:val="24"/>
          <w:szCs w:val="24"/>
          <w:lang w:eastAsia="en-IN"/>
        </w:rPr>
        <w:t>%</w:t>
      </w:r>
      <w:r w:rsidRPr="00BC70EF">
        <w:rPr>
          <w:rFonts w:ascii="Segoe UI" w:eastAsia="Times New Roman" w:hAnsi="Segoe UI" w:cs="Segoe UI"/>
          <w:color w:val="0D0D0D"/>
          <w:sz w:val="24"/>
          <w:szCs w:val="24"/>
          <w:lang w:eastAsia="en-IN"/>
        </w:rPr>
        <w:t>, valued at </w:t>
      </w:r>
      <w:r w:rsidRPr="00BC70EF">
        <w:rPr>
          <w:rFonts w:ascii="Segoe UI" w:eastAsia="Times New Roman" w:hAnsi="Segoe UI" w:cs="Segoe UI"/>
          <w:b/>
          <w:bCs/>
          <w:color w:val="0D0D0D"/>
          <w:sz w:val="24"/>
          <w:szCs w:val="24"/>
          <w:lang w:eastAsia="en-IN"/>
        </w:rPr>
        <w:t>$2.6 billion in 2024</w:t>
      </w:r>
      <w:r w:rsidRPr="00BC70EF">
        <w:rPr>
          <w:rFonts w:ascii="Segoe UI" w:eastAsia="Times New Roman" w:hAnsi="Segoe UI" w:cs="Segoe UI"/>
          <w:color w:val="0D0D0D"/>
          <w:sz w:val="24"/>
          <w:szCs w:val="24"/>
          <w:lang w:eastAsia="en-IN"/>
        </w:rPr>
        <w:t>, expected to appreciate and reach </w:t>
      </w:r>
      <w:r w:rsidRPr="00BC70EF">
        <w:rPr>
          <w:rFonts w:ascii="Segoe UI" w:eastAsia="Times New Roman" w:hAnsi="Segoe UI" w:cs="Segoe UI"/>
          <w:b/>
          <w:bCs/>
          <w:color w:val="0D0D0D"/>
          <w:sz w:val="24"/>
          <w:szCs w:val="24"/>
          <w:lang w:eastAsia="en-IN"/>
        </w:rPr>
        <w:t>$</w:t>
      </w:r>
      <w:r w:rsidR="009329A9">
        <w:rPr>
          <w:rFonts w:ascii="Segoe UI" w:eastAsia="Times New Roman" w:hAnsi="Segoe UI" w:cs="Segoe UI"/>
          <w:b/>
          <w:bCs/>
          <w:color w:val="0D0D0D"/>
          <w:sz w:val="24"/>
          <w:szCs w:val="24"/>
          <w:lang w:eastAsia="en-IN"/>
        </w:rPr>
        <w:t>3.80</w:t>
      </w:r>
      <w:r w:rsidRPr="00BC70EF">
        <w:rPr>
          <w:rFonts w:ascii="Segoe UI" w:eastAsia="Times New Roman" w:hAnsi="Segoe UI" w:cs="Segoe UI"/>
          <w:b/>
          <w:bCs/>
          <w:color w:val="0D0D0D"/>
          <w:sz w:val="24"/>
          <w:szCs w:val="24"/>
          <w:lang w:eastAsia="en-IN"/>
        </w:rPr>
        <w:t xml:space="preserve"> billion by 2030</w:t>
      </w:r>
      <w:r w:rsidRPr="00BC70EF">
        <w:rPr>
          <w:rFonts w:ascii="Segoe UI" w:eastAsia="Times New Roman" w:hAnsi="Segoe UI" w:cs="Segoe UI"/>
          <w:color w:val="0D0D0D"/>
          <w:sz w:val="24"/>
          <w:szCs w:val="24"/>
          <w:lang w:eastAsia="en-IN"/>
        </w:rPr>
        <w:t>, confirms Strategic Market Research.</w:t>
      </w:r>
    </w:p>
    <w:p w14:paraId="44ED091D" w14:textId="77777777" w:rsidR="00BC70EF" w:rsidRPr="00BC70EF" w:rsidRDefault="00BC70EF" w:rsidP="00BC70EF">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Cell viability assays are crucial bioanalytical tools used to determine the health and proliferative status of cells in a biological sample. These assays are central to drug discovery, cancer biology, immunology, and regenerative medicine, offering quantitative and qualitative assessments of cell survival and cytotoxicity. In 2024, this market sits at the convergence of precision medicine, high-throughput screening (HTS), and the rapid evolution of immunotherapy — all of which demand reliable viability metrics.</w:t>
      </w:r>
    </w:p>
    <w:p w14:paraId="54837D84"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The strategic significance of this market lies in its critical role across diverse applications including </w:t>
      </w:r>
      <w:r w:rsidRPr="00BC70EF">
        <w:rPr>
          <w:rFonts w:ascii="Segoe UI" w:eastAsia="Times New Roman" w:hAnsi="Segoe UI" w:cs="Segoe UI"/>
          <w:b/>
          <w:bCs/>
          <w:color w:val="0D0D0D"/>
          <w:sz w:val="24"/>
          <w:szCs w:val="24"/>
          <w:lang w:eastAsia="en-IN"/>
        </w:rPr>
        <w:t>oncology drug screening, stem cell research, immunotoxicity testing</w:t>
      </w:r>
      <w:r w:rsidRPr="00BC70EF">
        <w:rPr>
          <w:rFonts w:ascii="Segoe UI" w:eastAsia="Times New Roman" w:hAnsi="Segoe UI" w:cs="Segoe UI"/>
          <w:color w:val="0D0D0D"/>
          <w:sz w:val="24"/>
          <w:szCs w:val="24"/>
          <w:lang w:eastAsia="en-IN"/>
        </w:rPr>
        <w:t>, and </w:t>
      </w:r>
      <w:r w:rsidRPr="00BC70EF">
        <w:rPr>
          <w:rFonts w:ascii="Segoe UI" w:eastAsia="Times New Roman" w:hAnsi="Segoe UI" w:cs="Segoe UI"/>
          <w:b/>
          <w:bCs/>
          <w:color w:val="0D0D0D"/>
          <w:sz w:val="24"/>
          <w:szCs w:val="24"/>
          <w:lang w:eastAsia="en-IN"/>
        </w:rPr>
        <w:t>3D cell culture evaluations</w:t>
      </w:r>
      <w:r w:rsidRPr="00BC70EF">
        <w:rPr>
          <w:rFonts w:ascii="Segoe UI" w:eastAsia="Times New Roman" w:hAnsi="Segoe UI" w:cs="Segoe UI"/>
          <w:color w:val="0D0D0D"/>
          <w:sz w:val="24"/>
          <w:szCs w:val="24"/>
          <w:lang w:eastAsia="en-IN"/>
        </w:rPr>
        <w:t>. The increasing pressure on pharmaceutical and biotech companies to shorten development cycles and reduce failure rates has made </w:t>
      </w:r>
      <w:r w:rsidRPr="00BC70EF">
        <w:rPr>
          <w:rFonts w:ascii="Segoe UI" w:eastAsia="Times New Roman" w:hAnsi="Segoe UI" w:cs="Segoe UI"/>
          <w:b/>
          <w:bCs/>
          <w:color w:val="0D0D0D"/>
          <w:sz w:val="24"/>
          <w:szCs w:val="24"/>
          <w:lang w:eastAsia="en-IN"/>
        </w:rPr>
        <w:t>accurate, scalable, and automated viability testing</w:t>
      </w:r>
      <w:r w:rsidRPr="00BC70EF">
        <w:rPr>
          <w:rFonts w:ascii="Segoe UI" w:eastAsia="Times New Roman" w:hAnsi="Segoe UI" w:cs="Segoe UI"/>
          <w:color w:val="0D0D0D"/>
          <w:sz w:val="24"/>
          <w:szCs w:val="24"/>
          <w:lang w:eastAsia="en-IN"/>
        </w:rPr>
        <w:t> a top-tier investment area.</w:t>
      </w:r>
    </w:p>
    <w:p w14:paraId="537324F1"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w:eastAsia="Times New Roman" w:hAnsi="Segoe UI" w:cs="Segoe UI"/>
          <w:b/>
          <w:bCs/>
          <w:color w:val="0D0D0D"/>
          <w:sz w:val="30"/>
          <w:szCs w:val="30"/>
          <w:lang w:eastAsia="en-IN"/>
        </w:rPr>
        <w:t>Key Macro Drivers Shaping the Market (2024–2030)</w:t>
      </w:r>
    </w:p>
    <w:p w14:paraId="035D124A" w14:textId="77777777" w:rsidR="00BC70EF" w:rsidRPr="00BC70EF" w:rsidRDefault="00BC70EF" w:rsidP="00BC70EF">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Surge in Cancer and Chronic Disease Research</w:t>
      </w:r>
      <w:r w:rsidRPr="00BC70EF">
        <w:rPr>
          <w:rFonts w:ascii="Segoe UI" w:eastAsia="Times New Roman" w:hAnsi="Segoe UI" w:cs="Segoe UI"/>
          <w:color w:val="0D0D0D"/>
          <w:sz w:val="24"/>
          <w:szCs w:val="24"/>
          <w:lang w:eastAsia="en-IN"/>
        </w:rPr>
        <w:t xml:space="preserve">: Rising global incidence of cancer and metabolic disorders is </w:t>
      </w:r>
      <w:proofErr w:type="spellStart"/>
      <w:r w:rsidRPr="00BC70EF">
        <w:rPr>
          <w:rFonts w:ascii="Segoe UI" w:eastAsia="Times New Roman" w:hAnsi="Segoe UI" w:cs="Segoe UI"/>
          <w:color w:val="0D0D0D"/>
          <w:sz w:val="24"/>
          <w:szCs w:val="24"/>
          <w:lang w:eastAsia="en-IN"/>
        </w:rPr>
        <w:t>catalyzing</w:t>
      </w:r>
      <w:proofErr w:type="spellEnd"/>
      <w:r w:rsidRPr="00BC70EF">
        <w:rPr>
          <w:rFonts w:ascii="Segoe UI" w:eastAsia="Times New Roman" w:hAnsi="Segoe UI" w:cs="Segoe UI"/>
          <w:color w:val="0D0D0D"/>
          <w:sz w:val="24"/>
          <w:szCs w:val="24"/>
          <w:lang w:eastAsia="en-IN"/>
        </w:rPr>
        <w:t xml:space="preserve"> demand for cell-based assay systems that deliver real-time insights into therapeutic efficacy and toxicity profiles.</w:t>
      </w:r>
    </w:p>
    <w:p w14:paraId="2493411B" w14:textId="77777777" w:rsidR="00BC70EF" w:rsidRPr="00BC70EF" w:rsidRDefault="00BC70EF" w:rsidP="00BC70EF">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Regulatory Push for Non-Animal Testing</w:t>
      </w:r>
      <w:r w:rsidRPr="00BC70EF">
        <w:rPr>
          <w:rFonts w:ascii="Segoe UI" w:eastAsia="Times New Roman" w:hAnsi="Segoe UI" w:cs="Segoe UI"/>
          <w:color w:val="0D0D0D"/>
          <w:sz w:val="24"/>
          <w:szCs w:val="24"/>
          <w:lang w:eastAsia="en-IN"/>
        </w:rPr>
        <w:t>: Regulatory agencies, especially in Europe and North America, are promoting </w:t>
      </w:r>
      <w:r w:rsidRPr="00BC70EF">
        <w:rPr>
          <w:rFonts w:ascii="Segoe UI" w:eastAsia="Times New Roman" w:hAnsi="Segoe UI" w:cs="Segoe UI"/>
          <w:b/>
          <w:bCs/>
          <w:color w:val="0D0D0D"/>
          <w:sz w:val="24"/>
          <w:szCs w:val="24"/>
          <w:lang w:eastAsia="en-IN"/>
        </w:rPr>
        <w:t>in vitro</w:t>
      </w:r>
      <w:r w:rsidRPr="00BC70EF">
        <w:rPr>
          <w:rFonts w:ascii="Segoe UI" w:eastAsia="Times New Roman" w:hAnsi="Segoe UI" w:cs="Segoe UI"/>
          <w:color w:val="0D0D0D"/>
          <w:sz w:val="24"/>
          <w:szCs w:val="24"/>
          <w:lang w:eastAsia="en-IN"/>
        </w:rPr>
        <w:t xml:space="preserve"> alternatives to animal models — placing cell viability assays at the </w:t>
      </w:r>
      <w:proofErr w:type="spellStart"/>
      <w:r w:rsidRPr="00BC70EF">
        <w:rPr>
          <w:rFonts w:ascii="Segoe UI" w:eastAsia="Times New Roman" w:hAnsi="Segoe UI" w:cs="Segoe UI"/>
          <w:color w:val="0D0D0D"/>
          <w:sz w:val="24"/>
          <w:szCs w:val="24"/>
          <w:lang w:eastAsia="en-IN"/>
        </w:rPr>
        <w:t>center</w:t>
      </w:r>
      <w:proofErr w:type="spellEnd"/>
      <w:r w:rsidRPr="00BC70EF">
        <w:rPr>
          <w:rFonts w:ascii="Segoe UI" w:eastAsia="Times New Roman" w:hAnsi="Segoe UI" w:cs="Segoe UI"/>
          <w:color w:val="0D0D0D"/>
          <w:sz w:val="24"/>
          <w:szCs w:val="24"/>
          <w:lang w:eastAsia="en-IN"/>
        </w:rPr>
        <w:t xml:space="preserve"> of ethical and scalable preclinical research frameworks.</w:t>
      </w:r>
    </w:p>
    <w:p w14:paraId="40356055" w14:textId="77777777" w:rsidR="00BC70EF" w:rsidRPr="00BC70EF" w:rsidRDefault="00BC70EF" w:rsidP="00BC70EF">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Technological Convergence</w:t>
      </w:r>
      <w:r w:rsidRPr="00BC70EF">
        <w:rPr>
          <w:rFonts w:ascii="Segoe UI" w:eastAsia="Times New Roman" w:hAnsi="Segoe UI" w:cs="Segoe UI"/>
          <w:color w:val="0D0D0D"/>
          <w:sz w:val="24"/>
          <w:szCs w:val="24"/>
          <w:lang w:eastAsia="en-IN"/>
        </w:rPr>
        <w:t>: The integration of </w:t>
      </w:r>
      <w:r w:rsidRPr="00BC70EF">
        <w:rPr>
          <w:rFonts w:ascii="Segoe UI" w:eastAsia="Times New Roman" w:hAnsi="Segoe UI" w:cs="Segoe UI"/>
          <w:b/>
          <w:bCs/>
          <w:color w:val="0D0D0D"/>
          <w:sz w:val="24"/>
          <w:szCs w:val="24"/>
          <w:lang w:eastAsia="en-IN"/>
        </w:rPr>
        <w:t>AI-driven imaging</w:t>
      </w:r>
      <w:r w:rsidRPr="00BC70EF">
        <w:rPr>
          <w:rFonts w:ascii="Segoe UI" w:eastAsia="Times New Roman" w:hAnsi="Segoe UI" w:cs="Segoe UI"/>
          <w:color w:val="0D0D0D"/>
          <w:sz w:val="24"/>
          <w:szCs w:val="24"/>
          <w:lang w:eastAsia="en-IN"/>
        </w:rPr>
        <w:t>, </w:t>
      </w:r>
      <w:r w:rsidRPr="00BC70EF">
        <w:rPr>
          <w:rFonts w:ascii="Segoe UI" w:eastAsia="Times New Roman" w:hAnsi="Segoe UI" w:cs="Segoe UI"/>
          <w:b/>
          <w:bCs/>
          <w:color w:val="0D0D0D"/>
          <w:sz w:val="24"/>
          <w:szCs w:val="24"/>
          <w:lang w:eastAsia="en-IN"/>
        </w:rPr>
        <w:t>label-free detection</w:t>
      </w:r>
      <w:r w:rsidRPr="00BC70EF">
        <w:rPr>
          <w:rFonts w:ascii="Segoe UI" w:eastAsia="Times New Roman" w:hAnsi="Segoe UI" w:cs="Segoe UI"/>
          <w:color w:val="0D0D0D"/>
          <w:sz w:val="24"/>
          <w:szCs w:val="24"/>
          <w:lang w:eastAsia="en-IN"/>
        </w:rPr>
        <w:t>, </w:t>
      </w:r>
      <w:r w:rsidRPr="00BC70EF">
        <w:rPr>
          <w:rFonts w:ascii="Segoe UI" w:eastAsia="Times New Roman" w:hAnsi="Segoe UI" w:cs="Segoe UI"/>
          <w:b/>
          <w:bCs/>
          <w:color w:val="0D0D0D"/>
          <w:sz w:val="24"/>
          <w:szCs w:val="24"/>
          <w:lang w:eastAsia="en-IN"/>
        </w:rPr>
        <w:t>microfluidics</w:t>
      </w:r>
      <w:r w:rsidRPr="00BC70EF">
        <w:rPr>
          <w:rFonts w:ascii="Segoe UI" w:eastAsia="Times New Roman" w:hAnsi="Segoe UI" w:cs="Segoe UI"/>
          <w:color w:val="0D0D0D"/>
          <w:sz w:val="24"/>
          <w:szCs w:val="24"/>
          <w:lang w:eastAsia="en-IN"/>
        </w:rPr>
        <w:t>, and </w:t>
      </w:r>
      <w:r w:rsidRPr="00BC70EF">
        <w:rPr>
          <w:rFonts w:ascii="Segoe UI" w:eastAsia="Times New Roman" w:hAnsi="Segoe UI" w:cs="Segoe UI"/>
          <w:b/>
          <w:bCs/>
          <w:color w:val="0D0D0D"/>
          <w:sz w:val="24"/>
          <w:szCs w:val="24"/>
          <w:lang w:eastAsia="en-IN"/>
        </w:rPr>
        <w:t>lab-on-chip platforms</w:t>
      </w:r>
      <w:r w:rsidRPr="00BC70EF">
        <w:rPr>
          <w:rFonts w:ascii="Segoe UI" w:eastAsia="Times New Roman" w:hAnsi="Segoe UI" w:cs="Segoe UI"/>
          <w:color w:val="0D0D0D"/>
          <w:sz w:val="24"/>
          <w:szCs w:val="24"/>
          <w:lang w:eastAsia="en-IN"/>
        </w:rPr>
        <w:t> is enabling real-time, high-content viability readouts — supporting the shift toward data-rich drug discovery.</w:t>
      </w:r>
    </w:p>
    <w:p w14:paraId="5ABD6735" w14:textId="77777777" w:rsidR="00BC70EF" w:rsidRPr="00BC70EF" w:rsidRDefault="00BC70EF" w:rsidP="00BC70EF">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Investment in Personalized Medicine</w:t>
      </w:r>
      <w:r w:rsidRPr="00BC70EF">
        <w:rPr>
          <w:rFonts w:ascii="Segoe UI" w:eastAsia="Times New Roman" w:hAnsi="Segoe UI" w:cs="Segoe UI"/>
          <w:color w:val="0D0D0D"/>
          <w:sz w:val="24"/>
          <w:szCs w:val="24"/>
          <w:lang w:eastAsia="en-IN"/>
        </w:rPr>
        <w:t xml:space="preserve">: As personalized oncology and gene editing </w:t>
      </w:r>
      <w:proofErr w:type="gramStart"/>
      <w:r w:rsidRPr="00BC70EF">
        <w:rPr>
          <w:rFonts w:ascii="Segoe UI" w:eastAsia="Times New Roman" w:hAnsi="Segoe UI" w:cs="Segoe UI"/>
          <w:color w:val="0D0D0D"/>
          <w:sz w:val="24"/>
          <w:szCs w:val="24"/>
          <w:lang w:eastAsia="en-IN"/>
        </w:rPr>
        <w:t>evolve,</w:t>
      </w:r>
      <w:proofErr w:type="gramEnd"/>
      <w:r w:rsidRPr="00BC70EF">
        <w:rPr>
          <w:rFonts w:ascii="Segoe UI" w:eastAsia="Times New Roman" w:hAnsi="Segoe UI" w:cs="Segoe UI"/>
          <w:color w:val="0D0D0D"/>
          <w:sz w:val="24"/>
          <w:szCs w:val="24"/>
          <w:lang w:eastAsia="en-IN"/>
        </w:rPr>
        <w:t xml:space="preserve"> pharmaceutical R&amp;D pipelines increasingly depend on assays capable of </w:t>
      </w:r>
      <w:proofErr w:type="spellStart"/>
      <w:r w:rsidRPr="00BC70EF">
        <w:rPr>
          <w:rFonts w:ascii="Segoe UI" w:eastAsia="Times New Roman" w:hAnsi="Segoe UI" w:cs="Segoe UI"/>
          <w:color w:val="0D0D0D"/>
          <w:sz w:val="24"/>
          <w:szCs w:val="24"/>
          <w:lang w:eastAsia="en-IN"/>
        </w:rPr>
        <w:t>modeling</w:t>
      </w:r>
      <w:proofErr w:type="spellEnd"/>
      <w:r w:rsidRPr="00BC70EF">
        <w:rPr>
          <w:rFonts w:ascii="Segoe UI" w:eastAsia="Times New Roman" w:hAnsi="Segoe UI" w:cs="Segoe UI"/>
          <w:color w:val="0D0D0D"/>
          <w:sz w:val="24"/>
          <w:szCs w:val="24"/>
          <w:lang w:eastAsia="en-IN"/>
        </w:rPr>
        <w:t xml:space="preserve"> individual cellular responses to therapeutic interventions.</w:t>
      </w:r>
    </w:p>
    <w:p w14:paraId="2F2D3D4A" w14:textId="77777777" w:rsidR="00BC70EF" w:rsidRPr="00BC70EF" w:rsidRDefault="00BC70EF" w:rsidP="00BC70EF">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Academic and Government Funding</w:t>
      </w:r>
      <w:r w:rsidRPr="00BC70EF">
        <w:rPr>
          <w:rFonts w:ascii="Segoe UI" w:eastAsia="Times New Roman" w:hAnsi="Segoe UI" w:cs="Segoe UI"/>
          <w:color w:val="0D0D0D"/>
          <w:sz w:val="24"/>
          <w:szCs w:val="24"/>
          <w:lang w:eastAsia="en-IN"/>
        </w:rPr>
        <w:t>: Global funding initiatives in life sciences, especially across North America, China, and EU nations, are accelerating the adoption of advanced viability assays in public research institutions.</w:t>
      </w:r>
    </w:p>
    <w:p w14:paraId="7594FBF9"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w:eastAsia="Times New Roman" w:hAnsi="Segoe UI" w:cs="Segoe UI"/>
          <w:b/>
          <w:bCs/>
          <w:color w:val="0D0D0D"/>
          <w:sz w:val="30"/>
          <w:szCs w:val="30"/>
          <w:lang w:eastAsia="en-IN"/>
        </w:rPr>
        <w:lastRenderedPageBreak/>
        <w:t>Key Stakeholders in the Cell Viability Assays Market</w:t>
      </w:r>
    </w:p>
    <w:p w14:paraId="6F937338" w14:textId="77777777" w:rsidR="00BC70EF" w:rsidRPr="00BC70EF" w:rsidRDefault="00BC70EF" w:rsidP="00BC70EF">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Biotechnology and Pharmaceutical Companies</w:t>
      </w:r>
      <w:r w:rsidRPr="00BC70EF">
        <w:rPr>
          <w:rFonts w:ascii="Segoe UI" w:eastAsia="Times New Roman" w:hAnsi="Segoe UI" w:cs="Segoe UI"/>
          <w:color w:val="0D0D0D"/>
          <w:sz w:val="24"/>
          <w:szCs w:val="24"/>
          <w:lang w:eastAsia="en-IN"/>
        </w:rPr>
        <w:t> – leveraging these assays for drug toxicity screening and pharmacodynamic assessments.</w:t>
      </w:r>
    </w:p>
    <w:p w14:paraId="06B81D9D" w14:textId="77777777" w:rsidR="00BC70EF" w:rsidRPr="00BC70EF" w:rsidRDefault="00BC70EF" w:rsidP="00BC70EF">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Academic &amp; Research Institutes</w:t>
      </w:r>
      <w:r w:rsidRPr="00BC70EF">
        <w:rPr>
          <w:rFonts w:ascii="Segoe UI" w:eastAsia="Times New Roman" w:hAnsi="Segoe UI" w:cs="Segoe UI"/>
          <w:color w:val="0D0D0D"/>
          <w:sz w:val="24"/>
          <w:szCs w:val="24"/>
          <w:lang w:eastAsia="en-IN"/>
        </w:rPr>
        <w:t> – utilizing viability platforms for molecular biology and regenerative studies.</w:t>
      </w:r>
    </w:p>
    <w:p w14:paraId="6054C3A9" w14:textId="77777777" w:rsidR="00BC70EF" w:rsidRPr="00BC70EF" w:rsidRDefault="00BC70EF" w:rsidP="00BC70EF">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Contract Research Organizations (CROs)</w:t>
      </w:r>
      <w:r w:rsidRPr="00BC70EF">
        <w:rPr>
          <w:rFonts w:ascii="Segoe UI" w:eastAsia="Times New Roman" w:hAnsi="Segoe UI" w:cs="Segoe UI"/>
          <w:color w:val="0D0D0D"/>
          <w:sz w:val="24"/>
          <w:szCs w:val="24"/>
          <w:lang w:eastAsia="en-IN"/>
        </w:rPr>
        <w:t> – providing outsourced assay services for clinical and preclinical trials.</w:t>
      </w:r>
    </w:p>
    <w:p w14:paraId="2EE30A01" w14:textId="77777777" w:rsidR="00BC70EF" w:rsidRPr="00BC70EF" w:rsidRDefault="00BC70EF" w:rsidP="00BC70EF">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Diagnostic Labs</w:t>
      </w:r>
      <w:r w:rsidRPr="00BC70EF">
        <w:rPr>
          <w:rFonts w:ascii="Segoe UI" w:eastAsia="Times New Roman" w:hAnsi="Segoe UI" w:cs="Segoe UI"/>
          <w:color w:val="0D0D0D"/>
          <w:sz w:val="24"/>
          <w:szCs w:val="24"/>
          <w:lang w:eastAsia="en-IN"/>
        </w:rPr>
        <w:t xml:space="preserve"> – using these assays for quality control and disease </w:t>
      </w:r>
      <w:proofErr w:type="spellStart"/>
      <w:r w:rsidRPr="00BC70EF">
        <w:rPr>
          <w:rFonts w:ascii="Segoe UI" w:eastAsia="Times New Roman" w:hAnsi="Segoe UI" w:cs="Segoe UI"/>
          <w:color w:val="0D0D0D"/>
          <w:sz w:val="24"/>
          <w:szCs w:val="24"/>
          <w:lang w:eastAsia="en-IN"/>
        </w:rPr>
        <w:t>modeling</w:t>
      </w:r>
      <w:proofErr w:type="spellEnd"/>
      <w:r w:rsidRPr="00BC70EF">
        <w:rPr>
          <w:rFonts w:ascii="Segoe UI" w:eastAsia="Times New Roman" w:hAnsi="Segoe UI" w:cs="Segoe UI"/>
          <w:color w:val="0D0D0D"/>
          <w:sz w:val="24"/>
          <w:szCs w:val="24"/>
          <w:lang w:eastAsia="en-IN"/>
        </w:rPr>
        <w:t>.</w:t>
      </w:r>
    </w:p>
    <w:p w14:paraId="57039982" w14:textId="77777777" w:rsidR="00BC70EF" w:rsidRPr="00BC70EF" w:rsidRDefault="00BC70EF" w:rsidP="00BC70EF">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Healthcare Regulatory Bodies and Policy Agencies</w:t>
      </w:r>
      <w:r w:rsidRPr="00BC70EF">
        <w:rPr>
          <w:rFonts w:ascii="Segoe UI" w:eastAsia="Times New Roman" w:hAnsi="Segoe UI" w:cs="Segoe UI"/>
          <w:color w:val="0D0D0D"/>
          <w:sz w:val="24"/>
          <w:szCs w:val="24"/>
          <w:lang w:eastAsia="en-IN"/>
        </w:rPr>
        <w:t> – influencing market compliance and adoption through guidelines on non-animal testing.</w:t>
      </w:r>
    </w:p>
    <w:p w14:paraId="40250591" w14:textId="77777777" w:rsidR="00BC70EF" w:rsidRPr="00BC70EF" w:rsidRDefault="00BC70EF" w:rsidP="00BC70EF">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Medical Device and Consumables Manufacturers</w:t>
      </w:r>
      <w:r w:rsidRPr="00BC70EF">
        <w:rPr>
          <w:rFonts w:ascii="Segoe UI" w:eastAsia="Times New Roman" w:hAnsi="Segoe UI" w:cs="Segoe UI"/>
          <w:color w:val="0D0D0D"/>
          <w:sz w:val="24"/>
          <w:szCs w:val="24"/>
          <w:lang w:eastAsia="en-IN"/>
        </w:rPr>
        <w:t> – supplying assay kits, reagents, microplates, and instrumentation.</w:t>
      </w:r>
    </w:p>
    <w:p w14:paraId="67535062" w14:textId="77777777" w:rsidR="00BC70EF" w:rsidRPr="00BC70EF" w:rsidRDefault="00BC70EF" w:rsidP="00BC70EF">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Investors and VCs</w:t>
      </w:r>
      <w:r w:rsidRPr="00BC70EF">
        <w:rPr>
          <w:rFonts w:ascii="Segoe UI" w:eastAsia="Times New Roman" w:hAnsi="Segoe UI" w:cs="Segoe UI"/>
          <w:color w:val="0D0D0D"/>
          <w:sz w:val="24"/>
          <w:szCs w:val="24"/>
          <w:lang w:eastAsia="en-IN"/>
        </w:rPr>
        <w:t> – targeting biotech platforms offering proprietary or AI-enhanced cell viability solutions.</w:t>
      </w:r>
    </w:p>
    <w:p w14:paraId="023FAF19"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i/>
          <w:iCs/>
          <w:color w:val="0D0D0D"/>
          <w:sz w:val="24"/>
          <w:szCs w:val="24"/>
          <w:lang w:eastAsia="en-IN"/>
        </w:rPr>
        <w:t>As the biological sciences continue to embrace automation and analytics, the importance of high-fidelity cell viability assays will rise — not just as diagnostic tools, but as real-time data engines for precision therapeutics.</w:t>
      </w:r>
    </w:p>
    <w:p w14:paraId="0F3C8F04" w14:textId="77777777" w:rsidR="00BC70EF" w:rsidRPr="00BC70EF" w:rsidRDefault="00BC70EF" w:rsidP="00BC70EF">
      <w:pPr>
        <w:spacing w:after="0" w:line="240" w:lineRule="auto"/>
        <w:outlineLvl w:val="1"/>
        <w:rPr>
          <w:rFonts w:ascii="Times New Roman" w:eastAsia="Times New Roman" w:hAnsi="Times New Roman" w:cs="Times New Roman"/>
          <w:b/>
          <w:bCs/>
          <w:color w:val="0D0D0D"/>
          <w:sz w:val="36"/>
          <w:szCs w:val="36"/>
          <w:lang w:eastAsia="en-IN"/>
        </w:rPr>
      </w:pPr>
      <w:r w:rsidRPr="00BC70EF">
        <w:rPr>
          <w:rFonts w:ascii="Times New Roman" w:eastAsia="Times New Roman" w:hAnsi="Times New Roman" w:cs="Times New Roman"/>
          <w:b/>
          <w:bCs/>
          <w:color w:val="0D0D0D"/>
          <w:sz w:val="36"/>
          <w:szCs w:val="36"/>
          <w:lang w:eastAsia="en-IN"/>
        </w:rPr>
        <w:t>Market Segmentation and Forecast Scope</w:t>
      </w:r>
    </w:p>
    <w:p w14:paraId="21475669"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color w:val="0D0D0D"/>
          <w:sz w:val="24"/>
          <w:szCs w:val="24"/>
          <w:lang w:eastAsia="en-IN"/>
        </w:rPr>
        <w:t>To gain a strategic understanding of the </w:t>
      </w:r>
      <w:r w:rsidRPr="00BC70EF">
        <w:rPr>
          <w:rFonts w:ascii="Times New Roman" w:eastAsia="Times New Roman" w:hAnsi="Times New Roman" w:cs="Times New Roman"/>
          <w:b/>
          <w:bCs/>
          <w:color w:val="0D0D0D"/>
          <w:sz w:val="24"/>
          <w:szCs w:val="24"/>
          <w:lang w:eastAsia="en-IN"/>
        </w:rPr>
        <w:t>cell viability assays market</w:t>
      </w:r>
      <w:r w:rsidRPr="00BC70EF">
        <w:rPr>
          <w:rFonts w:ascii="Times New Roman" w:eastAsia="Times New Roman" w:hAnsi="Times New Roman" w:cs="Times New Roman"/>
          <w:color w:val="0D0D0D"/>
          <w:sz w:val="24"/>
          <w:szCs w:val="24"/>
          <w:lang w:eastAsia="en-IN"/>
        </w:rPr>
        <w:t>, the segmentation is structured around four primary dimensions: </w:t>
      </w:r>
      <w:r w:rsidRPr="00BC70EF">
        <w:rPr>
          <w:rFonts w:ascii="Times New Roman" w:eastAsia="Times New Roman" w:hAnsi="Times New Roman" w:cs="Times New Roman"/>
          <w:b/>
          <w:bCs/>
          <w:color w:val="0D0D0D"/>
          <w:sz w:val="24"/>
          <w:szCs w:val="24"/>
          <w:lang w:eastAsia="en-IN"/>
        </w:rPr>
        <w:t>By Product Type</w:t>
      </w:r>
      <w:r w:rsidRPr="00BC70EF">
        <w:rPr>
          <w:rFonts w:ascii="Times New Roman" w:eastAsia="Times New Roman" w:hAnsi="Times New Roman" w:cs="Times New Roman"/>
          <w:color w:val="0D0D0D"/>
          <w:sz w:val="24"/>
          <w:szCs w:val="24"/>
          <w:lang w:eastAsia="en-IN"/>
        </w:rPr>
        <w:t>, </w:t>
      </w:r>
      <w:r w:rsidRPr="00BC70EF">
        <w:rPr>
          <w:rFonts w:ascii="Times New Roman" w:eastAsia="Times New Roman" w:hAnsi="Times New Roman" w:cs="Times New Roman"/>
          <w:b/>
          <w:bCs/>
          <w:color w:val="0D0D0D"/>
          <w:sz w:val="24"/>
          <w:szCs w:val="24"/>
          <w:lang w:eastAsia="en-IN"/>
        </w:rPr>
        <w:t>By Assay Method</w:t>
      </w:r>
      <w:r w:rsidRPr="00BC70EF">
        <w:rPr>
          <w:rFonts w:ascii="Times New Roman" w:eastAsia="Times New Roman" w:hAnsi="Times New Roman" w:cs="Times New Roman"/>
          <w:color w:val="0D0D0D"/>
          <w:sz w:val="24"/>
          <w:szCs w:val="24"/>
          <w:lang w:eastAsia="en-IN"/>
        </w:rPr>
        <w:t>, </w:t>
      </w:r>
      <w:r w:rsidRPr="00BC70EF">
        <w:rPr>
          <w:rFonts w:ascii="Times New Roman" w:eastAsia="Times New Roman" w:hAnsi="Times New Roman" w:cs="Times New Roman"/>
          <w:b/>
          <w:bCs/>
          <w:color w:val="0D0D0D"/>
          <w:sz w:val="24"/>
          <w:szCs w:val="24"/>
          <w:lang w:eastAsia="en-IN"/>
        </w:rPr>
        <w:t>By End User</w:t>
      </w:r>
      <w:r w:rsidRPr="00BC70EF">
        <w:rPr>
          <w:rFonts w:ascii="Times New Roman" w:eastAsia="Times New Roman" w:hAnsi="Times New Roman" w:cs="Times New Roman"/>
          <w:color w:val="0D0D0D"/>
          <w:sz w:val="24"/>
          <w:szCs w:val="24"/>
          <w:lang w:eastAsia="en-IN"/>
        </w:rPr>
        <w:t>, and </w:t>
      </w:r>
      <w:r w:rsidRPr="00BC70EF">
        <w:rPr>
          <w:rFonts w:ascii="Times New Roman" w:eastAsia="Times New Roman" w:hAnsi="Times New Roman" w:cs="Times New Roman"/>
          <w:b/>
          <w:bCs/>
          <w:color w:val="0D0D0D"/>
          <w:sz w:val="24"/>
          <w:szCs w:val="24"/>
          <w:lang w:eastAsia="en-IN"/>
        </w:rPr>
        <w:t>By Region</w:t>
      </w:r>
      <w:r w:rsidRPr="00BC70EF">
        <w:rPr>
          <w:rFonts w:ascii="Times New Roman" w:eastAsia="Times New Roman" w:hAnsi="Times New Roman" w:cs="Times New Roman"/>
          <w:color w:val="0D0D0D"/>
          <w:sz w:val="24"/>
          <w:szCs w:val="24"/>
          <w:lang w:eastAsia="en-IN"/>
        </w:rPr>
        <w:t>. Each segmentation layer provides clarity on demand dynamics, technology preferences, and growth vectors across the ecosystem.</w:t>
      </w:r>
    </w:p>
    <w:p w14:paraId="48CAB856" w14:textId="77777777" w:rsidR="00BC70EF" w:rsidRPr="00BC70EF" w:rsidRDefault="00BC70EF" w:rsidP="00BC70EF">
      <w:pPr>
        <w:spacing w:after="0" w:line="240" w:lineRule="auto"/>
        <w:outlineLvl w:val="2"/>
        <w:rPr>
          <w:rFonts w:ascii="Times New Roman" w:eastAsia="Times New Roman" w:hAnsi="Times New Roman" w:cs="Times New Roman"/>
          <w:b/>
          <w:bCs/>
          <w:color w:val="0D0D0D"/>
          <w:sz w:val="30"/>
          <w:szCs w:val="30"/>
          <w:lang w:eastAsia="en-IN"/>
        </w:rPr>
      </w:pPr>
      <w:r w:rsidRPr="00BC70EF">
        <w:rPr>
          <w:rFonts w:ascii="Times New Roman" w:eastAsia="Times New Roman" w:hAnsi="Times New Roman" w:cs="Times New Roman"/>
          <w:b/>
          <w:bCs/>
          <w:color w:val="0D0D0D"/>
          <w:sz w:val="30"/>
          <w:szCs w:val="30"/>
          <w:lang w:eastAsia="en-IN"/>
        </w:rPr>
        <w:t>By Product Type</w:t>
      </w:r>
    </w:p>
    <w:p w14:paraId="240E8BF1" w14:textId="77777777" w:rsidR="00BC70EF" w:rsidRPr="00BC70EF" w:rsidRDefault="00BC70EF" w:rsidP="00BC70EF">
      <w:pPr>
        <w:numPr>
          <w:ilvl w:val="0"/>
          <w:numId w:val="3"/>
        </w:numPr>
        <w:spacing w:after="0"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t>Reagents &amp; Kits</w:t>
      </w:r>
    </w:p>
    <w:p w14:paraId="5D1B6814" w14:textId="77777777" w:rsidR="00BC70EF" w:rsidRPr="00BC70EF" w:rsidRDefault="00BC70EF" w:rsidP="00BC70EF">
      <w:pPr>
        <w:numPr>
          <w:ilvl w:val="0"/>
          <w:numId w:val="3"/>
        </w:numPr>
        <w:spacing w:after="0"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t>Instruments</w:t>
      </w:r>
    </w:p>
    <w:p w14:paraId="7F74A4B3" w14:textId="77777777" w:rsidR="00BC70EF" w:rsidRPr="00BC70EF" w:rsidRDefault="00BC70EF" w:rsidP="00BC70EF">
      <w:pPr>
        <w:numPr>
          <w:ilvl w:val="0"/>
          <w:numId w:val="3"/>
        </w:numPr>
        <w:spacing w:after="0"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t>Microplates</w:t>
      </w:r>
    </w:p>
    <w:p w14:paraId="38DF5446" w14:textId="77777777" w:rsidR="00BC70EF" w:rsidRPr="00BC70EF" w:rsidRDefault="00BC70EF" w:rsidP="00BC70EF">
      <w:pPr>
        <w:numPr>
          <w:ilvl w:val="0"/>
          <w:numId w:val="3"/>
        </w:numPr>
        <w:spacing w:after="0"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t>Software &amp; Analytics</w:t>
      </w:r>
    </w:p>
    <w:p w14:paraId="6AB0D4F9"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t>Reagents &amp; Kits</w:t>
      </w:r>
      <w:r w:rsidRPr="00BC70EF">
        <w:rPr>
          <w:rFonts w:ascii="Times New Roman" w:eastAsia="Times New Roman" w:hAnsi="Times New Roman" w:cs="Times New Roman"/>
          <w:color w:val="0D0D0D"/>
          <w:sz w:val="24"/>
          <w:szCs w:val="24"/>
          <w:lang w:eastAsia="en-IN"/>
        </w:rPr>
        <w:t> dominate the market, accounting for </w:t>
      </w:r>
      <w:r w:rsidRPr="00BC70EF">
        <w:rPr>
          <w:rFonts w:ascii="Times New Roman" w:eastAsia="Times New Roman" w:hAnsi="Times New Roman" w:cs="Times New Roman"/>
          <w:b/>
          <w:bCs/>
          <w:color w:val="0D0D0D"/>
          <w:sz w:val="24"/>
          <w:szCs w:val="24"/>
          <w:lang w:eastAsia="en-IN"/>
        </w:rPr>
        <w:t>over 58% of global revenue in 2024</w:t>
      </w:r>
      <w:r w:rsidRPr="00BC70EF">
        <w:rPr>
          <w:rFonts w:ascii="Times New Roman" w:eastAsia="Times New Roman" w:hAnsi="Times New Roman" w:cs="Times New Roman"/>
          <w:color w:val="0D0D0D"/>
          <w:sz w:val="24"/>
          <w:szCs w:val="24"/>
          <w:lang w:eastAsia="en-IN"/>
        </w:rPr>
        <w:t>, due to their high repeat purchase frequency, compatibility with various assay platforms, and rapid turnaround time. These include colorimetric, fluorometric, and luminescence-based reagents designed for cytotoxicity, apoptosis, and proliferation testing.</w:t>
      </w:r>
    </w:p>
    <w:p w14:paraId="1CE7429B"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color w:val="0D0D0D"/>
          <w:sz w:val="24"/>
          <w:szCs w:val="24"/>
          <w:lang w:eastAsia="en-IN"/>
        </w:rPr>
        <w:t>The </w:t>
      </w:r>
      <w:r w:rsidRPr="00BC70EF">
        <w:rPr>
          <w:rFonts w:ascii="Times New Roman" w:eastAsia="Times New Roman" w:hAnsi="Times New Roman" w:cs="Times New Roman"/>
          <w:b/>
          <w:bCs/>
          <w:color w:val="0D0D0D"/>
          <w:sz w:val="24"/>
          <w:szCs w:val="24"/>
          <w:lang w:eastAsia="en-IN"/>
        </w:rPr>
        <w:t>Software &amp; Analytics</w:t>
      </w:r>
      <w:r w:rsidRPr="00BC70EF">
        <w:rPr>
          <w:rFonts w:ascii="Times New Roman" w:eastAsia="Times New Roman" w:hAnsi="Times New Roman" w:cs="Times New Roman"/>
          <w:color w:val="0D0D0D"/>
          <w:sz w:val="24"/>
          <w:szCs w:val="24"/>
          <w:lang w:eastAsia="en-IN"/>
        </w:rPr>
        <w:t> segment is forecasted to be the </w:t>
      </w:r>
      <w:r w:rsidRPr="00BC70EF">
        <w:rPr>
          <w:rFonts w:ascii="Times New Roman" w:eastAsia="Times New Roman" w:hAnsi="Times New Roman" w:cs="Times New Roman"/>
          <w:b/>
          <w:bCs/>
          <w:color w:val="0D0D0D"/>
          <w:sz w:val="24"/>
          <w:szCs w:val="24"/>
          <w:lang w:eastAsia="en-IN"/>
        </w:rPr>
        <w:t>fastest-growing</w:t>
      </w:r>
      <w:r w:rsidRPr="00BC70EF">
        <w:rPr>
          <w:rFonts w:ascii="Times New Roman" w:eastAsia="Times New Roman" w:hAnsi="Times New Roman" w:cs="Times New Roman"/>
          <w:color w:val="0D0D0D"/>
          <w:sz w:val="24"/>
          <w:szCs w:val="24"/>
          <w:lang w:eastAsia="en-IN"/>
        </w:rPr>
        <w:t>, driven by the integration of AI for image-based viability scoring, real-time analytics, and remote assay management. </w:t>
      </w:r>
      <w:r w:rsidRPr="00BC70EF">
        <w:rPr>
          <w:rFonts w:ascii="Times New Roman" w:eastAsia="Times New Roman" w:hAnsi="Times New Roman" w:cs="Times New Roman"/>
          <w:i/>
          <w:iCs/>
          <w:color w:val="0D0D0D"/>
          <w:sz w:val="24"/>
          <w:szCs w:val="24"/>
          <w:lang w:eastAsia="en-IN"/>
        </w:rPr>
        <w:t>Researchers increasingly prefer software-enabled systems that reduce interpretation errors and enhance reproducibility across experiments.</w:t>
      </w:r>
    </w:p>
    <w:p w14:paraId="6EF2E83B" w14:textId="77777777" w:rsidR="00BC70EF" w:rsidRPr="00BC70EF" w:rsidRDefault="00BC70EF" w:rsidP="00BC70EF">
      <w:pPr>
        <w:spacing w:after="0" w:line="240" w:lineRule="auto"/>
        <w:outlineLvl w:val="2"/>
        <w:rPr>
          <w:rFonts w:ascii="Times New Roman" w:eastAsia="Times New Roman" w:hAnsi="Times New Roman" w:cs="Times New Roman"/>
          <w:b/>
          <w:bCs/>
          <w:color w:val="0D0D0D"/>
          <w:sz w:val="30"/>
          <w:szCs w:val="30"/>
          <w:lang w:eastAsia="en-IN"/>
        </w:rPr>
      </w:pPr>
      <w:r w:rsidRPr="00BC70EF">
        <w:rPr>
          <w:rFonts w:ascii="Times New Roman" w:eastAsia="Times New Roman" w:hAnsi="Times New Roman" w:cs="Times New Roman"/>
          <w:b/>
          <w:bCs/>
          <w:color w:val="0D0D0D"/>
          <w:sz w:val="30"/>
          <w:szCs w:val="30"/>
          <w:lang w:eastAsia="en-IN"/>
        </w:rPr>
        <w:t>By Assay Method</w:t>
      </w:r>
    </w:p>
    <w:p w14:paraId="77C41AEA" w14:textId="77777777" w:rsidR="00BC70EF" w:rsidRPr="00BC70EF" w:rsidRDefault="00BC70EF" w:rsidP="00BC70EF">
      <w:pPr>
        <w:numPr>
          <w:ilvl w:val="0"/>
          <w:numId w:val="4"/>
        </w:numPr>
        <w:spacing w:after="0"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t>Colorimetric Assays (e.g., MTT, XTT)</w:t>
      </w:r>
    </w:p>
    <w:p w14:paraId="39496A09" w14:textId="77777777" w:rsidR="00BC70EF" w:rsidRPr="00BC70EF" w:rsidRDefault="00BC70EF" w:rsidP="00BC70EF">
      <w:pPr>
        <w:numPr>
          <w:ilvl w:val="0"/>
          <w:numId w:val="4"/>
        </w:numPr>
        <w:spacing w:after="0"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t>Fluorometric Assays</w:t>
      </w:r>
    </w:p>
    <w:p w14:paraId="5075ABD1" w14:textId="77777777" w:rsidR="00BC70EF" w:rsidRPr="00BC70EF" w:rsidRDefault="00BC70EF" w:rsidP="00BC70EF">
      <w:pPr>
        <w:numPr>
          <w:ilvl w:val="0"/>
          <w:numId w:val="4"/>
        </w:numPr>
        <w:spacing w:after="0"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lastRenderedPageBreak/>
        <w:t>Luminescence-Based Assays</w:t>
      </w:r>
    </w:p>
    <w:p w14:paraId="4D4D54E1" w14:textId="77777777" w:rsidR="00BC70EF" w:rsidRPr="00BC70EF" w:rsidRDefault="00BC70EF" w:rsidP="00BC70EF">
      <w:pPr>
        <w:numPr>
          <w:ilvl w:val="0"/>
          <w:numId w:val="4"/>
        </w:numPr>
        <w:spacing w:after="0"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t>Dye-Exclusion Assays</w:t>
      </w:r>
    </w:p>
    <w:p w14:paraId="2ABE216B"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t>Colorimetric assays</w:t>
      </w:r>
      <w:r w:rsidRPr="00BC70EF">
        <w:rPr>
          <w:rFonts w:ascii="Times New Roman" w:eastAsia="Times New Roman" w:hAnsi="Times New Roman" w:cs="Times New Roman"/>
          <w:color w:val="0D0D0D"/>
          <w:sz w:val="24"/>
          <w:szCs w:val="24"/>
          <w:lang w:eastAsia="en-IN"/>
        </w:rPr>
        <w:t> are widely used in academic and preclinical settings due to their simplicity and cost-effectiveness. However, </w:t>
      </w:r>
      <w:r w:rsidRPr="00BC70EF">
        <w:rPr>
          <w:rFonts w:ascii="Times New Roman" w:eastAsia="Times New Roman" w:hAnsi="Times New Roman" w:cs="Times New Roman"/>
          <w:b/>
          <w:bCs/>
          <w:color w:val="0D0D0D"/>
          <w:sz w:val="24"/>
          <w:szCs w:val="24"/>
          <w:lang w:eastAsia="en-IN"/>
        </w:rPr>
        <w:t>luminescence-based assays</w:t>
      </w:r>
      <w:r w:rsidRPr="00BC70EF">
        <w:rPr>
          <w:rFonts w:ascii="Times New Roman" w:eastAsia="Times New Roman" w:hAnsi="Times New Roman" w:cs="Times New Roman"/>
          <w:color w:val="0D0D0D"/>
          <w:sz w:val="24"/>
          <w:szCs w:val="24"/>
          <w:lang w:eastAsia="en-IN"/>
        </w:rPr>
        <w:t> are gaining significant traction in pharma and CRO environments owing to their high sensitivity, non-destructive protocols, and compatibility with automated HTS platforms.</w:t>
      </w:r>
    </w:p>
    <w:p w14:paraId="5B14CC01"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i/>
          <w:iCs/>
          <w:color w:val="0D0D0D"/>
          <w:sz w:val="24"/>
          <w:szCs w:val="24"/>
          <w:lang w:eastAsia="en-IN"/>
        </w:rPr>
        <w:t>The transition from basic colorimetric to advanced luminescent methods reflects the industry’s need for greater sensitivity and scalability in complex, multi-parametric studies.</w:t>
      </w:r>
    </w:p>
    <w:p w14:paraId="47E31CCD" w14:textId="77777777" w:rsidR="00BC70EF" w:rsidRPr="00BC70EF" w:rsidRDefault="00BC70EF" w:rsidP="00BC70EF">
      <w:pPr>
        <w:spacing w:after="0" w:line="240" w:lineRule="auto"/>
        <w:outlineLvl w:val="2"/>
        <w:rPr>
          <w:rFonts w:ascii="Times New Roman" w:eastAsia="Times New Roman" w:hAnsi="Times New Roman" w:cs="Times New Roman"/>
          <w:b/>
          <w:bCs/>
          <w:color w:val="0D0D0D"/>
          <w:sz w:val="30"/>
          <w:szCs w:val="30"/>
          <w:lang w:eastAsia="en-IN"/>
        </w:rPr>
      </w:pPr>
      <w:r w:rsidRPr="00BC70EF">
        <w:rPr>
          <w:rFonts w:ascii="Times New Roman" w:eastAsia="Times New Roman" w:hAnsi="Times New Roman" w:cs="Times New Roman"/>
          <w:b/>
          <w:bCs/>
          <w:color w:val="0D0D0D"/>
          <w:sz w:val="30"/>
          <w:szCs w:val="30"/>
          <w:lang w:eastAsia="en-IN"/>
        </w:rPr>
        <w:t>By End User</w:t>
      </w:r>
    </w:p>
    <w:p w14:paraId="6ED4C786" w14:textId="77777777" w:rsidR="00BC70EF" w:rsidRPr="00BC70EF" w:rsidRDefault="00BC70EF" w:rsidP="00BC70EF">
      <w:pPr>
        <w:numPr>
          <w:ilvl w:val="0"/>
          <w:numId w:val="5"/>
        </w:numPr>
        <w:spacing w:after="0"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t>Pharmaceutical &amp; Biotechnology Companies</w:t>
      </w:r>
    </w:p>
    <w:p w14:paraId="73F764D3" w14:textId="77777777" w:rsidR="00BC70EF" w:rsidRPr="00BC70EF" w:rsidRDefault="00BC70EF" w:rsidP="00BC70EF">
      <w:pPr>
        <w:numPr>
          <w:ilvl w:val="0"/>
          <w:numId w:val="5"/>
        </w:numPr>
        <w:spacing w:after="0"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t>Academic &amp; Research Institutions</w:t>
      </w:r>
    </w:p>
    <w:p w14:paraId="74E3EA4F" w14:textId="77777777" w:rsidR="00BC70EF" w:rsidRPr="00BC70EF" w:rsidRDefault="00BC70EF" w:rsidP="00BC70EF">
      <w:pPr>
        <w:numPr>
          <w:ilvl w:val="0"/>
          <w:numId w:val="5"/>
        </w:numPr>
        <w:spacing w:after="0"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t>Contract Research Organizations (CROs)</w:t>
      </w:r>
    </w:p>
    <w:p w14:paraId="66A0DC0C" w14:textId="77777777" w:rsidR="00BC70EF" w:rsidRPr="00BC70EF" w:rsidRDefault="00BC70EF" w:rsidP="00BC70EF">
      <w:pPr>
        <w:numPr>
          <w:ilvl w:val="0"/>
          <w:numId w:val="5"/>
        </w:numPr>
        <w:spacing w:after="0"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t>Hospitals &amp; Diagnostic Laboratories</w:t>
      </w:r>
    </w:p>
    <w:p w14:paraId="4426A23C"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t>Pharmaceutical &amp; Biotechnology Companies</w:t>
      </w:r>
      <w:r w:rsidRPr="00BC70EF">
        <w:rPr>
          <w:rFonts w:ascii="Times New Roman" w:eastAsia="Times New Roman" w:hAnsi="Times New Roman" w:cs="Times New Roman"/>
          <w:color w:val="0D0D0D"/>
          <w:sz w:val="24"/>
          <w:szCs w:val="24"/>
          <w:lang w:eastAsia="en-IN"/>
        </w:rPr>
        <w:t> represent the largest consumer base, especially for applications in lead compound screening, cytotoxic profiling, and bioanalytical method validation. Meanwhile, </w:t>
      </w:r>
      <w:r w:rsidRPr="00BC70EF">
        <w:rPr>
          <w:rFonts w:ascii="Times New Roman" w:eastAsia="Times New Roman" w:hAnsi="Times New Roman" w:cs="Times New Roman"/>
          <w:b/>
          <w:bCs/>
          <w:color w:val="0D0D0D"/>
          <w:sz w:val="24"/>
          <w:szCs w:val="24"/>
          <w:lang w:eastAsia="en-IN"/>
        </w:rPr>
        <w:t>academic institutions</w:t>
      </w:r>
      <w:r w:rsidRPr="00BC70EF">
        <w:rPr>
          <w:rFonts w:ascii="Times New Roman" w:eastAsia="Times New Roman" w:hAnsi="Times New Roman" w:cs="Times New Roman"/>
          <w:color w:val="0D0D0D"/>
          <w:sz w:val="24"/>
          <w:szCs w:val="24"/>
          <w:lang w:eastAsia="en-IN"/>
        </w:rPr>
        <w:t> play a pivotal role in exploratory R&amp;D, particularly in oncology and regenerative biology.</w:t>
      </w:r>
    </w:p>
    <w:p w14:paraId="192AA487"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i/>
          <w:iCs/>
          <w:color w:val="0D0D0D"/>
          <w:sz w:val="24"/>
          <w:szCs w:val="24"/>
          <w:lang w:eastAsia="en-IN"/>
        </w:rPr>
        <w:t>The CRO segment is witnessing accelerated adoption, as outsourcing trends increase and biopharma players seek cost-effective, scalable assay solutions.</w:t>
      </w:r>
    </w:p>
    <w:p w14:paraId="13F68286" w14:textId="77777777" w:rsidR="00BC70EF" w:rsidRPr="00BC70EF" w:rsidRDefault="00BC70EF" w:rsidP="00BC70EF">
      <w:pPr>
        <w:spacing w:after="0" w:line="240" w:lineRule="auto"/>
        <w:outlineLvl w:val="2"/>
        <w:rPr>
          <w:rFonts w:ascii="Times New Roman" w:eastAsia="Times New Roman" w:hAnsi="Times New Roman" w:cs="Times New Roman"/>
          <w:b/>
          <w:bCs/>
          <w:color w:val="0D0D0D"/>
          <w:sz w:val="30"/>
          <w:szCs w:val="30"/>
          <w:lang w:eastAsia="en-IN"/>
        </w:rPr>
      </w:pPr>
      <w:r w:rsidRPr="00BC70EF">
        <w:rPr>
          <w:rFonts w:ascii="Times New Roman" w:eastAsia="Times New Roman" w:hAnsi="Times New Roman" w:cs="Times New Roman"/>
          <w:b/>
          <w:bCs/>
          <w:color w:val="0D0D0D"/>
          <w:sz w:val="30"/>
          <w:szCs w:val="30"/>
          <w:lang w:eastAsia="en-IN"/>
        </w:rPr>
        <w:t>By Region</w:t>
      </w:r>
    </w:p>
    <w:p w14:paraId="72F9F9FC" w14:textId="77777777" w:rsidR="00BC70EF" w:rsidRPr="00BC70EF" w:rsidRDefault="00BC70EF" w:rsidP="00BC70EF">
      <w:pPr>
        <w:numPr>
          <w:ilvl w:val="0"/>
          <w:numId w:val="6"/>
        </w:numPr>
        <w:spacing w:after="0"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t>North America</w:t>
      </w:r>
    </w:p>
    <w:p w14:paraId="7AF8384C" w14:textId="77777777" w:rsidR="00BC70EF" w:rsidRPr="00BC70EF" w:rsidRDefault="00BC70EF" w:rsidP="00BC70EF">
      <w:pPr>
        <w:numPr>
          <w:ilvl w:val="0"/>
          <w:numId w:val="6"/>
        </w:numPr>
        <w:spacing w:after="0"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t>Europe</w:t>
      </w:r>
    </w:p>
    <w:p w14:paraId="1F94B046" w14:textId="77777777" w:rsidR="00BC70EF" w:rsidRPr="00BC70EF" w:rsidRDefault="00BC70EF" w:rsidP="00BC70EF">
      <w:pPr>
        <w:numPr>
          <w:ilvl w:val="0"/>
          <w:numId w:val="6"/>
        </w:numPr>
        <w:spacing w:after="0"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t>Asia-Pacific</w:t>
      </w:r>
    </w:p>
    <w:p w14:paraId="263B403A" w14:textId="77777777" w:rsidR="00BC70EF" w:rsidRPr="00BC70EF" w:rsidRDefault="00BC70EF" w:rsidP="00BC70EF">
      <w:pPr>
        <w:numPr>
          <w:ilvl w:val="0"/>
          <w:numId w:val="6"/>
        </w:numPr>
        <w:spacing w:after="0"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t>LAMEA (Latin America, Middle East, and Africa)</w:t>
      </w:r>
    </w:p>
    <w:p w14:paraId="4A1BBFE5"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t>North America</w:t>
      </w:r>
      <w:r w:rsidRPr="00BC70EF">
        <w:rPr>
          <w:rFonts w:ascii="Times New Roman" w:eastAsia="Times New Roman" w:hAnsi="Times New Roman" w:cs="Times New Roman"/>
          <w:color w:val="0D0D0D"/>
          <w:sz w:val="24"/>
          <w:szCs w:val="24"/>
          <w:lang w:eastAsia="en-IN"/>
        </w:rPr>
        <w:t> leads the global market in 2024, driven by robust healthcare infrastructure, strong research funding, and widespread adoption of automation in drug discovery. However, </w:t>
      </w:r>
      <w:r w:rsidRPr="00BC70EF">
        <w:rPr>
          <w:rFonts w:ascii="Times New Roman" w:eastAsia="Times New Roman" w:hAnsi="Times New Roman" w:cs="Times New Roman"/>
          <w:b/>
          <w:bCs/>
          <w:color w:val="0D0D0D"/>
          <w:sz w:val="24"/>
          <w:szCs w:val="24"/>
          <w:lang w:eastAsia="en-IN"/>
        </w:rPr>
        <w:t>Asia-Pacific</w:t>
      </w:r>
      <w:r w:rsidRPr="00BC70EF">
        <w:rPr>
          <w:rFonts w:ascii="Times New Roman" w:eastAsia="Times New Roman" w:hAnsi="Times New Roman" w:cs="Times New Roman"/>
          <w:color w:val="0D0D0D"/>
          <w:sz w:val="24"/>
          <w:szCs w:val="24"/>
          <w:lang w:eastAsia="en-IN"/>
        </w:rPr>
        <w:t> is expected to be the </w:t>
      </w:r>
      <w:r w:rsidRPr="00BC70EF">
        <w:rPr>
          <w:rFonts w:ascii="Times New Roman" w:eastAsia="Times New Roman" w:hAnsi="Times New Roman" w:cs="Times New Roman"/>
          <w:b/>
          <w:bCs/>
          <w:color w:val="0D0D0D"/>
          <w:sz w:val="24"/>
          <w:szCs w:val="24"/>
          <w:lang w:eastAsia="en-IN"/>
        </w:rPr>
        <w:t>fastest-growing region</w:t>
      </w:r>
      <w:r w:rsidRPr="00BC70EF">
        <w:rPr>
          <w:rFonts w:ascii="Times New Roman" w:eastAsia="Times New Roman" w:hAnsi="Times New Roman" w:cs="Times New Roman"/>
          <w:color w:val="0D0D0D"/>
          <w:sz w:val="24"/>
          <w:szCs w:val="24"/>
          <w:lang w:eastAsia="en-IN"/>
        </w:rPr>
        <w:t> through 2030, propelled by expanding biopharma hubs in China and India, rising contract manufacturing, and increasing government investment in biotech innovation.</w:t>
      </w:r>
    </w:p>
    <w:p w14:paraId="2D556DD3" w14:textId="54B6E96E" w:rsidR="00BC70EF" w:rsidRPr="00BC70EF" w:rsidRDefault="00BC70EF" w:rsidP="00BC70EF">
      <w:pPr>
        <w:spacing w:before="720" w:after="720"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color w:val="0D0D0D"/>
          <w:sz w:val="24"/>
          <w:szCs w:val="24"/>
          <w:lang w:eastAsia="en-IN"/>
        </w:rPr>
        <w:pict w14:anchorId="0F37CCA6">
          <v:rect id="_x0000_i1025" style="width:0;height:0" o:hralign="center" o:hrstd="t" o:hr="t" fillcolor="#a0a0a0" stroked="f"/>
        </w:pict>
      </w:r>
    </w:p>
    <w:p w14:paraId="416304AE" w14:textId="77777777" w:rsidR="00BC70EF" w:rsidRPr="00BC70EF" w:rsidRDefault="00BC70EF" w:rsidP="00BC70EF">
      <w:pPr>
        <w:spacing w:after="0" w:line="240" w:lineRule="auto"/>
        <w:outlineLvl w:val="1"/>
        <w:rPr>
          <w:rFonts w:ascii="Times New Roman" w:eastAsia="Times New Roman" w:hAnsi="Times New Roman" w:cs="Times New Roman"/>
          <w:b/>
          <w:bCs/>
          <w:color w:val="0D0D0D"/>
          <w:sz w:val="36"/>
          <w:szCs w:val="36"/>
          <w:lang w:eastAsia="en-IN"/>
        </w:rPr>
      </w:pPr>
      <w:r w:rsidRPr="00BC70EF">
        <w:rPr>
          <w:rFonts w:ascii="Times New Roman" w:eastAsia="Times New Roman" w:hAnsi="Times New Roman" w:cs="Times New Roman"/>
          <w:b/>
          <w:bCs/>
          <w:color w:val="0D0D0D"/>
          <w:sz w:val="36"/>
          <w:szCs w:val="36"/>
          <w:lang w:eastAsia="en-IN"/>
        </w:rPr>
        <w:t>Market Trends and Innovation Landscape</w:t>
      </w:r>
    </w:p>
    <w:p w14:paraId="0EB75690"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color w:val="0D0D0D"/>
          <w:sz w:val="24"/>
          <w:szCs w:val="24"/>
          <w:lang w:eastAsia="en-IN"/>
        </w:rPr>
        <w:t>The </w:t>
      </w:r>
      <w:r w:rsidRPr="00BC70EF">
        <w:rPr>
          <w:rFonts w:ascii="Times New Roman" w:eastAsia="Times New Roman" w:hAnsi="Times New Roman" w:cs="Times New Roman"/>
          <w:b/>
          <w:bCs/>
          <w:color w:val="0D0D0D"/>
          <w:sz w:val="24"/>
          <w:szCs w:val="24"/>
          <w:lang w:eastAsia="en-IN"/>
        </w:rPr>
        <w:t>cell viability assays market</w:t>
      </w:r>
      <w:r w:rsidRPr="00BC70EF">
        <w:rPr>
          <w:rFonts w:ascii="Times New Roman" w:eastAsia="Times New Roman" w:hAnsi="Times New Roman" w:cs="Times New Roman"/>
          <w:color w:val="0D0D0D"/>
          <w:sz w:val="24"/>
          <w:szCs w:val="24"/>
          <w:lang w:eastAsia="en-IN"/>
        </w:rPr>
        <w:t xml:space="preserve"> is undergoing a pivotal transformation </w:t>
      </w:r>
      <w:proofErr w:type="spellStart"/>
      <w:r w:rsidRPr="00BC70EF">
        <w:rPr>
          <w:rFonts w:ascii="Times New Roman" w:eastAsia="Times New Roman" w:hAnsi="Times New Roman" w:cs="Times New Roman"/>
          <w:color w:val="0D0D0D"/>
          <w:sz w:val="24"/>
          <w:szCs w:val="24"/>
          <w:lang w:eastAsia="en-IN"/>
        </w:rPr>
        <w:t>fueled</w:t>
      </w:r>
      <w:proofErr w:type="spellEnd"/>
      <w:r w:rsidRPr="00BC70EF">
        <w:rPr>
          <w:rFonts w:ascii="Times New Roman" w:eastAsia="Times New Roman" w:hAnsi="Times New Roman" w:cs="Times New Roman"/>
          <w:color w:val="0D0D0D"/>
          <w:sz w:val="24"/>
          <w:szCs w:val="24"/>
          <w:lang w:eastAsia="en-IN"/>
        </w:rPr>
        <w:t xml:space="preserve"> by technological convergence, strategic partnerships, and growing demand for </w:t>
      </w:r>
      <w:r w:rsidRPr="00BC70EF">
        <w:rPr>
          <w:rFonts w:ascii="Times New Roman" w:eastAsia="Times New Roman" w:hAnsi="Times New Roman" w:cs="Times New Roman"/>
          <w:b/>
          <w:bCs/>
          <w:color w:val="0D0D0D"/>
          <w:sz w:val="24"/>
          <w:szCs w:val="24"/>
          <w:lang w:eastAsia="en-IN"/>
        </w:rPr>
        <w:t>high-throughput, real-time, and AI-integrated platforms</w:t>
      </w:r>
      <w:r w:rsidRPr="00BC70EF">
        <w:rPr>
          <w:rFonts w:ascii="Times New Roman" w:eastAsia="Times New Roman" w:hAnsi="Times New Roman" w:cs="Times New Roman"/>
          <w:color w:val="0D0D0D"/>
          <w:sz w:val="24"/>
          <w:szCs w:val="24"/>
          <w:lang w:eastAsia="en-IN"/>
        </w:rPr>
        <w:t>. Innovation in this field is no longer limited to assay reagents; it spans across hardware miniaturization, multiplexing, cloud-</w:t>
      </w:r>
      <w:r w:rsidRPr="00BC70EF">
        <w:rPr>
          <w:rFonts w:ascii="Times New Roman" w:eastAsia="Times New Roman" w:hAnsi="Times New Roman" w:cs="Times New Roman"/>
          <w:color w:val="0D0D0D"/>
          <w:sz w:val="24"/>
          <w:szCs w:val="24"/>
          <w:lang w:eastAsia="en-IN"/>
        </w:rPr>
        <w:lastRenderedPageBreak/>
        <w:t>enabled analytics, and bioinformatics integration — positioning viability assays at the core of modern life sciences.</w:t>
      </w:r>
    </w:p>
    <w:p w14:paraId="2A809380" w14:textId="77777777" w:rsidR="00BC70EF" w:rsidRPr="00BC70EF" w:rsidRDefault="00BC70EF" w:rsidP="00BC70EF">
      <w:pPr>
        <w:spacing w:after="0" w:line="240" w:lineRule="auto"/>
        <w:outlineLvl w:val="2"/>
        <w:rPr>
          <w:rFonts w:ascii="Times New Roman" w:eastAsia="Times New Roman" w:hAnsi="Times New Roman" w:cs="Times New Roman"/>
          <w:b/>
          <w:bCs/>
          <w:color w:val="0D0D0D"/>
          <w:sz w:val="30"/>
          <w:szCs w:val="30"/>
          <w:lang w:eastAsia="en-IN"/>
        </w:rPr>
      </w:pPr>
      <w:r w:rsidRPr="00BC70EF">
        <w:rPr>
          <w:rFonts w:ascii="Times New Roman" w:eastAsia="Times New Roman" w:hAnsi="Times New Roman" w:cs="Times New Roman"/>
          <w:b/>
          <w:bCs/>
          <w:color w:val="0D0D0D"/>
          <w:sz w:val="30"/>
          <w:szCs w:val="30"/>
          <w:lang w:eastAsia="en-IN"/>
        </w:rPr>
        <w:t>1. Automation and High-Throughput Screening (HTS)</w:t>
      </w:r>
    </w:p>
    <w:p w14:paraId="21A77064"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color w:val="0D0D0D"/>
          <w:sz w:val="24"/>
          <w:szCs w:val="24"/>
          <w:lang w:eastAsia="en-IN"/>
        </w:rPr>
        <w:t>One of the most significant trends in 2024 is the increasing adoption of </w:t>
      </w:r>
      <w:r w:rsidRPr="00BC70EF">
        <w:rPr>
          <w:rFonts w:ascii="Times New Roman" w:eastAsia="Times New Roman" w:hAnsi="Times New Roman" w:cs="Times New Roman"/>
          <w:b/>
          <w:bCs/>
          <w:color w:val="0D0D0D"/>
          <w:sz w:val="24"/>
          <w:szCs w:val="24"/>
          <w:lang w:eastAsia="en-IN"/>
        </w:rPr>
        <w:t>robotics-enabled HTS platforms</w:t>
      </w:r>
      <w:r w:rsidRPr="00BC70EF">
        <w:rPr>
          <w:rFonts w:ascii="Times New Roman" w:eastAsia="Times New Roman" w:hAnsi="Times New Roman" w:cs="Times New Roman"/>
          <w:color w:val="0D0D0D"/>
          <w:sz w:val="24"/>
          <w:szCs w:val="24"/>
          <w:lang w:eastAsia="en-IN"/>
        </w:rPr>
        <w:t>. Pharmaceutical companies are leveraging automated liquid handlers and multi-mode readers to process thousands of samples simultaneously — improving efficiency and reducing manual error.</w:t>
      </w:r>
    </w:p>
    <w:p w14:paraId="2F8F6C78"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i/>
          <w:iCs/>
          <w:color w:val="0D0D0D"/>
          <w:sz w:val="24"/>
          <w:szCs w:val="24"/>
          <w:lang w:eastAsia="en-IN"/>
        </w:rPr>
        <w:t>“High-throughput viability assays are reducing early-stage screening cycles by up to 40%, enabling faster compound validation and lead optimization,”</w:t>
      </w:r>
      <w:r w:rsidRPr="00BC70EF">
        <w:rPr>
          <w:rFonts w:ascii="Times New Roman" w:eastAsia="Times New Roman" w:hAnsi="Times New Roman" w:cs="Times New Roman"/>
          <w:color w:val="0D0D0D"/>
          <w:sz w:val="24"/>
          <w:szCs w:val="24"/>
          <w:lang w:eastAsia="en-IN"/>
        </w:rPr>
        <w:t xml:space="preserve"> remarks a senior bioinformatics director at a mid-sized pharma R&amp;D </w:t>
      </w:r>
      <w:proofErr w:type="spellStart"/>
      <w:r w:rsidRPr="00BC70EF">
        <w:rPr>
          <w:rFonts w:ascii="Times New Roman" w:eastAsia="Times New Roman" w:hAnsi="Times New Roman" w:cs="Times New Roman"/>
          <w:color w:val="0D0D0D"/>
          <w:sz w:val="24"/>
          <w:szCs w:val="24"/>
          <w:lang w:eastAsia="en-IN"/>
        </w:rPr>
        <w:t>center</w:t>
      </w:r>
      <w:proofErr w:type="spellEnd"/>
      <w:r w:rsidRPr="00BC70EF">
        <w:rPr>
          <w:rFonts w:ascii="Times New Roman" w:eastAsia="Times New Roman" w:hAnsi="Times New Roman" w:cs="Times New Roman"/>
          <w:color w:val="0D0D0D"/>
          <w:sz w:val="24"/>
          <w:szCs w:val="24"/>
          <w:lang w:eastAsia="en-IN"/>
        </w:rPr>
        <w:t>.</w:t>
      </w:r>
    </w:p>
    <w:p w14:paraId="2C40FDA7" w14:textId="77777777" w:rsidR="00BC70EF" w:rsidRPr="00BC70EF" w:rsidRDefault="00BC70EF" w:rsidP="00BC70EF">
      <w:pPr>
        <w:spacing w:after="0" w:line="240" w:lineRule="auto"/>
        <w:outlineLvl w:val="2"/>
        <w:rPr>
          <w:rFonts w:ascii="Times New Roman" w:eastAsia="Times New Roman" w:hAnsi="Times New Roman" w:cs="Times New Roman"/>
          <w:b/>
          <w:bCs/>
          <w:color w:val="0D0D0D"/>
          <w:sz w:val="30"/>
          <w:szCs w:val="30"/>
          <w:lang w:eastAsia="en-IN"/>
        </w:rPr>
      </w:pPr>
      <w:r w:rsidRPr="00BC70EF">
        <w:rPr>
          <w:rFonts w:ascii="Times New Roman" w:eastAsia="Times New Roman" w:hAnsi="Times New Roman" w:cs="Times New Roman"/>
          <w:b/>
          <w:bCs/>
          <w:color w:val="0D0D0D"/>
          <w:sz w:val="30"/>
          <w:szCs w:val="30"/>
          <w:lang w:eastAsia="en-IN"/>
        </w:rPr>
        <w:t>2. Rise of 3D Cell Cultures and Organoid Models</w:t>
      </w:r>
    </w:p>
    <w:p w14:paraId="544FC323"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color w:val="0D0D0D"/>
          <w:sz w:val="24"/>
          <w:szCs w:val="24"/>
          <w:lang w:eastAsia="en-IN"/>
        </w:rPr>
        <w:t>Conventional 2D cultures are being replaced with </w:t>
      </w:r>
      <w:r w:rsidRPr="00BC70EF">
        <w:rPr>
          <w:rFonts w:ascii="Times New Roman" w:eastAsia="Times New Roman" w:hAnsi="Times New Roman" w:cs="Times New Roman"/>
          <w:b/>
          <w:bCs/>
          <w:color w:val="0D0D0D"/>
          <w:sz w:val="24"/>
          <w:szCs w:val="24"/>
          <w:lang w:eastAsia="en-IN"/>
        </w:rPr>
        <w:t>3D spheroids and organoid systems</w:t>
      </w:r>
      <w:r w:rsidRPr="00BC70EF">
        <w:rPr>
          <w:rFonts w:ascii="Times New Roman" w:eastAsia="Times New Roman" w:hAnsi="Times New Roman" w:cs="Times New Roman"/>
          <w:color w:val="0D0D0D"/>
          <w:sz w:val="24"/>
          <w:szCs w:val="24"/>
          <w:lang w:eastAsia="en-IN"/>
        </w:rPr>
        <w:t>, which better mimic in vivo environments. These complex models require more sensitive and adaptable viability assays that can measure gradients of oxygen, nutrient diffusion, and layered cytotoxic effects.</w:t>
      </w:r>
    </w:p>
    <w:p w14:paraId="12FDFCE5"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color w:val="0D0D0D"/>
          <w:sz w:val="24"/>
          <w:szCs w:val="24"/>
          <w:lang w:eastAsia="en-IN"/>
        </w:rPr>
        <w:t>Companies are developing </w:t>
      </w:r>
      <w:r w:rsidRPr="00BC70EF">
        <w:rPr>
          <w:rFonts w:ascii="Times New Roman" w:eastAsia="Times New Roman" w:hAnsi="Times New Roman" w:cs="Times New Roman"/>
          <w:b/>
          <w:bCs/>
          <w:color w:val="0D0D0D"/>
          <w:sz w:val="24"/>
          <w:szCs w:val="24"/>
          <w:lang w:eastAsia="en-IN"/>
        </w:rPr>
        <w:t>viability kits tailored for 3D environments</w:t>
      </w:r>
      <w:r w:rsidRPr="00BC70EF">
        <w:rPr>
          <w:rFonts w:ascii="Times New Roman" w:eastAsia="Times New Roman" w:hAnsi="Times New Roman" w:cs="Times New Roman"/>
          <w:color w:val="0D0D0D"/>
          <w:sz w:val="24"/>
          <w:szCs w:val="24"/>
          <w:lang w:eastAsia="en-IN"/>
        </w:rPr>
        <w:t>, using luminescent reporters that penetrate deeper into cell masses — a leap forward for cancer biology, neurodegeneration, and tissue regeneration research.</w:t>
      </w:r>
    </w:p>
    <w:p w14:paraId="34DB953D" w14:textId="77777777" w:rsidR="00BC70EF" w:rsidRPr="00BC70EF" w:rsidRDefault="00BC70EF" w:rsidP="00BC70EF">
      <w:pPr>
        <w:spacing w:after="0" w:line="240" w:lineRule="auto"/>
        <w:outlineLvl w:val="2"/>
        <w:rPr>
          <w:rFonts w:ascii="Times New Roman" w:eastAsia="Times New Roman" w:hAnsi="Times New Roman" w:cs="Times New Roman"/>
          <w:b/>
          <w:bCs/>
          <w:color w:val="0D0D0D"/>
          <w:sz w:val="30"/>
          <w:szCs w:val="30"/>
          <w:lang w:eastAsia="en-IN"/>
        </w:rPr>
      </w:pPr>
      <w:r w:rsidRPr="00BC70EF">
        <w:rPr>
          <w:rFonts w:ascii="Times New Roman" w:eastAsia="Times New Roman" w:hAnsi="Times New Roman" w:cs="Times New Roman"/>
          <w:b/>
          <w:bCs/>
          <w:color w:val="0D0D0D"/>
          <w:sz w:val="30"/>
          <w:szCs w:val="30"/>
          <w:lang w:eastAsia="en-IN"/>
        </w:rPr>
        <w:t>3. Integration of AI and Image-Based Assays</w:t>
      </w:r>
    </w:p>
    <w:p w14:paraId="66F919E7"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color w:val="0D0D0D"/>
          <w:sz w:val="24"/>
          <w:szCs w:val="24"/>
          <w:lang w:eastAsia="en-IN"/>
        </w:rPr>
        <w:t>Emerging software platforms are pairing </w:t>
      </w:r>
      <w:r w:rsidRPr="00BC70EF">
        <w:rPr>
          <w:rFonts w:ascii="Times New Roman" w:eastAsia="Times New Roman" w:hAnsi="Times New Roman" w:cs="Times New Roman"/>
          <w:b/>
          <w:bCs/>
          <w:color w:val="0D0D0D"/>
          <w:sz w:val="24"/>
          <w:szCs w:val="24"/>
          <w:lang w:eastAsia="en-IN"/>
        </w:rPr>
        <w:t>machine learning algorithms with high-resolution imaging</w:t>
      </w:r>
      <w:r w:rsidRPr="00BC70EF">
        <w:rPr>
          <w:rFonts w:ascii="Times New Roman" w:eastAsia="Times New Roman" w:hAnsi="Times New Roman" w:cs="Times New Roman"/>
          <w:color w:val="0D0D0D"/>
          <w:sz w:val="24"/>
          <w:szCs w:val="24"/>
          <w:lang w:eastAsia="en-IN"/>
        </w:rPr>
        <w:t> to deliver fully quantitative, label-free viability scoring. These AI-driven systems can identify subtle morphological changes, early signs of apoptosis, and cell density metrics without the need for dyes or lysis steps.</w:t>
      </w:r>
    </w:p>
    <w:p w14:paraId="7D639D76"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i/>
          <w:iCs/>
          <w:color w:val="0D0D0D"/>
          <w:sz w:val="24"/>
          <w:szCs w:val="24"/>
          <w:lang w:eastAsia="en-IN"/>
        </w:rPr>
        <w:t>“AI-powered image cytometry is helping us distinguish live-dead populations in real time without reagent consumption — a cost and data win,”</w:t>
      </w:r>
      <w:r w:rsidRPr="00BC70EF">
        <w:rPr>
          <w:rFonts w:ascii="Times New Roman" w:eastAsia="Times New Roman" w:hAnsi="Times New Roman" w:cs="Times New Roman"/>
          <w:color w:val="0D0D0D"/>
          <w:sz w:val="24"/>
          <w:szCs w:val="24"/>
          <w:lang w:eastAsia="en-IN"/>
        </w:rPr>
        <w:t> shared a stem cell researcher at a U.S. regenerative medicine lab.</w:t>
      </w:r>
    </w:p>
    <w:p w14:paraId="719CC34E" w14:textId="77777777" w:rsidR="00BC70EF" w:rsidRPr="00BC70EF" w:rsidRDefault="00BC70EF" w:rsidP="00BC70EF">
      <w:pPr>
        <w:spacing w:after="0" w:line="240" w:lineRule="auto"/>
        <w:outlineLvl w:val="2"/>
        <w:rPr>
          <w:rFonts w:ascii="Times New Roman" w:eastAsia="Times New Roman" w:hAnsi="Times New Roman" w:cs="Times New Roman"/>
          <w:b/>
          <w:bCs/>
          <w:color w:val="0D0D0D"/>
          <w:sz w:val="30"/>
          <w:szCs w:val="30"/>
          <w:lang w:eastAsia="en-IN"/>
        </w:rPr>
      </w:pPr>
      <w:r w:rsidRPr="00BC70EF">
        <w:rPr>
          <w:rFonts w:ascii="Times New Roman" w:eastAsia="Times New Roman" w:hAnsi="Times New Roman" w:cs="Times New Roman"/>
          <w:b/>
          <w:bCs/>
          <w:color w:val="0D0D0D"/>
          <w:sz w:val="30"/>
          <w:szCs w:val="30"/>
          <w:lang w:eastAsia="en-IN"/>
        </w:rPr>
        <w:t>4. M&amp;A and Strategic Collaborations</w:t>
      </w:r>
    </w:p>
    <w:p w14:paraId="25FD88E4" w14:textId="77777777" w:rsidR="00BC70EF" w:rsidRPr="00BC70EF" w:rsidRDefault="00BC70EF" w:rsidP="00BC70EF">
      <w:pPr>
        <w:spacing w:before="100" w:beforeAutospacing="1" w:after="10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color w:val="0D0D0D"/>
          <w:sz w:val="24"/>
          <w:szCs w:val="24"/>
          <w:lang w:eastAsia="en-IN"/>
        </w:rPr>
        <w:t>The past two years have seen a wave of strategic mergers and technology partnerships:</w:t>
      </w:r>
    </w:p>
    <w:p w14:paraId="0A79488E" w14:textId="77777777" w:rsidR="00BC70EF" w:rsidRPr="00BC70EF" w:rsidRDefault="00BC70EF" w:rsidP="00BC70EF">
      <w:pPr>
        <w:numPr>
          <w:ilvl w:val="0"/>
          <w:numId w:val="7"/>
        </w:numPr>
        <w:spacing w:after="0"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color w:val="0D0D0D"/>
          <w:sz w:val="24"/>
          <w:szCs w:val="24"/>
          <w:lang w:eastAsia="en-IN"/>
        </w:rPr>
        <w:t>Leading reagent suppliers have partnered with biotech firms to co-develop </w:t>
      </w:r>
      <w:r w:rsidRPr="00BC70EF">
        <w:rPr>
          <w:rFonts w:ascii="Times New Roman" w:eastAsia="Times New Roman" w:hAnsi="Times New Roman" w:cs="Times New Roman"/>
          <w:b/>
          <w:bCs/>
          <w:color w:val="0D0D0D"/>
          <w:sz w:val="24"/>
          <w:szCs w:val="24"/>
          <w:lang w:eastAsia="en-IN"/>
        </w:rPr>
        <w:t>multiplexed viability + toxicity kits</w:t>
      </w:r>
      <w:r w:rsidRPr="00BC70EF">
        <w:rPr>
          <w:rFonts w:ascii="Times New Roman" w:eastAsia="Times New Roman" w:hAnsi="Times New Roman" w:cs="Times New Roman"/>
          <w:color w:val="0D0D0D"/>
          <w:sz w:val="24"/>
          <w:szCs w:val="24"/>
          <w:lang w:eastAsia="en-IN"/>
        </w:rPr>
        <w:t>.</w:t>
      </w:r>
    </w:p>
    <w:p w14:paraId="69E12C20" w14:textId="77777777" w:rsidR="00BC70EF" w:rsidRPr="00BC70EF" w:rsidRDefault="00BC70EF" w:rsidP="00BC70EF">
      <w:pPr>
        <w:numPr>
          <w:ilvl w:val="0"/>
          <w:numId w:val="7"/>
        </w:numPr>
        <w:spacing w:after="0"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color w:val="0D0D0D"/>
          <w:sz w:val="24"/>
          <w:szCs w:val="24"/>
          <w:lang w:eastAsia="en-IN"/>
        </w:rPr>
        <w:t>Instrument manufacturers are integrating </w:t>
      </w:r>
      <w:r w:rsidRPr="00BC70EF">
        <w:rPr>
          <w:rFonts w:ascii="Times New Roman" w:eastAsia="Times New Roman" w:hAnsi="Times New Roman" w:cs="Times New Roman"/>
          <w:b/>
          <w:bCs/>
          <w:color w:val="0D0D0D"/>
          <w:sz w:val="24"/>
          <w:szCs w:val="24"/>
          <w:lang w:eastAsia="en-IN"/>
        </w:rPr>
        <w:t>cloud connectivity and IoT features</w:t>
      </w:r>
      <w:r w:rsidRPr="00BC70EF">
        <w:rPr>
          <w:rFonts w:ascii="Times New Roman" w:eastAsia="Times New Roman" w:hAnsi="Times New Roman" w:cs="Times New Roman"/>
          <w:color w:val="0D0D0D"/>
          <w:sz w:val="24"/>
          <w:szCs w:val="24"/>
          <w:lang w:eastAsia="en-IN"/>
        </w:rPr>
        <w:t> into viability platforms for remote monitoring and centralized data warehousing.</w:t>
      </w:r>
    </w:p>
    <w:p w14:paraId="7E66BED5" w14:textId="77777777" w:rsidR="00BC70EF" w:rsidRPr="00BC70EF" w:rsidRDefault="00BC70EF" w:rsidP="00BC70EF">
      <w:pPr>
        <w:numPr>
          <w:ilvl w:val="0"/>
          <w:numId w:val="7"/>
        </w:numPr>
        <w:spacing w:after="0"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color w:val="0D0D0D"/>
          <w:sz w:val="24"/>
          <w:szCs w:val="24"/>
          <w:lang w:eastAsia="en-IN"/>
        </w:rPr>
        <w:t>Start-ups specializing in </w:t>
      </w:r>
      <w:r w:rsidRPr="00BC70EF">
        <w:rPr>
          <w:rFonts w:ascii="Times New Roman" w:eastAsia="Times New Roman" w:hAnsi="Times New Roman" w:cs="Times New Roman"/>
          <w:b/>
          <w:bCs/>
          <w:color w:val="0D0D0D"/>
          <w:sz w:val="24"/>
          <w:szCs w:val="24"/>
          <w:lang w:eastAsia="en-IN"/>
        </w:rPr>
        <w:t>AI and bioinformatics</w:t>
      </w:r>
      <w:r w:rsidRPr="00BC70EF">
        <w:rPr>
          <w:rFonts w:ascii="Times New Roman" w:eastAsia="Times New Roman" w:hAnsi="Times New Roman" w:cs="Times New Roman"/>
          <w:color w:val="0D0D0D"/>
          <w:sz w:val="24"/>
          <w:szCs w:val="24"/>
          <w:lang w:eastAsia="en-IN"/>
        </w:rPr>
        <w:t> are being acquired or backed by diagnostics giants to build end-to-end assay ecosystems.</w:t>
      </w:r>
    </w:p>
    <w:p w14:paraId="46B3F135" w14:textId="77777777" w:rsidR="00BC70EF" w:rsidRPr="00BC70EF" w:rsidRDefault="00BC70EF" w:rsidP="00BC70EF">
      <w:pPr>
        <w:spacing w:before="100" w:beforeAutospacing="1" w:after="10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color w:val="0D0D0D"/>
          <w:sz w:val="24"/>
          <w:szCs w:val="24"/>
          <w:lang w:eastAsia="en-IN"/>
        </w:rPr>
        <w:t>These partnerships are reshaping product lifecycles, reducing fragmentation, and improving interoperability across assay systems.</w:t>
      </w:r>
    </w:p>
    <w:p w14:paraId="0039539A" w14:textId="77777777" w:rsidR="00BC70EF" w:rsidRPr="00BC70EF" w:rsidRDefault="00BC70EF" w:rsidP="00BC70EF">
      <w:pPr>
        <w:spacing w:after="0" w:line="240" w:lineRule="auto"/>
        <w:outlineLvl w:val="2"/>
        <w:rPr>
          <w:rFonts w:ascii="Times New Roman" w:eastAsia="Times New Roman" w:hAnsi="Times New Roman" w:cs="Times New Roman"/>
          <w:b/>
          <w:bCs/>
          <w:color w:val="0D0D0D"/>
          <w:sz w:val="30"/>
          <w:szCs w:val="30"/>
          <w:lang w:eastAsia="en-IN"/>
        </w:rPr>
      </w:pPr>
      <w:r w:rsidRPr="00BC70EF">
        <w:rPr>
          <w:rFonts w:ascii="Times New Roman" w:eastAsia="Times New Roman" w:hAnsi="Times New Roman" w:cs="Times New Roman"/>
          <w:b/>
          <w:bCs/>
          <w:color w:val="0D0D0D"/>
          <w:sz w:val="30"/>
          <w:szCs w:val="30"/>
          <w:lang w:eastAsia="en-IN"/>
        </w:rPr>
        <w:lastRenderedPageBreak/>
        <w:t>5. Green Chemistry and Label-Free Technologies</w:t>
      </w:r>
    </w:p>
    <w:p w14:paraId="3248EA27"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color w:val="0D0D0D"/>
          <w:sz w:val="24"/>
          <w:szCs w:val="24"/>
          <w:lang w:eastAsia="en-IN"/>
        </w:rPr>
        <w:t>With sustainability gaining traction in lab operations, there’s a growing shift toward </w:t>
      </w:r>
      <w:r w:rsidRPr="00BC70EF">
        <w:rPr>
          <w:rFonts w:ascii="Times New Roman" w:eastAsia="Times New Roman" w:hAnsi="Times New Roman" w:cs="Times New Roman"/>
          <w:b/>
          <w:bCs/>
          <w:color w:val="0D0D0D"/>
          <w:sz w:val="24"/>
          <w:szCs w:val="24"/>
          <w:lang w:eastAsia="en-IN"/>
        </w:rPr>
        <w:t>label-free detection systems</w:t>
      </w:r>
      <w:r w:rsidRPr="00BC70EF">
        <w:rPr>
          <w:rFonts w:ascii="Times New Roman" w:eastAsia="Times New Roman" w:hAnsi="Times New Roman" w:cs="Times New Roman"/>
          <w:color w:val="0D0D0D"/>
          <w:sz w:val="24"/>
          <w:szCs w:val="24"/>
          <w:lang w:eastAsia="en-IN"/>
        </w:rPr>
        <w:t xml:space="preserve"> that reduce chemical waste and single-use plastics. Techniques such as impedance-based cell monitoring and oxygen consumption rate (OCR) tracking are increasingly </w:t>
      </w:r>
      <w:proofErr w:type="spellStart"/>
      <w:r w:rsidRPr="00BC70EF">
        <w:rPr>
          <w:rFonts w:ascii="Times New Roman" w:eastAsia="Times New Roman" w:hAnsi="Times New Roman" w:cs="Times New Roman"/>
          <w:color w:val="0D0D0D"/>
          <w:sz w:val="24"/>
          <w:szCs w:val="24"/>
          <w:lang w:eastAsia="en-IN"/>
        </w:rPr>
        <w:t>favored</w:t>
      </w:r>
      <w:proofErr w:type="spellEnd"/>
      <w:r w:rsidRPr="00BC70EF">
        <w:rPr>
          <w:rFonts w:ascii="Times New Roman" w:eastAsia="Times New Roman" w:hAnsi="Times New Roman" w:cs="Times New Roman"/>
          <w:color w:val="0D0D0D"/>
          <w:sz w:val="24"/>
          <w:szCs w:val="24"/>
          <w:lang w:eastAsia="en-IN"/>
        </w:rPr>
        <w:t xml:space="preserve"> by eco-conscious labs.</w:t>
      </w:r>
    </w:p>
    <w:p w14:paraId="324B9E48"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i/>
          <w:iCs/>
          <w:color w:val="0D0D0D"/>
          <w:sz w:val="24"/>
          <w:szCs w:val="24"/>
          <w:lang w:eastAsia="en-IN"/>
        </w:rPr>
        <w:t>This shift aligns with the broader movement toward sustainable lab practices — without compromising sensitivity or reproducibility.</w:t>
      </w:r>
    </w:p>
    <w:p w14:paraId="7180C986" w14:textId="03666DAE" w:rsidR="00BC70EF" w:rsidRPr="00BC70EF" w:rsidRDefault="00BC70EF" w:rsidP="00BC70EF">
      <w:pPr>
        <w:spacing w:before="720" w:after="720"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color w:val="0D0D0D"/>
          <w:sz w:val="24"/>
          <w:szCs w:val="24"/>
          <w:lang w:eastAsia="en-IN"/>
        </w:rPr>
        <w:pict w14:anchorId="66CBBDC5">
          <v:rect id="_x0000_i1027" style="width:0;height:0" o:hralign="center" o:hrstd="t" o:hr="t" fillcolor="#a0a0a0" stroked="f"/>
        </w:pict>
      </w:r>
    </w:p>
    <w:p w14:paraId="74C0098B" w14:textId="77777777" w:rsidR="00BC70EF" w:rsidRPr="00BC70EF" w:rsidRDefault="00BC70EF" w:rsidP="00BC70EF">
      <w:pPr>
        <w:spacing w:after="0" w:line="240" w:lineRule="auto"/>
        <w:outlineLvl w:val="1"/>
        <w:rPr>
          <w:rFonts w:ascii="Times New Roman" w:eastAsia="Times New Roman" w:hAnsi="Times New Roman" w:cs="Times New Roman"/>
          <w:b/>
          <w:bCs/>
          <w:color w:val="0D0D0D"/>
          <w:sz w:val="36"/>
          <w:szCs w:val="36"/>
          <w:lang w:eastAsia="en-IN"/>
        </w:rPr>
      </w:pPr>
      <w:r w:rsidRPr="00BC70EF">
        <w:rPr>
          <w:rFonts w:ascii="Times New Roman" w:eastAsia="Times New Roman" w:hAnsi="Times New Roman" w:cs="Times New Roman"/>
          <w:b/>
          <w:bCs/>
          <w:color w:val="0D0D0D"/>
          <w:sz w:val="36"/>
          <w:szCs w:val="36"/>
          <w:lang w:eastAsia="en-IN"/>
        </w:rPr>
        <w:t>Competitive Intelligence and Benchmarking</w:t>
      </w:r>
    </w:p>
    <w:p w14:paraId="063B210C"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color w:val="0D0D0D"/>
          <w:sz w:val="24"/>
          <w:szCs w:val="24"/>
          <w:lang w:eastAsia="en-IN"/>
        </w:rPr>
        <w:t>The </w:t>
      </w:r>
      <w:r w:rsidRPr="00BC70EF">
        <w:rPr>
          <w:rFonts w:ascii="Times New Roman" w:eastAsia="Times New Roman" w:hAnsi="Times New Roman" w:cs="Times New Roman"/>
          <w:b/>
          <w:bCs/>
          <w:color w:val="0D0D0D"/>
          <w:sz w:val="24"/>
          <w:szCs w:val="24"/>
          <w:lang w:eastAsia="en-IN"/>
        </w:rPr>
        <w:t>cell viability assays market</w:t>
      </w:r>
      <w:r w:rsidRPr="00BC70EF">
        <w:rPr>
          <w:rFonts w:ascii="Times New Roman" w:eastAsia="Times New Roman" w:hAnsi="Times New Roman" w:cs="Times New Roman"/>
          <w:color w:val="0D0D0D"/>
          <w:sz w:val="24"/>
          <w:szCs w:val="24"/>
          <w:lang w:eastAsia="en-IN"/>
        </w:rPr>
        <w:t> is characterized by a competitive blend of established life sciences conglomerates and emerging players specializing in next-gen assay solutions. Competition is intensifying around </w:t>
      </w:r>
      <w:r w:rsidRPr="00BC70EF">
        <w:rPr>
          <w:rFonts w:ascii="Times New Roman" w:eastAsia="Times New Roman" w:hAnsi="Times New Roman" w:cs="Times New Roman"/>
          <w:b/>
          <w:bCs/>
          <w:color w:val="0D0D0D"/>
          <w:sz w:val="24"/>
          <w:szCs w:val="24"/>
          <w:lang w:eastAsia="en-IN"/>
        </w:rPr>
        <w:t>product innovation</w:t>
      </w:r>
      <w:r w:rsidRPr="00BC70EF">
        <w:rPr>
          <w:rFonts w:ascii="Times New Roman" w:eastAsia="Times New Roman" w:hAnsi="Times New Roman" w:cs="Times New Roman"/>
          <w:color w:val="0D0D0D"/>
          <w:sz w:val="24"/>
          <w:szCs w:val="24"/>
          <w:lang w:eastAsia="en-IN"/>
        </w:rPr>
        <w:t>, </w:t>
      </w:r>
      <w:r w:rsidRPr="00BC70EF">
        <w:rPr>
          <w:rFonts w:ascii="Times New Roman" w:eastAsia="Times New Roman" w:hAnsi="Times New Roman" w:cs="Times New Roman"/>
          <w:b/>
          <w:bCs/>
          <w:color w:val="0D0D0D"/>
          <w:sz w:val="24"/>
          <w:szCs w:val="24"/>
          <w:lang w:eastAsia="en-IN"/>
        </w:rPr>
        <w:t>platform integration</w:t>
      </w:r>
      <w:r w:rsidRPr="00BC70EF">
        <w:rPr>
          <w:rFonts w:ascii="Times New Roman" w:eastAsia="Times New Roman" w:hAnsi="Times New Roman" w:cs="Times New Roman"/>
          <w:color w:val="0D0D0D"/>
          <w:sz w:val="24"/>
          <w:szCs w:val="24"/>
          <w:lang w:eastAsia="en-IN"/>
        </w:rPr>
        <w:t>, </w:t>
      </w:r>
      <w:r w:rsidRPr="00BC70EF">
        <w:rPr>
          <w:rFonts w:ascii="Times New Roman" w:eastAsia="Times New Roman" w:hAnsi="Times New Roman" w:cs="Times New Roman"/>
          <w:b/>
          <w:bCs/>
          <w:color w:val="0D0D0D"/>
          <w:sz w:val="24"/>
          <w:szCs w:val="24"/>
          <w:lang w:eastAsia="en-IN"/>
        </w:rPr>
        <w:t>global service reach</w:t>
      </w:r>
      <w:r w:rsidRPr="00BC70EF">
        <w:rPr>
          <w:rFonts w:ascii="Times New Roman" w:eastAsia="Times New Roman" w:hAnsi="Times New Roman" w:cs="Times New Roman"/>
          <w:color w:val="0D0D0D"/>
          <w:sz w:val="24"/>
          <w:szCs w:val="24"/>
          <w:lang w:eastAsia="en-IN"/>
        </w:rPr>
        <w:t>, and </w:t>
      </w:r>
      <w:r w:rsidRPr="00BC70EF">
        <w:rPr>
          <w:rFonts w:ascii="Times New Roman" w:eastAsia="Times New Roman" w:hAnsi="Times New Roman" w:cs="Times New Roman"/>
          <w:b/>
          <w:bCs/>
          <w:color w:val="0D0D0D"/>
          <w:sz w:val="24"/>
          <w:szCs w:val="24"/>
          <w:lang w:eastAsia="en-IN"/>
        </w:rPr>
        <w:t>pricing agility</w:t>
      </w:r>
      <w:r w:rsidRPr="00BC70EF">
        <w:rPr>
          <w:rFonts w:ascii="Times New Roman" w:eastAsia="Times New Roman" w:hAnsi="Times New Roman" w:cs="Times New Roman"/>
          <w:color w:val="0D0D0D"/>
          <w:sz w:val="24"/>
          <w:szCs w:val="24"/>
          <w:lang w:eastAsia="en-IN"/>
        </w:rPr>
        <w:t> — with players aligning their portfolios to address high-growth areas like immuno-oncology, 3D cell models, and AI-driven analytics.</w:t>
      </w:r>
    </w:p>
    <w:p w14:paraId="256F6D1A" w14:textId="77777777" w:rsidR="00BC70EF" w:rsidRPr="00BC70EF" w:rsidRDefault="00BC70EF" w:rsidP="00BC70EF">
      <w:pPr>
        <w:spacing w:before="100" w:beforeAutospacing="1" w:after="10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color w:val="0D0D0D"/>
          <w:sz w:val="24"/>
          <w:szCs w:val="24"/>
          <w:lang w:eastAsia="en-IN"/>
        </w:rPr>
        <w:t>Below are key players that collectively shape the market landscape:</w:t>
      </w:r>
    </w:p>
    <w:p w14:paraId="3EB94A93" w14:textId="77777777" w:rsidR="00BC70EF" w:rsidRPr="00BC70EF" w:rsidRDefault="00BC70EF" w:rsidP="00BC70EF">
      <w:pPr>
        <w:spacing w:after="0" w:line="240" w:lineRule="auto"/>
        <w:outlineLvl w:val="2"/>
        <w:rPr>
          <w:rFonts w:ascii="Times New Roman" w:eastAsia="Times New Roman" w:hAnsi="Times New Roman" w:cs="Times New Roman"/>
          <w:b/>
          <w:bCs/>
          <w:color w:val="0D0D0D"/>
          <w:sz w:val="30"/>
          <w:szCs w:val="30"/>
          <w:lang w:eastAsia="en-IN"/>
        </w:rPr>
      </w:pPr>
      <w:r w:rsidRPr="00BC70EF">
        <w:rPr>
          <w:rFonts w:ascii="Times New Roman" w:eastAsia="Times New Roman" w:hAnsi="Times New Roman" w:cs="Times New Roman"/>
          <w:b/>
          <w:bCs/>
          <w:color w:val="0D0D0D"/>
          <w:sz w:val="30"/>
          <w:szCs w:val="30"/>
          <w:lang w:eastAsia="en-IN"/>
        </w:rPr>
        <w:t>1. Thermo Fisher Scientific</w:t>
      </w:r>
    </w:p>
    <w:p w14:paraId="656EB1DB"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color w:val="0D0D0D"/>
          <w:sz w:val="24"/>
          <w:szCs w:val="24"/>
          <w:lang w:eastAsia="en-IN"/>
        </w:rPr>
        <w:t>A dominant force in this space, </w:t>
      </w:r>
      <w:r w:rsidRPr="00BC70EF">
        <w:rPr>
          <w:rFonts w:ascii="Times New Roman" w:eastAsia="Times New Roman" w:hAnsi="Times New Roman" w:cs="Times New Roman"/>
          <w:b/>
          <w:bCs/>
          <w:color w:val="0D0D0D"/>
          <w:sz w:val="24"/>
          <w:szCs w:val="24"/>
          <w:lang w:eastAsia="en-IN"/>
        </w:rPr>
        <w:t>Thermo Fisher Scientific</w:t>
      </w:r>
      <w:r w:rsidRPr="00BC70EF">
        <w:rPr>
          <w:rFonts w:ascii="Times New Roman" w:eastAsia="Times New Roman" w:hAnsi="Times New Roman" w:cs="Times New Roman"/>
          <w:color w:val="0D0D0D"/>
          <w:sz w:val="24"/>
          <w:szCs w:val="24"/>
          <w:lang w:eastAsia="en-IN"/>
        </w:rPr>
        <w:t> offers an extensive range of viability reagents, multiplex assay kits, and multi-mode plate readers. Its global distribution capabilities and integration with automation hardware give it a strong edge across pharma, biotech, and academic markets.</w:t>
      </w:r>
    </w:p>
    <w:p w14:paraId="62AA1132"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i/>
          <w:iCs/>
          <w:color w:val="0D0D0D"/>
          <w:sz w:val="24"/>
          <w:szCs w:val="24"/>
          <w:lang w:eastAsia="en-IN"/>
        </w:rPr>
        <w:t>Strategic Focus:</w:t>
      </w:r>
      <w:r w:rsidRPr="00BC70EF">
        <w:rPr>
          <w:rFonts w:ascii="Times New Roman" w:eastAsia="Times New Roman" w:hAnsi="Times New Roman" w:cs="Times New Roman"/>
          <w:color w:val="0D0D0D"/>
          <w:sz w:val="24"/>
          <w:szCs w:val="24"/>
          <w:lang w:eastAsia="en-IN"/>
        </w:rPr>
        <w:t> End-to-end assay ecosystems, strategic acquisitions in AI diagnostics, and enhanced reagent performance for live-cell imaging.</w:t>
      </w:r>
    </w:p>
    <w:p w14:paraId="3162A7EC" w14:textId="77777777" w:rsidR="00BC70EF" w:rsidRPr="00BC70EF" w:rsidRDefault="00BC70EF" w:rsidP="00BC70EF">
      <w:pPr>
        <w:spacing w:after="0" w:line="240" w:lineRule="auto"/>
        <w:outlineLvl w:val="2"/>
        <w:rPr>
          <w:rFonts w:ascii="Times New Roman" w:eastAsia="Times New Roman" w:hAnsi="Times New Roman" w:cs="Times New Roman"/>
          <w:b/>
          <w:bCs/>
          <w:color w:val="0D0D0D"/>
          <w:sz w:val="30"/>
          <w:szCs w:val="30"/>
          <w:lang w:eastAsia="en-IN"/>
        </w:rPr>
      </w:pPr>
      <w:r w:rsidRPr="00BC70EF">
        <w:rPr>
          <w:rFonts w:ascii="Times New Roman" w:eastAsia="Times New Roman" w:hAnsi="Times New Roman" w:cs="Times New Roman"/>
          <w:b/>
          <w:bCs/>
          <w:color w:val="0D0D0D"/>
          <w:sz w:val="30"/>
          <w:szCs w:val="30"/>
          <w:lang w:eastAsia="en-IN"/>
        </w:rPr>
        <w:t>2. Bio-Rad Laboratories</w:t>
      </w:r>
    </w:p>
    <w:p w14:paraId="30D0CCC5"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t>Bio-Rad</w:t>
      </w:r>
      <w:r w:rsidRPr="00BC70EF">
        <w:rPr>
          <w:rFonts w:ascii="Times New Roman" w:eastAsia="Times New Roman" w:hAnsi="Times New Roman" w:cs="Times New Roman"/>
          <w:color w:val="0D0D0D"/>
          <w:sz w:val="24"/>
          <w:szCs w:val="24"/>
          <w:lang w:eastAsia="en-IN"/>
        </w:rPr>
        <w:t> is known for its robust portfolio of colorimetric and fluorometric viability kits. It maintains strong brand equity in academic research institutions and is actively expanding its reach into CROs through competitively priced, scalable solutions.</w:t>
      </w:r>
    </w:p>
    <w:p w14:paraId="554C78B5"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i/>
          <w:iCs/>
          <w:color w:val="0D0D0D"/>
          <w:sz w:val="24"/>
          <w:szCs w:val="24"/>
          <w:lang w:eastAsia="en-IN"/>
        </w:rPr>
        <w:t>Strategic Focus:</w:t>
      </w:r>
      <w:r w:rsidRPr="00BC70EF">
        <w:rPr>
          <w:rFonts w:ascii="Times New Roman" w:eastAsia="Times New Roman" w:hAnsi="Times New Roman" w:cs="Times New Roman"/>
          <w:color w:val="0D0D0D"/>
          <w:sz w:val="24"/>
          <w:szCs w:val="24"/>
          <w:lang w:eastAsia="en-IN"/>
        </w:rPr>
        <w:t> Cost-effective reagent kits, expansion into Asia-Pacific, and simplified assay protocols for education and early-stage labs.</w:t>
      </w:r>
    </w:p>
    <w:p w14:paraId="71BF9B1B" w14:textId="77777777" w:rsidR="00BC70EF" w:rsidRPr="00BC70EF" w:rsidRDefault="00BC70EF" w:rsidP="00BC70EF">
      <w:pPr>
        <w:spacing w:after="0" w:line="240" w:lineRule="auto"/>
        <w:outlineLvl w:val="2"/>
        <w:rPr>
          <w:rFonts w:ascii="Times New Roman" w:eastAsia="Times New Roman" w:hAnsi="Times New Roman" w:cs="Times New Roman"/>
          <w:b/>
          <w:bCs/>
          <w:color w:val="0D0D0D"/>
          <w:sz w:val="30"/>
          <w:szCs w:val="30"/>
          <w:lang w:eastAsia="en-IN"/>
        </w:rPr>
      </w:pPr>
      <w:r w:rsidRPr="00BC70EF">
        <w:rPr>
          <w:rFonts w:ascii="Times New Roman" w:eastAsia="Times New Roman" w:hAnsi="Times New Roman" w:cs="Times New Roman"/>
          <w:b/>
          <w:bCs/>
          <w:color w:val="0D0D0D"/>
          <w:sz w:val="30"/>
          <w:szCs w:val="30"/>
          <w:lang w:eastAsia="en-IN"/>
        </w:rPr>
        <w:t xml:space="preserve">3. Merck </w:t>
      </w:r>
      <w:proofErr w:type="spellStart"/>
      <w:r w:rsidRPr="00BC70EF">
        <w:rPr>
          <w:rFonts w:ascii="Times New Roman" w:eastAsia="Times New Roman" w:hAnsi="Times New Roman" w:cs="Times New Roman"/>
          <w:b/>
          <w:bCs/>
          <w:color w:val="0D0D0D"/>
          <w:sz w:val="30"/>
          <w:szCs w:val="30"/>
          <w:lang w:eastAsia="en-IN"/>
        </w:rPr>
        <w:t>KGaA</w:t>
      </w:r>
      <w:proofErr w:type="spellEnd"/>
      <w:r w:rsidRPr="00BC70EF">
        <w:rPr>
          <w:rFonts w:ascii="Times New Roman" w:eastAsia="Times New Roman" w:hAnsi="Times New Roman" w:cs="Times New Roman"/>
          <w:b/>
          <w:bCs/>
          <w:color w:val="0D0D0D"/>
          <w:sz w:val="30"/>
          <w:szCs w:val="30"/>
          <w:lang w:eastAsia="en-IN"/>
        </w:rPr>
        <w:t xml:space="preserve"> (</w:t>
      </w:r>
      <w:proofErr w:type="spellStart"/>
      <w:r w:rsidRPr="00BC70EF">
        <w:rPr>
          <w:rFonts w:ascii="Times New Roman" w:eastAsia="Times New Roman" w:hAnsi="Times New Roman" w:cs="Times New Roman"/>
          <w:b/>
          <w:bCs/>
          <w:color w:val="0D0D0D"/>
          <w:sz w:val="30"/>
          <w:szCs w:val="30"/>
          <w:lang w:eastAsia="en-IN"/>
        </w:rPr>
        <w:t>MilliporeSigma</w:t>
      </w:r>
      <w:proofErr w:type="spellEnd"/>
      <w:r w:rsidRPr="00BC70EF">
        <w:rPr>
          <w:rFonts w:ascii="Times New Roman" w:eastAsia="Times New Roman" w:hAnsi="Times New Roman" w:cs="Times New Roman"/>
          <w:b/>
          <w:bCs/>
          <w:color w:val="0D0D0D"/>
          <w:sz w:val="30"/>
          <w:szCs w:val="30"/>
          <w:lang w:eastAsia="en-IN"/>
        </w:rPr>
        <w:t>)</w:t>
      </w:r>
    </w:p>
    <w:p w14:paraId="5EAE5577"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lastRenderedPageBreak/>
        <w:t xml:space="preserve">Merck </w:t>
      </w:r>
      <w:proofErr w:type="spellStart"/>
      <w:r w:rsidRPr="00BC70EF">
        <w:rPr>
          <w:rFonts w:ascii="Times New Roman" w:eastAsia="Times New Roman" w:hAnsi="Times New Roman" w:cs="Times New Roman"/>
          <w:b/>
          <w:bCs/>
          <w:color w:val="0D0D0D"/>
          <w:sz w:val="24"/>
          <w:szCs w:val="24"/>
          <w:lang w:eastAsia="en-IN"/>
        </w:rPr>
        <w:t>KGaA</w:t>
      </w:r>
      <w:proofErr w:type="spellEnd"/>
      <w:r w:rsidRPr="00BC70EF">
        <w:rPr>
          <w:rFonts w:ascii="Times New Roman" w:eastAsia="Times New Roman" w:hAnsi="Times New Roman" w:cs="Times New Roman"/>
          <w:color w:val="0D0D0D"/>
          <w:sz w:val="24"/>
          <w:szCs w:val="24"/>
          <w:lang w:eastAsia="en-IN"/>
        </w:rPr>
        <w:t xml:space="preserve">, under the </w:t>
      </w:r>
      <w:proofErr w:type="spellStart"/>
      <w:r w:rsidRPr="00BC70EF">
        <w:rPr>
          <w:rFonts w:ascii="Times New Roman" w:eastAsia="Times New Roman" w:hAnsi="Times New Roman" w:cs="Times New Roman"/>
          <w:color w:val="0D0D0D"/>
          <w:sz w:val="24"/>
          <w:szCs w:val="24"/>
          <w:lang w:eastAsia="en-IN"/>
        </w:rPr>
        <w:t>MilliporeSigma</w:t>
      </w:r>
      <w:proofErr w:type="spellEnd"/>
      <w:r w:rsidRPr="00BC70EF">
        <w:rPr>
          <w:rFonts w:ascii="Times New Roman" w:eastAsia="Times New Roman" w:hAnsi="Times New Roman" w:cs="Times New Roman"/>
          <w:color w:val="0D0D0D"/>
          <w:sz w:val="24"/>
          <w:szCs w:val="24"/>
          <w:lang w:eastAsia="en-IN"/>
        </w:rPr>
        <w:t xml:space="preserve"> brand in North America, offers specialized tools for viability analysis in stem cell and 3D cell culture research. It has invested significantly in label-free and real-time cell monitoring systems.</w:t>
      </w:r>
    </w:p>
    <w:p w14:paraId="61119D68"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i/>
          <w:iCs/>
          <w:color w:val="0D0D0D"/>
          <w:sz w:val="24"/>
          <w:szCs w:val="24"/>
          <w:lang w:eastAsia="en-IN"/>
        </w:rPr>
        <w:t>Strategic Focus:</w:t>
      </w:r>
      <w:r w:rsidRPr="00BC70EF">
        <w:rPr>
          <w:rFonts w:ascii="Times New Roman" w:eastAsia="Times New Roman" w:hAnsi="Times New Roman" w:cs="Times New Roman"/>
          <w:color w:val="0D0D0D"/>
          <w:sz w:val="24"/>
          <w:szCs w:val="24"/>
          <w:lang w:eastAsia="en-IN"/>
        </w:rPr>
        <w:t xml:space="preserve"> Advanced viability platforms tailored for regenerative medicine and personalized therapy R&amp;D, with a strong push toward green chemistry </w:t>
      </w:r>
      <w:proofErr w:type="gramStart"/>
      <w:r w:rsidRPr="00BC70EF">
        <w:rPr>
          <w:rFonts w:ascii="Times New Roman" w:eastAsia="Times New Roman" w:hAnsi="Times New Roman" w:cs="Times New Roman"/>
          <w:color w:val="0D0D0D"/>
          <w:sz w:val="24"/>
          <w:szCs w:val="24"/>
          <w:lang w:eastAsia="en-IN"/>
        </w:rPr>
        <w:t>formats</w:t>
      </w:r>
      <w:proofErr w:type="gramEnd"/>
      <w:r w:rsidRPr="00BC70EF">
        <w:rPr>
          <w:rFonts w:ascii="Times New Roman" w:eastAsia="Times New Roman" w:hAnsi="Times New Roman" w:cs="Times New Roman"/>
          <w:color w:val="0D0D0D"/>
          <w:sz w:val="24"/>
          <w:szCs w:val="24"/>
          <w:lang w:eastAsia="en-IN"/>
        </w:rPr>
        <w:t>.</w:t>
      </w:r>
    </w:p>
    <w:p w14:paraId="7BD07D30" w14:textId="77777777" w:rsidR="00BC70EF" w:rsidRPr="00BC70EF" w:rsidRDefault="00BC70EF" w:rsidP="00BC70EF">
      <w:pPr>
        <w:spacing w:after="0" w:line="240" w:lineRule="auto"/>
        <w:outlineLvl w:val="2"/>
        <w:rPr>
          <w:rFonts w:ascii="Times New Roman" w:eastAsia="Times New Roman" w:hAnsi="Times New Roman" w:cs="Times New Roman"/>
          <w:b/>
          <w:bCs/>
          <w:color w:val="0D0D0D"/>
          <w:sz w:val="30"/>
          <w:szCs w:val="30"/>
          <w:lang w:eastAsia="en-IN"/>
        </w:rPr>
      </w:pPr>
      <w:r w:rsidRPr="00BC70EF">
        <w:rPr>
          <w:rFonts w:ascii="Times New Roman" w:eastAsia="Times New Roman" w:hAnsi="Times New Roman" w:cs="Times New Roman"/>
          <w:b/>
          <w:bCs/>
          <w:color w:val="0D0D0D"/>
          <w:sz w:val="30"/>
          <w:szCs w:val="30"/>
          <w:lang w:eastAsia="en-IN"/>
        </w:rPr>
        <w:t>4. Promega Corporation</w:t>
      </w:r>
    </w:p>
    <w:p w14:paraId="085F958C"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t>Promega</w:t>
      </w:r>
      <w:r w:rsidRPr="00BC70EF">
        <w:rPr>
          <w:rFonts w:ascii="Times New Roman" w:eastAsia="Times New Roman" w:hAnsi="Times New Roman" w:cs="Times New Roman"/>
          <w:color w:val="0D0D0D"/>
          <w:sz w:val="24"/>
          <w:szCs w:val="24"/>
          <w:lang w:eastAsia="en-IN"/>
        </w:rPr>
        <w:t> leads in luminescent assay technologies and ATP-based viability platforms. Its proprietary reagent systems offer high signal-to-background ratios, making it a preferred vendor for high-throughput drug screening.</w:t>
      </w:r>
    </w:p>
    <w:p w14:paraId="55F8E01E"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i/>
          <w:iCs/>
          <w:color w:val="0D0D0D"/>
          <w:sz w:val="24"/>
          <w:szCs w:val="24"/>
          <w:lang w:eastAsia="en-IN"/>
        </w:rPr>
        <w:t>Strategic Focus:</w:t>
      </w:r>
      <w:r w:rsidRPr="00BC70EF">
        <w:rPr>
          <w:rFonts w:ascii="Times New Roman" w:eastAsia="Times New Roman" w:hAnsi="Times New Roman" w:cs="Times New Roman"/>
          <w:color w:val="0D0D0D"/>
          <w:sz w:val="24"/>
          <w:szCs w:val="24"/>
          <w:lang w:eastAsia="en-IN"/>
        </w:rPr>
        <w:t> Luminescent and multiplexed assay formats, high-throughput compatibility, and collaborations with CROs and pharma labs for pipeline integration.</w:t>
      </w:r>
    </w:p>
    <w:p w14:paraId="47BACAF2" w14:textId="77777777" w:rsidR="00BC70EF" w:rsidRPr="00BC70EF" w:rsidRDefault="00BC70EF" w:rsidP="00BC70EF">
      <w:pPr>
        <w:spacing w:after="0" w:line="240" w:lineRule="auto"/>
        <w:outlineLvl w:val="2"/>
        <w:rPr>
          <w:rFonts w:ascii="Times New Roman" w:eastAsia="Times New Roman" w:hAnsi="Times New Roman" w:cs="Times New Roman"/>
          <w:b/>
          <w:bCs/>
          <w:color w:val="0D0D0D"/>
          <w:sz w:val="30"/>
          <w:szCs w:val="30"/>
          <w:lang w:eastAsia="en-IN"/>
        </w:rPr>
      </w:pPr>
      <w:r w:rsidRPr="00BC70EF">
        <w:rPr>
          <w:rFonts w:ascii="Times New Roman" w:eastAsia="Times New Roman" w:hAnsi="Times New Roman" w:cs="Times New Roman"/>
          <w:b/>
          <w:bCs/>
          <w:color w:val="0D0D0D"/>
          <w:sz w:val="30"/>
          <w:szCs w:val="30"/>
          <w:lang w:eastAsia="en-IN"/>
        </w:rPr>
        <w:t>5. Agilent Technologies</w:t>
      </w:r>
    </w:p>
    <w:p w14:paraId="64087CE7"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color w:val="0D0D0D"/>
          <w:sz w:val="24"/>
          <w:szCs w:val="24"/>
          <w:lang w:eastAsia="en-IN"/>
        </w:rPr>
        <w:t>While primarily known for instrumentation, </w:t>
      </w:r>
      <w:r w:rsidRPr="00BC70EF">
        <w:rPr>
          <w:rFonts w:ascii="Times New Roman" w:eastAsia="Times New Roman" w:hAnsi="Times New Roman" w:cs="Times New Roman"/>
          <w:b/>
          <w:bCs/>
          <w:color w:val="0D0D0D"/>
          <w:sz w:val="24"/>
          <w:szCs w:val="24"/>
          <w:lang w:eastAsia="en-IN"/>
        </w:rPr>
        <w:t>Agilent</w:t>
      </w:r>
      <w:r w:rsidRPr="00BC70EF">
        <w:rPr>
          <w:rFonts w:ascii="Times New Roman" w:eastAsia="Times New Roman" w:hAnsi="Times New Roman" w:cs="Times New Roman"/>
          <w:color w:val="0D0D0D"/>
          <w:sz w:val="24"/>
          <w:szCs w:val="24"/>
          <w:lang w:eastAsia="en-IN"/>
        </w:rPr>
        <w:t> has expanded into cell analysis through acquisitions and now provides impedance-based, label-free viability detection tools. These are popular in long-term live-cell experiments and applications where reagent-free protocols are valued.</w:t>
      </w:r>
    </w:p>
    <w:p w14:paraId="34ACA5B3"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i/>
          <w:iCs/>
          <w:color w:val="0D0D0D"/>
          <w:sz w:val="24"/>
          <w:szCs w:val="24"/>
          <w:lang w:eastAsia="en-IN"/>
        </w:rPr>
        <w:t>Strategic Focus:</w:t>
      </w:r>
      <w:r w:rsidRPr="00BC70EF">
        <w:rPr>
          <w:rFonts w:ascii="Times New Roman" w:eastAsia="Times New Roman" w:hAnsi="Times New Roman" w:cs="Times New Roman"/>
          <w:color w:val="0D0D0D"/>
          <w:sz w:val="24"/>
          <w:szCs w:val="24"/>
          <w:lang w:eastAsia="en-IN"/>
        </w:rPr>
        <w:t> Biosensor integration, real-time analytics, and sustainability through label-free innovations.</w:t>
      </w:r>
    </w:p>
    <w:p w14:paraId="5E5DA090" w14:textId="77777777" w:rsidR="00BC70EF" w:rsidRPr="00BC70EF" w:rsidRDefault="00BC70EF" w:rsidP="00BC70EF">
      <w:pPr>
        <w:spacing w:after="0" w:line="240" w:lineRule="auto"/>
        <w:outlineLvl w:val="2"/>
        <w:rPr>
          <w:rFonts w:ascii="Times New Roman" w:eastAsia="Times New Roman" w:hAnsi="Times New Roman" w:cs="Times New Roman"/>
          <w:b/>
          <w:bCs/>
          <w:color w:val="0D0D0D"/>
          <w:sz w:val="30"/>
          <w:szCs w:val="30"/>
          <w:lang w:eastAsia="en-IN"/>
        </w:rPr>
      </w:pPr>
      <w:r w:rsidRPr="00BC70EF">
        <w:rPr>
          <w:rFonts w:ascii="Times New Roman" w:eastAsia="Times New Roman" w:hAnsi="Times New Roman" w:cs="Times New Roman"/>
          <w:b/>
          <w:bCs/>
          <w:color w:val="0D0D0D"/>
          <w:sz w:val="30"/>
          <w:szCs w:val="30"/>
          <w:lang w:eastAsia="en-IN"/>
        </w:rPr>
        <w:t>6. PerkinElmer</w:t>
      </w:r>
    </w:p>
    <w:p w14:paraId="48E59AAA"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b/>
          <w:bCs/>
          <w:color w:val="0D0D0D"/>
          <w:sz w:val="24"/>
          <w:szCs w:val="24"/>
          <w:lang w:eastAsia="en-IN"/>
        </w:rPr>
        <w:t>PerkinElmer</w:t>
      </w:r>
      <w:r w:rsidRPr="00BC70EF">
        <w:rPr>
          <w:rFonts w:ascii="Times New Roman" w:eastAsia="Times New Roman" w:hAnsi="Times New Roman" w:cs="Times New Roman"/>
          <w:color w:val="0D0D0D"/>
          <w:sz w:val="24"/>
          <w:szCs w:val="24"/>
          <w:lang w:eastAsia="en-IN"/>
        </w:rPr>
        <w:t> is positioning itself as a holistic assay solution provider, combining reagents, readers, and analytics software. Its recent acquisitions have bolstered its imaging and phenotypic screening capabilities.</w:t>
      </w:r>
    </w:p>
    <w:p w14:paraId="2B6B4A3E"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i/>
          <w:iCs/>
          <w:color w:val="0D0D0D"/>
          <w:sz w:val="24"/>
          <w:szCs w:val="24"/>
          <w:lang w:eastAsia="en-IN"/>
        </w:rPr>
        <w:t>Strategic Focus:</w:t>
      </w:r>
      <w:r w:rsidRPr="00BC70EF">
        <w:rPr>
          <w:rFonts w:ascii="Times New Roman" w:eastAsia="Times New Roman" w:hAnsi="Times New Roman" w:cs="Times New Roman"/>
          <w:color w:val="0D0D0D"/>
          <w:sz w:val="24"/>
          <w:szCs w:val="24"/>
          <w:lang w:eastAsia="en-IN"/>
        </w:rPr>
        <w:t> Integrated platforms for viability, cytotoxicity, and apoptosis tracking; increased focus on oncology screening and phenotypic assays.</w:t>
      </w:r>
    </w:p>
    <w:p w14:paraId="4E0C083C" w14:textId="77777777" w:rsidR="00BC70EF" w:rsidRPr="00BC70EF" w:rsidRDefault="00BC70EF" w:rsidP="00BC70EF">
      <w:pPr>
        <w:spacing w:after="0" w:line="240" w:lineRule="auto"/>
        <w:outlineLvl w:val="2"/>
        <w:rPr>
          <w:rFonts w:ascii="Times New Roman" w:eastAsia="Times New Roman" w:hAnsi="Times New Roman" w:cs="Times New Roman"/>
          <w:b/>
          <w:bCs/>
          <w:color w:val="0D0D0D"/>
          <w:sz w:val="30"/>
          <w:szCs w:val="30"/>
          <w:lang w:eastAsia="en-IN"/>
        </w:rPr>
      </w:pPr>
      <w:r w:rsidRPr="00BC70EF">
        <w:rPr>
          <w:rFonts w:ascii="Times New Roman" w:eastAsia="Times New Roman" w:hAnsi="Times New Roman" w:cs="Times New Roman"/>
          <w:b/>
          <w:bCs/>
          <w:color w:val="0D0D0D"/>
          <w:sz w:val="30"/>
          <w:szCs w:val="30"/>
          <w:lang w:eastAsia="en-IN"/>
        </w:rPr>
        <w:t>7. Abcam</w:t>
      </w:r>
    </w:p>
    <w:p w14:paraId="3EA4CC39"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color w:val="0D0D0D"/>
          <w:sz w:val="24"/>
          <w:szCs w:val="24"/>
          <w:lang w:eastAsia="en-IN"/>
        </w:rPr>
        <w:t>Specializing in high-quality biological reagents, </w:t>
      </w:r>
      <w:r w:rsidRPr="00BC70EF">
        <w:rPr>
          <w:rFonts w:ascii="Times New Roman" w:eastAsia="Times New Roman" w:hAnsi="Times New Roman" w:cs="Times New Roman"/>
          <w:b/>
          <w:bCs/>
          <w:color w:val="0D0D0D"/>
          <w:sz w:val="24"/>
          <w:szCs w:val="24"/>
          <w:lang w:eastAsia="en-IN"/>
        </w:rPr>
        <w:t>Abcam</w:t>
      </w:r>
      <w:r w:rsidRPr="00BC70EF">
        <w:rPr>
          <w:rFonts w:ascii="Times New Roman" w:eastAsia="Times New Roman" w:hAnsi="Times New Roman" w:cs="Times New Roman"/>
          <w:color w:val="0D0D0D"/>
          <w:sz w:val="24"/>
          <w:szCs w:val="24"/>
          <w:lang w:eastAsia="en-IN"/>
        </w:rPr>
        <w:t> has carved a niche in apoptosis and proliferation detection kits. Its partnerships with academic consortia and translational medicine groups allow it to test new products in real-world lab settings.</w:t>
      </w:r>
    </w:p>
    <w:p w14:paraId="533B8C29"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i/>
          <w:iCs/>
          <w:color w:val="0D0D0D"/>
          <w:sz w:val="24"/>
          <w:szCs w:val="24"/>
          <w:lang w:eastAsia="en-IN"/>
        </w:rPr>
        <w:t>Strategic Focus:</w:t>
      </w:r>
      <w:r w:rsidRPr="00BC70EF">
        <w:rPr>
          <w:rFonts w:ascii="Times New Roman" w:eastAsia="Times New Roman" w:hAnsi="Times New Roman" w:cs="Times New Roman"/>
          <w:color w:val="0D0D0D"/>
          <w:sz w:val="24"/>
          <w:szCs w:val="24"/>
          <w:lang w:eastAsia="en-IN"/>
        </w:rPr>
        <w:t> Academic-focused product development, validation-grade kits, and assay customization services for niche research needs.</w:t>
      </w:r>
    </w:p>
    <w:p w14:paraId="2E7CD87D" w14:textId="77777777" w:rsidR="00BC70EF" w:rsidRPr="00BC70EF" w:rsidRDefault="00BC70EF" w:rsidP="00BC70EF">
      <w:pPr>
        <w:spacing w:before="720" w:after="720"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color w:val="0D0D0D"/>
          <w:sz w:val="24"/>
          <w:szCs w:val="24"/>
          <w:lang w:eastAsia="en-IN"/>
        </w:rPr>
        <w:pict w14:anchorId="6B935BFB">
          <v:rect id="_x0000_i1029" style="width:0;height:0" o:hralign="center" o:hrstd="t" o:hr="t" fillcolor="#a0a0a0" stroked="f"/>
        </w:pict>
      </w:r>
    </w:p>
    <w:p w14:paraId="0689F3DA" w14:textId="77777777" w:rsidR="00BC70EF" w:rsidRPr="00BC70EF" w:rsidRDefault="00BC70EF" w:rsidP="00BC70EF">
      <w:pPr>
        <w:spacing w:beforeAutospacing="1" w:after="0" w:afterAutospacing="1" w:line="240" w:lineRule="auto"/>
        <w:rPr>
          <w:rFonts w:ascii="Times New Roman" w:eastAsia="Times New Roman" w:hAnsi="Times New Roman" w:cs="Times New Roman"/>
          <w:color w:val="0D0D0D"/>
          <w:sz w:val="24"/>
          <w:szCs w:val="24"/>
          <w:lang w:eastAsia="en-IN"/>
        </w:rPr>
      </w:pPr>
      <w:r w:rsidRPr="00BC70EF">
        <w:rPr>
          <w:rFonts w:ascii="Times New Roman" w:eastAsia="Times New Roman" w:hAnsi="Times New Roman" w:cs="Times New Roman"/>
          <w:i/>
          <w:iCs/>
          <w:color w:val="0D0D0D"/>
          <w:sz w:val="24"/>
          <w:szCs w:val="24"/>
          <w:lang w:eastAsia="en-IN"/>
        </w:rPr>
        <w:lastRenderedPageBreak/>
        <w:t>The competitive intensity in this market will continue to rise as newer players enter with AI-enabled platforms and low-cost assay formats, forcing incumbents to innovate continuously or form strategic partnerships to retain share.</w:t>
      </w:r>
    </w:p>
    <w:p w14:paraId="2EBC872D" w14:textId="77777777" w:rsidR="00BC70EF" w:rsidRPr="00BC70EF" w:rsidRDefault="00BC70EF" w:rsidP="00BC70EF">
      <w:pPr>
        <w:shd w:val="clear" w:color="auto" w:fill="FFFFFF"/>
        <w:spacing w:after="0" w:line="240" w:lineRule="auto"/>
        <w:outlineLvl w:val="1"/>
        <w:rPr>
          <w:rFonts w:ascii="Segoe UI" w:eastAsia="Times New Roman" w:hAnsi="Segoe UI" w:cs="Segoe UI"/>
          <w:b/>
          <w:bCs/>
          <w:color w:val="0D0D0D"/>
          <w:sz w:val="36"/>
          <w:szCs w:val="36"/>
          <w:lang w:eastAsia="en-IN"/>
        </w:rPr>
      </w:pPr>
      <w:r w:rsidRPr="00BC70EF">
        <w:rPr>
          <w:rFonts w:ascii="Segoe UI" w:eastAsia="Times New Roman" w:hAnsi="Segoe UI" w:cs="Segoe UI"/>
          <w:b/>
          <w:bCs/>
          <w:color w:val="0D0D0D"/>
          <w:sz w:val="36"/>
          <w:szCs w:val="36"/>
          <w:lang w:eastAsia="en-IN"/>
        </w:rPr>
        <w:t>Regional Landscape and Adoption Outlook</w:t>
      </w:r>
    </w:p>
    <w:p w14:paraId="119A95ED"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The global </w:t>
      </w:r>
      <w:r w:rsidRPr="00BC70EF">
        <w:rPr>
          <w:rFonts w:ascii="Segoe UI" w:eastAsia="Times New Roman" w:hAnsi="Segoe UI" w:cs="Segoe UI"/>
          <w:b/>
          <w:bCs/>
          <w:color w:val="0D0D0D"/>
          <w:sz w:val="24"/>
          <w:szCs w:val="24"/>
          <w:lang w:eastAsia="en-IN"/>
        </w:rPr>
        <w:t>cell viability assays market</w:t>
      </w:r>
      <w:r w:rsidRPr="00BC70EF">
        <w:rPr>
          <w:rFonts w:ascii="Segoe UI" w:eastAsia="Times New Roman" w:hAnsi="Segoe UI" w:cs="Segoe UI"/>
          <w:color w:val="0D0D0D"/>
          <w:sz w:val="24"/>
          <w:szCs w:val="24"/>
          <w:lang w:eastAsia="en-IN"/>
        </w:rPr>
        <w:t> exhibits strong regional asymmetries, driven by differences in biomedical infrastructure, research funding, regulatory landscapes, and adoption of advanced diagnostics. While </w:t>
      </w:r>
      <w:r w:rsidRPr="00BC70EF">
        <w:rPr>
          <w:rFonts w:ascii="Segoe UI" w:eastAsia="Times New Roman" w:hAnsi="Segoe UI" w:cs="Segoe UI"/>
          <w:b/>
          <w:bCs/>
          <w:color w:val="0D0D0D"/>
          <w:sz w:val="24"/>
          <w:szCs w:val="24"/>
          <w:lang w:eastAsia="en-IN"/>
        </w:rPr>
        <w:t>North America</w:t>
      </w:r>
      <w:r w:rsidRPr="00BC70EF">
        <w:rPr>
          <w:rFonts w:ascii="Segoe UI" w:eastAsia="Times New Roman" w:hAnsi="Segoe UI" w:cs="Segoe UI"/>
          <w:color w:val="0D0D0D"/>
          <w:sz w:val="24"/>
          <w:szCs w:val="24"/>
          <w:lang w:eastAsia="en-IN"/>
        </w:rPr>
        <w:t> maintains market dominance, </w:t>
      </w:r>
      <w:r w:rsidRPr="00BC70EF">
        <w:rPr>
          <w:rFonts w:ascii="Segoe UI" w:eastAsia="Times New Roman" w:hAnsi="Segoe UI" w:cs="Segoe UI"/>
          <w:b/>
          <w:bCs/>
          <w:color w:val="0D0D0D"/>
          <w:sz w:val="24"/>
          <w:szCs w:val="24"/>
          <w:lang w:eastAsia="en-IN"/>
        </w:rPr>
        <w:t>Asia-Pacific</w:t>
      </w:r>
      <w:r w:rsidRPr="00BC70EF">
        <w:rPr>
          <w:rFonts w:ascii="Segoe UI" w:eastAsia="Times New Roman" w:hAnsi="Segoe UI" w:cs="Segoe UI"/>
          <w:color w:val="0D0D0D"/>
          <w:sz w:val="24"/>
          <w:szCs w:val="24"/>
          <w:lang w:eastAsia="en-IN"/>
        </w:rPr>
        <w:t> is emerging as the most aggressive growth engine, and </w:t>
      </w:r>
      <w:r w:rsidRPr="00BC70EF">
        <w:rPr>
          <w:rFonts w:ascii="Segoe UI" w:eastAsia="Times New Roman" w:hAnsi="Segoe UI" w:cs="Segoe UI"/>
          <w:b/>
          <w:bCs/>
          <w:color w:val="0D0D0D"/>
          <w:sz w:val="24"/>
          <w:szCs w:val="24"/>
          <w:lang w:eastAsia="en-IN"/>
        </w:rPr>
        <w:t>Europe</w:t>
      </w:r>
      <w:r w:rsidRPr="00BC70EF">
        <w:rPr>
          <w:rFonts w:ascii="Segoe UI" w:eastAsia="Times New Roman" w:hAnsi="Segoe UI" w:cs="Segoe UI"/>
          <w:color w:val="0D0D0D"/>
          <w:sz w:val="24"/>
          <w:szCs w:val="24"/>
          <w:lang w:eastAsia="en-IN"/>
        </w:rPr>
        <w:t> continues to innovate in ethical testing frameworks and assay standardization.</w:t>
      </w:r>
    </w:p>
    <w:p w14:paraId="727670FF"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w:eastAsia="Times New Roman" w:hAnsi="Segoe UI" w:cs="Segoe UI"/>
          <w:b/>
          <w:bCs/>
          <w:color w:val="0D0D0D"/>
          <w:sz w:val="30"/>
          <w:szCs w:val="30"/>
          <w:lang w:eastAsia="en-IN"/>
        </w:rPr>
        <w:t>North America</w:t>
      </w:r>
    </w:p>
    <w:p w14:paraId="44D9E6EA"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North America</w:t>
      </w:r>
      <w:r w:rsidRPr="00BC70EF">
        <w:rPr>
          <w:rFonts w:ascii="Segoe UI" w:eastAsia="Times New Roman" w:hAnsi="Segoe UI" w:cs="Segoe UI"/>
          <w:color w:val="0D0D0D"/>
          <w:sz w:val="24"/>
          <w:szCs w:val="24"/>
          <w:lang w:eastAsia="en-IN"/>
        </w:rPr>
        <w:t> holds the lion’s share of the market in 2024, led by the United States. This region benefits from a high density of pharmaceutical giants, world-class academic institutions, and a well-established regulatory framework for in vitro testing. The FDA’s evolving guidelines to reduce animal testing have pushed significant R&amp;D into viability assays.</w:t>
      </w:r>
    </w:p>
    <w:p w14:paraId="767C77A5" w14:textId="77777777" w:rsidR="00BC70EF" w:rsidRPr="00BC70EF" w:rsidRDefault="00BC70EF" w:rsidP="00BC70EF">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Key drivers include:</w:t>
      </w:r>
    </w:p>
    <w:p w14:paraId="2006F093" w14:textId="77777777" w:rsidR="00BC70EF" w:rsidRPr="00BC70EF" w:rsidRDefault="00BC70EF" w:rsidP="00BC70EF">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Expansive R&amp;D budgets of U.S.-based biopharma firms.</w:t>
      </w:r>
    </w:p>
    <w:p w14:paraId="45480627" w14:textId="77777777" w:rsidR="00BC70EF" w:rsidRPr="00BC70EF" w:rsidRDefault="00BC70EF" w:rsidP="00BC70EF">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Early adoption of </w:t>
      </w:r>
      <w:r w:rsidRPr="00BC70EF">
        <w:rPr>
          <w:rFonts w:ascii="Segoe UI" w:eastAsia="Times New Roman" w:hAnsi="Segoe UI" w:cs="Segoe UI"/>
          <w:b/>
          <w:bCs/>
          <w:color w:val="0D0D0D"/>
          <w:sz w:val="24"/>
          <w:szCs w:val="24"/>
          <w:lang w:eastAsia="en-IN"/>
        </w:rPr>
        <w:t>AI-integrated HTS systems</w:t>
      </w:r>
      <w:r w:rsidRPr="00BC70EF">
        <w:rPr>
          <w:rFonts w:ascii="Segoe UI" w:eastAsia="Times New Roman" w:hAnsi="Segoe UI" w:cs="Segoe UI"/>
          <w:color w:val="0D0D0D"/>
          <w:sz w:val="24"/>
          <w:szCs w:val="24"/>
          <w:lang w:eastAsia="en-IN"/>
        </w:rPr>
        <w:t> in major biotech hubs (e.g., Boston, San Diego).</w:t>
      </w:r>
    </w:p>
    <w:p w14:paraId="7720DC55" w14:textId="77777777" w:rsidR="00BC70EF" w:rsidRPr="00BC70EF" w:rsidRDefault="00BC70EF" w:rsidP="00BC70EF">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Strong presence of leading CROs offering outsourced viability testing.</w:t>
      </w:r>
    </w:p>
    <w:p w14:paraId="42B1A4BC"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i/>
          <w:iCs/>
          <w:color w:val="0D0D0D"/>
          <w:sz w:val="24"/>
          <w:szCs w:val="24"/>
          <w:lang w:eastAsia="en-IN"/>
        </w:rPr>
        <w:t>“The U.S. has become the global litmus test for next-gen viability platforms, especially in oncology and neurodegeneration research,”</w:t>
      </w:r>
      <w:r w:rsidRPr="00BC70EF">
        <w:rPr>
          <w:rFonts w:ascii="Segoe UI" w:eastAsia="Times New Roman" w:hAnsi="Segoe UI" w:cs="Segoe UI"/>
          <w:color w:val="0D0D0D"/>
          <w:sz w:val="24"/>
          <w:szCs w:val="24"/>
          <w:lang w:eastAsia="en-IN"/>
        </w:rPr>
        <w:t> notes a market analyst at a North American healthcare incubator.</w:t>
      </w:r>
    </w:p>
    <w:p w14:paraId="3409A3E1"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w:eastAsia="Times New Roman" w:hAnsi="Segoe UI" w:cs="Segoe UI"/>
          <w:b/>
          <w:bCs/>
          <w:color w:val="0D0D0D"/>
          <w:sz w:val="30"/>
          <w:szCs w:val="30"/>
          <w:lang w:eastAsia="en-IN"/>
        </w:rPr>
        <w:t>Europe</w:t>
      </w:r>
    </w:p>
    <w:p w14:paraId="70E0B192"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Europe continues to set the tone for ethical and sustainable viability assays. Nations like </w:t>
      </w:r>
      <w:r w:rsidRPr="00BC70EF">
        <w:rPr>
          <w:rFonts w:ascii="Segoe UI" w:eastAsia="Times New Roman" w:hAnsi="Segoe UI" w:cs="Segoe UI"/>
          <w:b/>
          <w:bCs/>
          <w:color w:val="0D0D0D"/>
          <w:sz w:val="24"/>
          <w:szCs w:val="24"/>
          <w:lang w:eastAsia="en-IN"/>
        </w:rPr>
        <w:t>Germany, the UK, and the Netherlands</w:t>
      </w:r>
      <w:r w:rsidRPr="00BC70EF">
        <w:rPr>
          <w:rFonts w:ascii="Segoe UI" w:eastAsia="Times New Roman" w:hAnsi="Segoe UI" w:cs="Segoe UI"/>
          <w:color w:val="0D0D0D"/>
          <w:sz w:val="24"/>
          <w:szCs w:val="24"/>
          <w:lang w:eastAsia="en-IN"/>
        </w:rPr>
        <w:t> are leading adopters of </w:t>
      </w:r>
      <w:r w:rsidRPr="00BC70EF">
        <w:rPr>
          <w:rFonts w:ascii="Segoe UI" w:eastAsia="Times New Roman" w:hAnsi="Segoe UI" w:cs="Segoe UI"/>
          <w:b/>
          <w:bCs/>
          <w:color w:val="0D0D0D"/>
          <w:sz w:val="24"/>
          <w:szCs w:val="24"/>
          <w:lang w:eastAsia="en-IN"/>
        </w:rPr>
        <w:t>non-animal, label-free testing models</w:t>
      </w:r>
      <w:r w:rsidRPr="00BC70EF">
        <w:rPr>
          <w:rFonts w:ascii="Segoe UI" w:eastAsia="Times New Roman" w:hAnsi="Segoe UI" w:cs="Segoe UI"/>
          <w:color w:val="0D0D0D"/>
          <w:sz w:val="24"/>
          <w:szCs w:val="24"/>
          <w:lang w:eastAsia="en-IN"/>
        </w:rPr>
        <w:t>, driven by EU-wide bans on animal cosmetics testing and increased funding for alternative methodologies.</w:t>
      </w:r>
    </w:p>
    <w:p w14:paraId="77092F23"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Regulatory initiatives such as </w:t>
      </w:r>
      <w:r w:rsidRPr="00BC70EF">
        <w:rPr>
          <w:rFonts w:ascii="Segoe UI" w:eastAsia="Times New Roman" w:hAnsi="Segoe UI" w:cs="Segoe UI"/>
          <w:b/>
          <w:bCs/>
          <w:color w:val="0D0D0D"/>
          <w:sz w:val="24"/>
          <w:szCs w:val="24"/>
          <w:lang w:eastAsia="en-IN"/>
        </w:rPr>
        <w:t>REACH</w:t>
      </w:r>
      <w:r w:rsidRPr="00BC70EF">
        <w:rPr>
          <w:rFonts w:ascii="Segoe UI" w:eastAsia="Times New Roman" w:hAnsi="Segoe UI" w:cs="Segoe UI"/>
          <w:color w:val="0D0D0D"/>
          <w:sz w:val="24"/>
          <w:szCs w:val="24"/>
          <w:lang w:eastAsia="en-IN"/>
        </w:rPr>
        <w:t> (Registration, Evaluation, Authorisation and Restriction of Chemicals) have created demand for </w:t>
      </w:r>
      <w:r w:rsidRPr="00BC70EF">
        <w:rPr>
          <w:rFonts w:ascii="Segoe UI" w:eastAsia="Times New Roman" w:hAnsi="Segoe UI" w:cs="Segoe UI"/>
          <w:b/>
          <w:bCs/>
          <w:color w:val="0D0D0D"/>
          <w:sz w:val="24"/>
          <w:szCs w:val="24"/>
          <w:lang w:eastAsia="en-IN"/>
        </w:rPr>
        <w:t>toxicity-free viability kits</w:t>
      </w:r>
      <w:r w:rsidRPr="00BC70EF">
        <w:rPr>
          <w:rFonts w:ascii="Segoe UI" w:eastAsia="Times New Roman" w:hAnsi="Segoe UI" w:cs="Segoe UI"/>
          <w:color w:val="0D0D0D"/>
          <w:sz w:val="24"/>
          <w:szCs w:val="24"/>
          <w:lang w:eastAsia="en-IN"/>
        </w:rPr>
        <w:t> in both consumer safety and pharmaceutical applications. Moreover, the European Medicines Agency (EMA) is aligning its guidance with advanced in vitro methodologies.</w:t>
      </w:r>
    </w:p>
    <w:p w14:paraId="366250B8"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i/>
          <w:iCs/>
          <w:color w:val="0D0D0D"/>
          <w:sz w:val="24"/>
          <w:szCs w:val="24"/>
          <w:lang w:eastAsia="en-IN"/>
        </w:rPr>
        <w:lastRenderedPageBreak/>
        <w:t>Germany and the UK combined contribute over 40% of Europe’s viability assay revenue in 2024.</w:t>
      </w:r>
    </w:p>
    <w:p w14:paraId="74BF782F"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w:eastAsia="Times New Roman" w:hAnsi="Segoe UI" w:cs="Segoe UI"/>
          <w:b/>
          <w:bCs/>
          <w:color w:val="0D0D0D"/>
          <w:sz w:val="30"/>
          <w:szCs w:val="30"/>
          <w:lang w:eastAsia="en-IN"/>
        </w:rPr>
        <w:t>Asia-Pacific</w:t>
      </w:r>
    </w:p>
    <w:p w14:paraId="70729F01"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Asia-Pacific is the </w:t>
      </w:r>
      <w:r w:rsidRPr="00BC70EF">
        <w:rPr>
          <w:rFonts w:ascii="Segoe UI" w:eastAsia="Times New Roman" w:hAnsi="Segoe UI" w:cs="Segoe UI"/>
          <w:b/>
          <w:bCs/>
          <w:color w:val="0D0D0D"/>
          <w:sz w:val="24"/>
          <w:szCs w:val="24"/>
          <w:lang w:eastAsia="en-IN"/>
        </w:rPr>
        <w:t>fastest-growing region</w:t>
      </w:r>
      <w:r w:rsidRPr="00BC70EF">
        <w:rPr>
          <w:rFonts w:ascii="Segoe UI" w:eastAsia="Times New Roman" w:hAnsi="Segoe UI" w:cs="Segoe UI"/>
          <w:color w:val="0D0D0D"/>
          <w:sz w:val="24"/>
          <w:szCs w:val="24"/>
          <w:lang w:eastAsia="en-IN"/>
        </w:rPr>
        <w:t> in the forecast period, with </w:t>
      </w:r>
      <w:r w:rsidRPr="00BC70EF">
        <w:rPr>
          <w:rFonts w:ascii="Segoe UI" w:eastAsia="Times New Roman" w:hAnsi="Segoe UI" w:cs="Segoe UI"/>
          <w:b/>
          <w:bCs/>
          <w:color w:val="0D0D0D"/>
          <w:sz w:val="24"/>
          <w:szCs w:val="24"/>
          <w:lang w:eastAsia="en-IN"/>
        </w:rPr>
        <w:t>China, India, Japan, and South Korea</w:t>
      </w:r>
      <w:r w:rsidRPr="00BC70EF">
        <w:rPr>
          <w:rFonts w:ascii="Segoe UI" w:eastAsia="Times New Roman" w:hAnsi="Segoe UI" w:cs="Segoe UI"/>
          <w:color w:val="0D0D0D"/>
          <w:sz w:val="24"/>
          <w:szCs w:val="24"/>
          <w:lang w:eastAsia="en-IN"/>
        </w:rPr>
        <w:t xml:space="preserve"> leading the charge. Growth is </w:t>
      </w:r>
      <w:proofErr w:type="spellStart"/>
      <w:r w:rsidRPr="00BC70EF">
        <w:rPr>
          <w:rFonts w:ascii="Segoe UI" w:eastAsia="Times New Roman" w:hAnsi="Segoe UI" w:cs="Segoe UI"/>
          <w:color w:val="0D0D0D"/>
          <w:sz w:val="24"/>
          <w:szCs w:val="24"/>
          <w:lang w:eastAsia="en-IN"/>
        </w:rPr>
        <w:t>fueled</w:t>
      </w:r>
      <w:proofErr w:type="spellEnd"/>
      <w:r w:rsidRPr="00BC70EF">
        <w:rPr>
          <w:rFonts w:ascii="Segoe UI" w:eastAsia="Times New Roman" w:hAnsi="Segoe UI" w:cs="Segoe UI"/>
          <w:color w:val="0D0D0D"/>
          <w:sz w:val="24"/>
          <w:szCs w:val="24"/>
          <w:lang w:eastAsia="en-IN"/>
        </w:rPr>
        <w:t xml:space="preserve"> by:</w:t>
      </w:r>
    </w:p>
    <w:p w14:paraId="784AD3FC" w14:textId="77777777" w:rsidR="00BC70EF" w:rsidRPr="00BC70EF" w:rsidRDefault="00BC70EF" w:rsidP="00BC70EF">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Expanding domestic pharmaceutical sectors.</w:t>
      </w:r>
    </w:p>
    <w:p w14:paraId="69B356AB" w14:textId="77777777" w:rsidR="00BC70EF" w:rsidRPr="00BC70EF" w:rsidRDefault="00BC70EF" w:rsidP="00BC70EF">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Government-led life sciences R&amp;D funding.</w:t>
      </w:r>
    </w:p>
    <w:p w14:paraId="2010BC29" w14:textId="77777777" w:rsidR="00BC70EF" w:rsidRPr="00BC70EF" w:rsidRDefault="00BC70EF" w:rsidP="00BC70EF">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Rapid scaling of CRO and CDMO (Contract Development and Manufacturing Organization) infrastructure.</w:t>
      </w:r>
    </w:p>
    <w:p w14:paraId="3D0F22CC"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China’s 14th Five-Year Plan includes major investments in </w:t>
      </w:r>
      <w:r w:rsidRPr="00BC70EF">
        <w:rPr>
          <w:rFonts w:ascii="Segoe UI" w:eastAsia="Times New Roman" w:hAnsi="Segoe UI" w:cs="Segoe UI"/>
          <w:b/>
          <w:bCs/>
          <w:color w:val="0D0D0D"/>
          <w:sz w:val="24"/>
          <w:szCs w:val="24"/>
          <w:lang w:eastAsia="en-IN"/>
        </w:rPr>
        <w:t>precision medicine and regenerative biology</w:t>
      </w:r>
      <w:r w:rsidRPr="00BC70EF">
        <w:rPr>
          <w:rFonts w:ascii="Segoe UI" w:eastAsia="Times New Roman" w:hAnsi="Segoe UI" w:cs="Segoe UI"/>
          <w:color w:val="0D0D0D"/>
          <w:sz w:val="24"/>
          <w:szCs w:val="24"/>
          <w:lang w:eastAsia="en-IN"/>
        </w:rPr>
        <w:t>, driving adoption of high-performance viability platforms. India, meanwhile, is growing rapidly in the generic and biosimilar segment, where cytotoxicity screening via viability assays is critical.</w:t>
      </w:r>
    </w:p>
    <w:p w14:paraId="08B6C4E7"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i/>
          <w:iCs/>
          <w:color w:val="0D0D0D"/>
          <w:sz w:val="24"/>
          <w:szCs w:val="24"/>
          <w:lang w:eastAsia="en-IN"/>
        </w:rPr>
        <w:t>Japanese research institutions are highly active in organoid and iPSC-based viability testing, contributing to regional innovation leadership.</w:t>
      </w:r>
    </w:p>
    <w:p w14:paraId="66AC8EC2"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w:eastAsia="Times New Roman" w:hAnsi="Segoe UI" w:cs="Segoe UI"/>
          <w:b/>
          <w:bCs/>
          <w:color w:val="0D0D0D"/>
          <w:sz w:val="30"/>
          <w:szCs w:val="30"/>
          <w:lang w:eastAsia="en-IN"/>
        </w:rPr>
        <w:t>LAMEA (Latin America, Middle East, and Africa)</w:t>
      </w:r>
    </w:p>
    <w:p w14:paraId="04ED9534"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The </w:t>
      </w:r>
      <w:r w:rsidRPr="00BC70EF">
        <w:rPr>
          <w:rFonts w:ascii="Segoe UI" w:eastAsia="Times New Roman" w:hAnsi="Segoe UI" w:cs="Segoe UI"/>
          <w:b/>
          <w:bCs/>
          <w:color w:val="0D0D0D"/>
          <w:sz w:val="24"/>
          <w:szCs w:val="24"/>
          <w:lang w:eastAsia="en-IN"/>
        </w:rPr>
        <w:t>LAMEA</w:t>
      </w:r>
      <w:r w:rsidRPr="00BC70EF">
        <w:rPr>
          <w:rFonts w:ascii="Segoe UI" w:eastAsia="Times New Roman" w:hAnsi="Segoe UI" w:cs="Segoe UI"/>
          <w:color w:val="0D0D0D"/>
          <w:sz w:val="24"/>
          <w:szCs w:val="24"/>
          <w:lang w:eastAsia="en-IN"/>
        </w:rPr>
        <w:t xml:space="preserve"> region remains relatively nascent but is witnessing rising demand in urban </w:t>
      </w:r>
      <w:proofErr w:type="spellStart"/>
      <w:r w:rsidRPr="00BC70EF">
        <w:rPr>
          <w:rFonts w:ascii="Segoe UI" w:eastAsia="Times New Roman" w:hAnsi="Segoe UI" w:cs="Segoe UI"/>
          <w:color w:val="0D0D0D"/>
          <w:sz w:val="24"/>
          <w:szCs w:val="24"/>
          <w:lang w:eastAsia="en-IN"/>
        </w:rPr>
        <w:t>centers</w:t>
      </w:r>
      <w:proofErr w:type="spellEnd"/>
      <w:r w:rsidRPr="00BC70EF">
        <w:rPr>
          <w:rFonts w:ascii="Segoe UI" w:eastAsia="Times New Roman" w:hAnsi="Segoe UI" w:cs="Segoe UI"/>
          <w:color w:val="0D0D0D"/>
          <w:sz w:val="24"/>
          <w:szCs w:val="24"/>
          <w:lang w:eastAsia="en-IN"/>
        </w:rPr>
        <w:t xml:space="preserve"> and academic clusters. Brazil and South Africa are showing increased adoption, especially through partnerships with international life sciences players and NGO-led research funding.</w:t>
      </w:r>
    </w:p>
    <w:p w14:paraId="29818E82" w14:textId="77777777" w:rsidR="00BC70EF" w:rsidRPr="00BC70EF" w:rsidRDefault="00BC70EF" w:rsidP="00BC70EF">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Major constraints in this region include:</w:t>
      </w:r>
    </w:p>
    <w:p w14:paraId="6A44E7EB" w14:textId="77777777" w:rsidR="00BC70EF" w:rsidRPr="00BC70EF" w:rsidRDefault="00BC70EF" w:rsidP="00BC70EF">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Limited access to high-end instrumentation.</w:t>
      </w:r>
    </w:p>
    <w:p w14:paraId="70820247" w14:textId="77777777" w:rsidR="00BC70EF" w:rsidRPr="00BC70EF" w:rsidRDefault="00BC70EF" w:rsidP="00BC70EF">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Lack of centralized infrastructure for HTS or AI-enhanced viability readouts.</w:t>
      </w:r>
    </w:p>
    <w:p w14:paraId="469E4AD0" w14:textId="77777777" w:rsidR="00BC70EF" w:rsidRPr="00BC70EF" w:rsidRDefault="00BC70EF" w:rsidP="00BC70EF">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Reliance on imports for reagents and consumables.</w:t>
      </w:r>
    </w:p>
    <w:p w14:paraId="41A8F27E"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However, </w:t>
      </w:r>
      <w:r w:rsidRPr="00BC70EF">
        <w:rPr>
          <w:rFonts w:ascii="Segoe UI" w:eastAsia="Times New Roman" w:hAnsi="Segoe UI" w:cs="Segoe UI"/>
          <w:i/>
          <w:iCs/>
          <w:color w:val="0D0D0D"/>
          <w:sz w:val="24"/>
          <w:szCs w:val="24"/>
          <w:lang w:eastAsia="en-IN"/>
        </w:rPr>
        <w:t>opportunities exist for low-cost, simplified viability assay kits</w:t>
      </w:r>
      <w:r w:rsidRPr="00BC70EF">
        <w:rPr>
          <w:rFonts w:ascii="Segoe UI" w:eastAsia="Times New Roman" w:hAnsi="Segoe UI" w:cs="Segoe UI"/>
          <w:color w:val="0D0D0D"/>
          <w:sz w:val="24"/>
          <w:szCs w:val="24"/>
          <w:lang w:eastAsia="en-IN"/>
        </w:rPr>
        <w:t>, particularly in diagnostic screening and disease surveillance programs in underserved areas.</w:t>
      </w:r>
    </w:p>
    <w:p w14:paraId="63997DA4" w14:textId="77777777" w:rsidR="00BC70EF" w:rsidRPr="00BC70EF" w:rsidRDefault="00BC70EF" w:rsidP="00BC70EF">
      <w:pPr>
        <w:shd w:val="clear" w:color="auto" w:fill="FFFFFF"/>
        <w:spacing w:after="0" w:line="240" w:lineRule="auto"/>
        <w:outlineLvl w:val="1"/>
        <w:rPr>
          <w:rFonts w:ascii="Segoe UI" w:eastAsia="Times New Roman" w:hAnsi="Segoe UI" w:cs="Segoe UI"/>
          <w:b/>
          <w:bCs/>
          <w:color w:val="0D0D0D"/>
          <w:sz w:val="36"/>
          <w:szCs w:val="36"/>
          <w:lang w:eastAsia="en-IN"/>
        </w:rPr>
      </w:pPr>
      <w:r w:rsidRPr="00BC70EF">
        <w:rPr>
          <w:rFonts w:ascii="Segoe UI" w:eastAsia="Times New Roman" w:hAnsi="Segoe UI" w:cs="Segoe UI"/>
          <w:b/>
          <w:bCs/>
          <w:color w:val="0D0D0D"/>
          <w:sz w:val="36"/>
          <w:szCs w:val="36"/>
          <w:lang w:eastAsia="en-IN"/>
        </w:rPr>
        <w:t>End-User Dynamics and Use Case</w:t>
      </w:r>
    </w:p>
    <w:p w14:paraId="1275F969"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The </w:t>
      </w:r>
      <w:r w:rsidRPr="00BC70EF">
        <w:rPr>
          <w:rFonts w:ascii="Segoe UI" w:eastAsia="Times New Roman" w:hAnsi="Segoe UI" w:cs="Segoe UI"/>
          <w:b/>
          <w:bCs/>
          <w:color w:val="0D0D0D"/>
          <w:sz w:val="24"/>
          <w:szCs w:val="24"/>
          <w:lang w:eastAsia="en-IN"/>
        </w:rPr>
        <w:t>cell viability assays market</w:t>
      </w:r>
      <w:r w:rsidRPr="00BC70EF">
        <w:rPr>
          <w:rFonts w:ascii="Segoe UI" w:eastAsia="Times New Roman" w:hAnsi="Segoe UI" w:cs="Segoe UI"/>
          <w:color w:val="0D0D0D"/>
          <w:sz w:val="24"/>
          <w:szCs w:val="24"/>
          <w:lang w:eastAsia="en-IN"/>
        </w:rPr>
        <w:t> serves a wide spectrum of end users — each with distinct application needs, budget constraints, and technology preferences. Understanding how these end-user groups adopt and apply viability assays is essential for suppliers aiming to refine product design, pricing, and support models.</w:t>
      </w:r>
    </w:p>
    <w:p w14:paraId="52EDFC26"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w:eastAsia="Times New Roman" w:hAnsi="Segoe UI" w:cs="Segoe UI"/>
          <w:b/>
          <w:bCs/>
          <w:color w:val="0D0D0D"/>
          <w:sz w:val="30"/>
          <w:szCs w:val="30"/>
          <w:lang w:eastAsia="en-IN"/>
        </w:rPr>
        <w:lastRenderedPageBreak/>
        <w:t>Key End Users in the Market</w:t>
      </w:r>
    </w:p>
    <w:p w14:paraId="0EEF10D4" w14:textId="77777777" w:rsidR="00BC70EF" w:rsidRPr="00BC70EF" w:rsidRDefault="00BC70EF" w:rsidP="00BC70EF">
      <w:pPr>
        <w:shd w:val="clear" w:color="auto" w:fill="FFFFFF"/>
        <w:spacing w:after="0" w:line="240" w:lineRule="auto"/>
        <w:outlineLvl w:val="3"/>
        <w:rPr>
          <w:rFonts w:ascii="Segoe UI" w:eastAsia="Times New Roman" w:hAnsi="Segoe UI" w:cs="Segoe UI"/>
          <w:b/>
          <w:bCs/>
          <w:color w:val="0D0D0D"/>
          <w:sz w:val="24"/>
          <w:szCs w:val="24"/>
          <w:lang w:eastAsia="en-IN"/>
        </w:rPr>
      </w:pPr>
      <w:r w:rsidRPr="00BC70EF">
        <w:rPr>
          <w:rFonts w:ascii="Segoe UI" w:eastAsia="Times New Roman" w:hAnsi="Segoe UI" w:cs="Segoe UI"/>
          <w:b/>
          <w:bCs/>
          <w:color w:val="0D0D0D"/>
          <w:sz w:val="24"/>
          <w:szCs w:val="24"/>
          <w:lang w:eastAsia="en-IN"/>
        </w:rPr>
        <w:t>1. Pharmaceutical &amp; Biotechnology Companies</w:t>
      </w:r>
    </w:p>
    <w:p w14:paraId="04655263"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This segment represents the </w:t>
      </w:r>
      <w:r w:rsidRPr="00BC70EF">
        <w:rPr>
          <w:rFonts w:ascii="Segoe UI" w:eastAsia="Times New Roman" w:hAnsi="Segoe UI" w:cs="Segoe UI"/>
          <w:b/>
          <w:bCs/>
          <w:color w:val="0D0D0D"/>
          <w:sz w:val="24"/>
          <w:szCs w:val="24"/>
          <w:lang w:eastAsia="en-IN"/>
        </w:rPr>
        <w:t>largest consumer base</w:t>
      </w:r>
      <w:r w:rsidRPr="00BC70EF">
        <w:rPr>
          <w:rFonts w:ascii="Segoe UI" w:eastAsia="Times New Roman" w:hAnsi="Segoe UI" w:cs="Segoe UI"/>
          <w:color w:val="0D0D0D"/>
          <w:sz w:val="24"/>
          <w:szCs w:val="24"/>
          <w:lang w:eastAsia="en-IN"/>
        </w:rPr>
        <w:t> for cell viability assays. These companies rely on viability data during:</w:t>
      </w:r>
    </w:p>
    <w:p w14:paraId="3E164A60" w14:textId="77777777" w:rsidR="00BC70EF" w:rsidRPr="00BC70EF" w:rsidRDefault="00BC70EF" w:rsidP="00BC70EF">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Lead compound screening</w:t>
      </w:r>
    </w:p>
    <w:p w14:paraId="7830175E" w14:textId="77777777" w:rsidR="00BC70EF" w:rsidRPr="00BC70EF" w:rsidRDefault="00BC70EF" w:rsidP="00BC70EF">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Toxicity profiling</w:t>
      </w:r>
    </w:p>
    <w:p w14:paraId="67FD70D3" w14:textId="77777777" w:rsidR="00BC70EF" w:rsidRPr="00BC70EF" w:rsidRDefault="00BC70EF" w:rsidP="00BC70EF">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Drug metabolism studies</w:t>
      </w:r>
    </w:p>
    <w:p w14:paraId="00DE3C47" w14:textId="77777777" w:rsidR="00BC70EF" w:rsidRPr="00BC70EF" w:rsidRDefault="00BC70EF" w:rsidP="00BC70EF">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Combination therapy validation</w:t>
      </w:r>
    </w:p>
    <w:p w14:paraId="68BB194D"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Viability assays are often integrated with other bioanalytical tools in </w:t>
      </w:r>
      <w:r w:rsidRPr="00BC70EF">
        <w:rPr>
          <w:rFonts w:ascii="Segoe UI" w:eastAsia="Times New Roman" w:hAnsi="Segoe UI" w:cs="Segoe UI"/>
          <w:b/>
          <w:bCs/>
          <w:color w:val="0D0D0D"/>
          <w:sz w:val="24"/>
          <w:szCs w:val="24"/>
          <w:lang w:eastAsia="en-IN"/>
        </w:rPr>
        <w:t>automated high-throughput workflows</w:t>
      </w:r>
      <w:r w:rsidRPr="00BC70EF">
        <w:rPr>
          <w:rFonts w:ascii="Segoe UI" w:eastAsia="Times New Roman" w:hAnsi="Segoe UI" w:cs="Segoe UI"/>
          <w:color w:val="0D0D0D"/>
          <w:sz w:val="24"/>
          <w:szCs w:val="24"/>
          <w:lang w:eastAsia="en-IN"/>
        </w:rPr>
        <w:t>, helping shorten development timelines and reduce attrition in early-stage trials.</w:t>
      </w:r>
    </w:p>
    <w:p w14:paraId="6CC690F0"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i/>
          <w:iCs/>
          <w:color w:val="0D0D0D"/>
          <w:sz w:val="24"/>
          <w:szCs w:val="24"/>
          <w:lang w:eastAsia="en-IN"/>
        </w:rPr>
        <w:t>Pharma companies demand high-sensitivity, multiplex-capable kits with minimal hands-on time and compatibility with robotic platforms.</w:t>
      </w:r>
    </w:p>
    <w:p w14:paraId="18B3370F" w14:textId="77777777" w:rsidR="00BC70EF" w:rsidRPr="00BC70EF" w:rsidRDefault="00BC70EF" w:rsidP="00BC70EF">
      <w:pPr>
        <w:shd w:val="clear" w:color="auto" w:fill="FFFFFF"/>
        <w:spacing w:after="0" w:line="240" w:lineRule="auto"/>
        <w:outlineLvl w:val="3"/>
        <w:rPr>
          <w:rFonts w:ascii="Segoe UI" w:eastAsia="Times New Roman" w:hAnsi="Segoe UI" w:cs="Segoe UI"/>
          <w:b/>
          <w:bCs/>
          <w:color w:val="0D0D0D"/>
          <w:sz w:val="24"/>
          <w:szCs w:val="24"/>
          <w:lang w:eastAsia="en-IN"/>
        </w:rPr>
      </w:pPr>
      <w:r w:rsidRPr="00BC70EF">
        <w:rPr>
          <w:rFonts w:ascii="Segoe UI" w:eastAsia="Times New Roman" w:hAnsi="Segoe UI" w:cs="Segoe UI"/>
          <w:b/>
          <w:bCs/>
          <w:color w:val="0D0D0D"/>
          <w:sz w:val="24"/>
          <w:szCs w:val="24"/>
          <w:lang w:eastAsia="en-IN"/>
        </w:rPr>
        <w:t>2. Academic &amp; Research Institutions</w:t>
      </w:r>
    </w:p>
    <w:p w14:paraId="2E53F545"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Academic labs utilize viability assays in fundamental research across fields like oncology, developmental biology, immunology, and stem cell studies. The preference here is often for </w:t>
      </w:r>
      <w:r w:rsidRPr="00BC70EF">
        <w:rPr>
          <w:rFonts w:ascii="Segoe UI" w:eastAsia="Times New Roman" w:hAnsi="Segoe UI" w:cs="Segoe UI"/>
          <w:b/>
          <w:bCs/>
          <w:color w:val="0D0D0D"/>
          <w:sz w:val="24"/>
          <w:szCs w:val="24"/>
          <w:lang w:eastAsia="en-IN"/>
        </w:rPr>
        <w:t>flexible, cost-effective solutions</w:t>
      </w:r>
      <w:r w:rsidRPr="00BC70EF">
        <w:rPr>
          <w:rFonts w:ascii="Segoe UI" w:eastAsia="Times New Roman" w:hAnsi="Segoe UI" w:cs="Segoe UI"/>
          <w:color w:val="0D0D0D"/>
          <w:sz w:val="24"/>
          <w:szCs w:val="24"/>
          <w:lang w:eastAsia="en-IN"/>
        </w:rPr>
        <w:t> that support customization and reproducibility over large data sets.</w:t>
      </w:r>
    </w:p>
    <w:p w14:paraId="65F52218"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i/>
          <w:iCs/>
          <w:color w:val="0D0D0D"/>
          <w:sz w:val="24"/>
          <w:szCs w:val="24"/>
          <w:lang w:eastAsia="en-IN"/>
        </w:rPr>
        <w:t>“For long-term neural stem cell cultures, we need assays that don’t compromise downstream molecular analysis — we prefer luminescent platforms that preserve sample integrity,”</w:t>
      </w:r>
      <w:r w:rsidRPr="00BC70EF">
        <w:rPr>
          <w:rFonts w:ascii="Segoe UI" w:eastAsia="Times New Roman" w:hAnsi="Segoe UI" w:cs="Segoe UI"/>
          <w:color w:val="0D0D0D"/>
          <w:sz w:val="24"/>
          <w:szCs w:val="24"/>
          <w:lang w:eastAsia="en-IN"/>
        </w:rPr>
        <w:t> commented a lab director from a leading U.S. university.</w:t>
      </w:r>
    </w:p>
    <w:p w14:paraId="0829DE3F" w14:textId="77777777" w:rsidR="00BC70EF" w:rsidRPr="00BC70EF" w:rsidRDefault="00BC70EF" w:rsidP="00BC70EF">
      <w:pPr>
        <w:shd w:val="clear" w:color="auto" w:fill="FFFFFF"/>
        <w:spacing w:after="0" w:line="240" w:lineRule="auto"/>
        <w:outlineLvl w:val="3"/>
        <w:rPr>
          <w:rFonts w:ascii="Segoe UI" w:eastAsia="Times New Roman" w:hAnsi="Segoe UI" w:cs="Segoe UI"/>
          <w:b/>
          <w:bCs/>
          <w:color w:val="0D0D0D"/>
          <w:sz w:val="24"/>
          <w:szCs w:val="24"/>
          <w:lang w:eastAsia="en-IN"/>
        </w:rPr>
      </w:pPr>
      <w:r w:rsidRPr="00BC70EF">
        <w:rPr>
          <w:rFonts w:ascii="Segoe UI" w:eastAsia="Times New Roman" w:hAnsi="Segoe UI" w:cs="Segoe UI"/>
          <w:b/>
          <w:bCs/>
          <w:color w:val="0D0D0D"/>
          <w:sz w:val="24"/>
          <w:szCs w:val="24"/>
          <w:lang w:eastAsia="en-IN"/>
        </w:rPr>
        <w:t>3. Contract Research Organizations (CROs)</w:t>
      </w:r>
    </w:p>
    <w:p w14:paraId="493FBD1A"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CROs are growing rapidly as biopharma companies outsource more preclinical and toxicological testing. These organizations value </w:t>
      </w:r>
      <w:r w:rsidRPr="00BC70EF">
        <w:rPr>
          <w:rFonts w:ascii="Segoe UI" w:eastAsia="Times New Roman" w:hAnsi="Segoe UI" w:cs="Segoe UI"/>
          <w:b/>
          <w:bCs/>
          <w:color w:val="0D0D0D"/>
          <w:sz w:val="24"/>
          <w:szCs w:val="24"/>
          <w:lang w:eastAsia="en-IN"/>
        </w:rPr>
        <w:t>scalable, automation-ready viability platforms</w:t>
      </w:r>
      <w:r w:rsidRPr="00BC70EF">
        <w:rPr>
          <w:rFonts w:ascii="Segoe UI" w:eastAsia="Times New Roman" w:hAnsi="Segoe UI" w:cs="Segoe UI"/>
          <w:color w:val="0D0D0D"/>
          <w:sz w:val="24"/>
          <w:szCs w:val="24"/>
          <w:lang w:eastAsia="en-IN"/>
        </w:rPr>
        <w:t> that can deliver high data throughput and batch reproducibility under strict SLAs (service-level agreements).</w:t>
      </w:r>
    </w:p>
    <w:p w14:paraId="2D465A59"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CROs also drive demand for </w:t>
      </w:r>
      <w:r w:rsidRPr="00BC70EF">
        <w:rPr>
          <w:rFonts w:ascii="Segoe UI" w:eastAsia="Times New Roman" w:hAnsi="Segoe UI" w:cs="Segoe UI"/>
          <w:b/>
          <w:bCs/>
          <w:color w:val="0D0D0D"/>
          <w:sz w:val="24"/>
          <w:szCs w:val="24"/>
          <w:lang w:eastAsia="en-IN"/>
        </w:rPr>
        <w:t>regulatory-compliant assay kits</w:t>
      </w:r>
      <w:r w:rsidRPr="00BC70EF">
        <w:rPr>
          <w:rFonts w:ascii="Segoe UI" w:eastAsia="Times New Roman" w:hAnsi="Segoe UI" w:cs="Segoe UI"/>
          <w:color w:val="0D0D0D"/>
          <w:sz w:val="24"/>
          <w:szCs w:val="24"/>
          <w:lang w:eastAsia="en-IN"/>
        </w:rPr>
        <w:t>, especially when supporting FDA or EMA submissions.</w:t>
      </w:r>
    </w:p>
    <w:p w14:paraId="7F04E23E" w14:textId="77777777" w:rsidR="00BC70EF" w:rsidRPr="00BC70EF" w:rsidRDefault="00BC70EF" w:rsidP="00BC70EF">
      <w:pPr>
        <w:shd w:val="clear" w:color="auto" w:fill="FFFFFF"/>
        <w:spacing w:after="0" w:line="240" w:lineRule="auto"/>
        <w:outlineLvl w:val="3"/>
        <w:rPr>
          <w:rFonts w:ascii="Segoe UI" w:eastAsia="Times New Roman" w:hAnsi="Segoe UI" w:cs="Segoe UI"/>
          <w:b/>
          <w:bCs/>
          <w:color w:val="0D0D0D"/>
          <w:sz w:val="24"/>
          <w:szCs w:val="24"/>
          <w:lang w:eastAsia="en-IN"/>
        </w:rPr>
      </w:pPr>
      <w:r w:rsidRPr="00BC70EF">
        <w:rPr>
          <w:rFonts w:ascii="Segoe UI" w:eastAsia="Times New Roman" w:hAnsi="Segoe UI" w:cs="Segoe UI"/>
          <w:b/>
          <w:bCs/>
          <w:color w:val="0D0D0D"/>
          <w:sz w:val="24"/>
          <w:szCs w:val="24"/>
          <w:lang w:eastAsia="en-IN"/>
        </w:rPr>
        <w:t>4. Hospitals &amp; Diagnostic Laboratories</w:t>
      </w:r>
    </w:p>
    <w:p w14:paraId="79686386" w14:textId="77777777" w:rsidR="00BC70EF" w:rsidRPr="00BC70EF" w:rsidRDefault="00BC70EF" w:rsidP="00BC70EF">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Although a smaller segment, diagnostic labs and tertiary-care hospitals use viability assays for purposes such as:</w:t>
      </w:r>
    </w:p>
    <w:p w14:paraId="34BF0763" w14:textId="77777777" w:rsidR="00BC70EF" w:rsidRPr="00BC70EF" w:rsidRDefault="00BC70EF" w:rsidP="00BC70EF">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Cell therapy product validation</w:t>
      </w:r>
    </w:p>
    <w:p w14:paraId="1F8B369C" w14:textId="77777777" w:rsidR="00BC70EF" w:rsidRPr="00BC70EF" w:rsidRDefault="00BC70EF" w:rsidP="00BC70EF">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lastRenderedPageBreak/>
        <w:t>Quality control in diagnostic cytogenetics</w:t>
      </w:r>
    </w:p>
    <w:p w14:paraId="3ABAC9C0" w14:textId="77777777" w:rsidR="00BC70EF" w:rsidRPr="00BC70EF" w:rsidRDefault="00BC70EF" w:rsidP="00BC70EF">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 xml:space="preserve">Cancer biopsy characterization (viable </w:t>
      </w:r>
      <w:proofErr w:type="spellStart"/>
      <w:r w:rsidRPr="00BC70EF">
        <w:rPr>
          <w:rFonts w:ascii="Segoe UI" w:eastAsia="Times New Roman" w:hAnsi="Segoe UI" w:cs="Segoe UI"/>
          <w:color w:val="0D0D0D"/>
          <w:sz w:val="24"/>
          <w:szCs w:val="24"/>
          <w:lang w:eastAsia="en-IN"/>
        </w:rPr>
        <w:t>tumor</w:t>
      </w:r>
      <w:proofErr w:type="spellEnd"/>
      <w:r w:rsidRPr="00BC70EF">
        <w:rPr>
          <w:rFonts w:ascii="Segoe UI" w:eastAsia="Times New Roman" w:hAnsi="Segoe UI" w:cs="Segoe UI"/>
          <w:color w:val="0D0D0D"/>
          <w:sz w:val="24"/>
          <w:szCs w:val="24"/>
          <w:lang w:eastAsia="en-IN"/>
        </w:rPr>
        <w:t xml:space="preserve"> load)</w:t>
      </w:r>
    </w:p>
    <w:p w14:paraId="2ADAA4BE"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They prefer </w:t>
      </w:r>
      <w:r w:rsidRPr="00BC70EF">
        <w:rPr>
          <w:rFonts w:ascii="Segoe UI" w:eastAsia="Times New Roman" w:hAnsi="Segoe UI" w:cs="Segoe UI"/>
          <w:b/>
          <w:bCs/>
          <w:color w:val="0D0D0D"/>
          <w:sz w:val="24"/>
          <w:szCs w:val="24"/>
          <w:lang w:eastAsia="en-IN"/>
        </w:rPr>
        <w:t>rapid, easy-to-interpret assay formats</w:t>
      </w:r>
      <w:r w:rsidRPr="00BC70EF">
        <w:rPr>
          <w:rFonts w:ascii="Segoe UI" w:eastAsia="Times New Roman" w:hAnsi="Segoe UI" w:cs="Segoe UI"/>
          <w:color w:val="0D0D0D"/>
          <w:sz w:val="24"/>
          <w:szCs w:val="24"/>
          <w:lang w:eastAsia="en-IN"/>
        </w:rPr>
        <w:t> that fit seamlessly into laboratory workflows without requiring excessive training.</w:t>
      </w:r>
    </w:p>
    <w:p w14:paraId="20EEC645" w14:textId="77777777" w:rsidR="00BC70EF" w:rsidRPr="00BC70EF" w:rsidRDefault="00BC70EF" w:rsidP="00BC70EF">
      <w:pPr>
        <w:spacing w:before="720" w:after="720" w:line="240" w:lineRule="auto"/>
        <w:rPr>
          <w:rFonts w:ascii="Times New Roman" w:eastAsia="Times New Roman" w:hAnsi="Times New Roman" w:cs="Times New Roman"/>
          <w:sz w:val="24"/>
          <w:szCs w:val="24"/>
          <w:lang w:eastAsia="en-IN"/>
        </w:rPr>
      </w:pPr>
      <w:r w:rsidRPr="00BC70EF">
        <w:rPr>
          <w:rFonts w:ascii="Times New Roman" w:eastAsia="Times New Roman" w:hAnsi="Times New Roman" w:cs="Times New Roman"/>
          <w:sz w:val="24"/>
          <w:szCs w:val="24"/>
          <w:lang w:eastAsia="en-IN"/>
        </w:rPr>
        <w:pict w14:anchorId="7EAA40FB">
          <v:rect id="_x0000_i1037" style="width:0;height:0" o:hralign="center" o:hrstd="t" o:hrnoshade="t" o:hr="t" fillcolor="#0d0d0d" stroked="f"/>
        </w:pict>
      </w:r>
    </w:p>
    <w:p w14:paraId="03391638"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w:eastAsia="Times New Roman" w:hAnsi="Segoe UI" w:cs="Segoe UI"/>
          <w:b/>
          <w:bCs/>
          <w:color w:val="0D0D0D"/>
          <w:sz w:val="30"/>
          <w:szCs w:val="30"/>
          <w:lang w:eastAsia="en-IN"/>
        </w:rPr>
        <w:t>Real-World Use Case: South Korea’s Precision Oncology Initiative</w:t>
      </w:r>
    </w:p>
    <w:p w14:paraId="40160AF5"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i/>
          <w:iCs/>
          <w:color w:val="0D0D0D"/>
          <w:sz w:val="24"/>
          <w:szCs w:val="24"/>
          <w:lang w:eastAsia="en-IN"/>
        </w:rPr>
        <w:t xml:space="preserve">A tertiary hospital in Seoul integrated luminescent cell viability assays into its personalized cancer treatment program in 2023. Using patient-derived </w:t>
      </w:r>
      <w:proofErr w:type="spellStart"/>
      <w:r w:rsidRPr="00BC70EF">
        <w:rPr>
          <w:rFonts w:ascii="Segoe UI" w:eastAsia="Times New Roman" w:hAnsi="Segoe UI" w:cs="Segoe UI"/>
          <w:i/>
          <w:iCs/>
          <w:color w:val="0D0D0D"/>
          <w:sz w:val="24"/>
          <w:szCs w:val="24"/>
          <w:lang w:eastAsia="en-IN"/>
        </w:rPr>
        <w:t>tumor</w:t>
      </w:r>
      <w:proofErr w:type="spellEnd"/>
      <w:r w:rsidRPr="00BC70EF">
        <w:rPr>
          <w:rFonts w:ascii="Segoe UI" w:eastAsia="Times New Roman" w:hAnsi="Segoe UI" w:cs="Segoe UI"/>
          <w:i/>
          <w:iCs/>
          <w:color w:val="0D0D0D"/>
          <w:sz w:val="24"/>
          <w:szCs w:val="24"/>
          <w:lang w:eastAsia="en-IN"/>
        </w:rPr>
        <w:t xml:space="preserve"> organoids, the hospital screened various chemotherapeutic agents for efficacy and toxicity over a 72-hour period. Results from these real-time viability assays helped oncologists select the most effective drug for each patient, leading to significantly improved treatment outcomes.</w:t>
      </w:r>
    </w:p>
    <w:p w14:paraId="28AF1DB8"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The implementation reduced trial-and-error in drug prescriptions and minimized adverse side effects — a breakthrough in </w:t>
      </w:r>
      <w:r w:rsidRPr="00BC70EF">
        <w:rPr>
          <w:rFonts w:ascii="Segoe UI" w:eastAsia="Times New Roman" w:hAnsi="Segoe UI" w:cs="Segoe UI"/>
          <w:b/>
          <w:bCs/>
          <w:color w:val="0D0D0D"/>
          <w:sz w:val="24"/>
          <w:szCs w:val="24"/>
          <w:lang w:eastAsia="en-IN"/>
        </w:rPr>
        <w:t>personalized oncology</w:t>
      </w:r>
      <w:r w:rsidRPr="00BC70EF">
        <w:rPr>
          <w:rFonts w:ascii="Segoe UI" w:eastAsia="Times New Roman" w:hAnsi="Segoe UI" w:cs="Segoe UI"/>
          <w:color w:val="0D0D0D"/>
          <w:sz w:val="24"/>
          <w:szCs w:val="24"/>
          <w:lang w:eastAsia="en-IN"/>
        </w:rPr>
        <w:t> workflows.</w:t>
      </w:r>
    </w:p>
    <w:p w14:paraId="6113D59D" w14:textId="77777777" w:rsidR="00BC70EF" w:rsidRPr="00BC70EF" w:rsidRDefault="00BC70EF" w:rsidP="00BC70EF">
      <w:pPr>
        <w:spacing w:before="720" w:after="720" w:line="240" w:lineRule="auto"/>
        <w:rPr>
          <w:rFonts w:ascii="Times New Roman" w:eastAsia="Times New Roman" w:hAnsi="Times New Roman" w:cs="Times New Roman"/>
          <w:sz w:val="24"/>
          <w:szCs w:val="24"/>
          <w:lang w:eastAsia="en-IN"/>
        </w:rPr>
      </w:pPr>
      <w:r w:rsidRPr="00BC70EF">
        <w:rPr>
          <w:rFonts w:ascii="Times New Roman" w:eastAsia="Times New Roman" w:hAnsi="Times New Roman" w:cs="Times New Roman"/>
          <w:sz w:val="24"/>
          <w:szCs w:val="24"/>
          <w:lang w:eastAsia="en-IN"/>
        </w:rPr>
        <w:pict w14:anchorId="648BD5E4">
          <v:rect id="_x0000_i1038" style="width:0;height:0" o:hralign="center" o:hrstd="t" o:hrnoshade="t" o:hr="t" fillcolor="#0d0d0d" stroked="f"/>
        </w:pict>
      </w:r>
    </w:p>
    <w:p w14:paraId="50F6C399"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i/>
          <w:iCs/>
          <w:color w:val="0D0D0D"/>
          <w:sz w:val="24"/>
          <w:szCs w:val="24"/>
          <w:lang w:eastAsia="en-IN"/>
        </w:rPr>
        <w:t>End-user needs are becoming increasingly nuanced, and the market is shifting from one-size-fits-all kits to tailored assay platforms that align with procedural goals, lab automation levels, and therapeutic contexts.</w:t>
      </w:r>
    </w:p>
    <w:p w14:paraId="5025F937" w14:textId="77777777" w:rsidR="00BC70EF" w:rsidRPr="00BC70EF" w:rsidRDefault="00BC70EF" w:rsidP="00BC70EF">
      <w:pPr>
        <w:shd w:val="clear" w:color="auto" w:fill="FFFFFF"/>
        <w:spacing w:after="0" w:line="240" w:lineRule="auto"/>
        <w:outlineLvl w:val="1"/>
        <w:rPr>
          <w:rFonts w:ascii="Segoe UI" w:eastAsia="Times New Roman" w:hAnsi="Segoe UI" w:cs="Segoe UI"/>
          <w:b/>
          <w:bCs/>
          <w:color w:val="0D0D0D"/>
          <w:sz w:val="36"/>
          <w:szCs w:val="36"/>
          <w:lang w:eastAsia="en-IN"/>
        </w:rPr>
      </w:pPr>
      <w:r w:rsidRPr="00BC70EF">
        <w:rPr>
          <w:rFonts w:ascii="Segoe UI" w:eastAsia="Times New Roman" w:hAnsi="Segoe UI" w:cs="Segoe UI"/>
          <w:b/>
          <w:bCs/>
          <w:color w:val="0D0D0D"/>
          <w:sz w:val="36"/>
          <w:szCs w:val="36"/>
          <w:lang w:eastAsia="en-IN"/>
        </w:rPr>
        <w:t>Recent Developments + Opportunities &amp; Restraints</w:t>
      </w:r>
    </w:p>
    <w:p w14:paraId="5BD699A1"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Emoji" w:eastAsia="Times New Roman" w:hAnsi="Segoe UI Emoji" w:cs="Segoe UI Emoji"/>
          <w:b/>
          <w:bCs/>
          <w:color w:val="0D0D0D"/>
          <w:sz w:val="30"/>
          <w:szCs w:val="30"/>
          <w:lang w:eastAsia="en-IN"/>
        </w:rPr>
        <w:t>🆕</w:t>
      </w:r>
      <w:r w:rsidRPr="00BC70EF">
        <w:rPr>
          <w:rFonts w:ascii="Segoe UI" w:eastAsia="Times New Roman" w:hAnsi="Segoe UI" w:cs="Segoe UI"/>
          <w:b/>
          <w:bCs/>
          <w:color w:val="0D0D0D"/>
          <w:sz w:val="30"/>
          <w:szCs w:val="30"/>
          <w:lang w:eastAsia="en-IN"/>
        </w:rPr>
        <w:t> Recent Developments (2022–2024)</w:t>
      </w:r>
    </w:p>
    <w:p w14:paraId="52D0AFD8" w14:textId="1B19C3DA" w:rsidR="00BC70EF" w:rsidRPr="00BC70EF" w:rsidRDefault="00BC70EF" w:rsidP="00BC70EF">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Promega Corporation</w:t>
      </w:r>
      <w:r w:rsidRPr="00BC70EF">
        <w:rPr>
          <w:rFonts w:ascii="Segoe UI" w:eastAsia="Times New Roman" w:hAnsi="Segoe UI" w:cs="Segoe UI"/>
          <w:color w:val="0D0D0D"/>
          <w:sz w:val="24"/>
          <w:szCs w:val="24"/>
          <w:lang w:eastAsia="en-IN"/>
        </w:rPr>
        <w:t> launched its </w:t>
      </w:r>
      <w:proofErr w:type="spellStart"/>
      <w:r w:rsidRPr="00BC70EF">
        <w:rPr>
          <w:rFonts w:ascii="Segoe UI" w:eastAsia="Times New Roman" w:hAnsi="Segoe UI" w:cs="Segoe UI"/>
          <w:b/>
          <w:bCs/>
          <w:color w:val="0D0D0D"/>
          <w:sz w:val="24"/>
          <w:szCs w:val="24"/>
          <w:lang w:eastAsia="en-IN"/>
        </w:rPr>
        <w:t>RealTime</w:t>
      </w:r>
      <w:proofErr w:type="spellEnd"/>
      <w:r w:rsidRPr="00BC70EF">
        <w:rPr>
          <w:rFonts w:ascii="Segoe UI" w:eastAsia="Times New Roman" w:hAnsi="Segoe UI" w:cs="Segoe UI"/>
          <w:b/>
          <w:bCs/>
          <w:color w:val="0D0D0D"/>
          <w:sz w:val="24"/>
          <w:szCs w:val="24"/>
          <w:lang w:eastAsia="en-IN"/>
        </w:rPr>
        <w:t>-Glo™ MT Cell Viability Assay</w:t>
      </w:r>
      <w:r w:rsidRPr="00BC70EF">
        <w:rPr>
          <w:rFonts w:ascii="Segoe UI" w:eastAsia="Times New Roman" w:hAnsi="Segoe UI" w:cs="Segoe UI"/>
          <w:color w:val="0D0D0D"/>
          <w:sz w:val="24"/>
          <w:szCs w:val="24"/>
          <w:lang w:eastAsia="en-IN"/>
        </w:rPr>
        <w:t> globally in 2023 — enabling continuous, real-time viability monitoring in long-term culture systems without sample disruption.</w:t>
      </w:r>
      <w:r w:rsidRPr="00BC70EF">
        <w:rPr>
          <w:rFonts w:ascii="Segoe UI" w:eastAsia="Times New Roman" w:hAnsi="Segoe UI" w:cs="Segoe UI"/>
          <w:color w:val="0D0D0D"/>
          <w:sz w:val="24"/>
          <w:szCs w:val="24"/>
          <w:lang w:eastAsia="en-IN"/>
        </w:rPr>
        <w:br/>
      </w:r>
    </w:p>
    <w:p w14:paraId="2AF6E310" w14:textId="1BE77FAD" w:rsidR="00BC70EF" w:rsidRPr="00BC70EF" w:rsidRDefault="00BC70EF" w:rsidP="00BC70EF">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Thermo Fisher Scientific</w:t>
      </w:r>
      <w:r w:rsidRPr="00BC70EF">
        <w:rPr>
          <w:rFonts w:ascii="Segoe UI" w:eastAsia="Times New Roman" w:hAnsi="Segoe UI" w:cs="Segoe UI"/>
          <w:color w:val="0D0D0D"/>
          <w:sz w:val="24"/>
          <w:szCs w:val="24"/>
          <w:lang w:eastAsia="en-IN"/>
        </w:rPr>
        <w:t> entered a strategic partnership with </w:t>
      </w:r>
      <w:proofErr w:type="spellStart"/>
      <w:r w:rsidRPr="00BC70EF">
        <w:rPr>
          <w:rFonts w:ascii="Segoe UI" w:eastAsia="Times New Roman" w:hAnsi="Segoe UI" w:cs="Segoe UI"/>
          <w:b/>
          <w:bCs/>
          <w:color w:val="0D0D0D"/>
          <w:sz w:val="24"/>
          <w:szCs w:val="24"/>
          <w:lang w:eastAsia="en-IN"/>
        </w:rPr>
        <w:t>CellVoyant</w:t>
      </w:r>
      <w:proofErr w:type="spellEnd"/>
      <w:r w:rsidRPr="00BC70EF">
        <w:rPr>
          <w:rFonts w:ascii="Segoe UI" w:eastAsia="Times New Roman" w:hAnsi="Segoe UI" w:cs="Segoe UI"/>
          <w:color w:val="0D0D0D"/>
          <w:sz w:val="24"/>
          <w:szCs w:val="24"/>
          <w:lang w:eastAsia="en-IN"/>
        </w:rPr>
        <w:t>, a bioimaging AI start-up, to integrate automated imaging analysis into its viability assay platforms.</w:t>
      </w:r>
      <w:r w:rsidRPr="00BC70EF">
        <w:rPr>
          <w:rFonts w:ascii="Segoe UI" w:eastAsia="Times New Roman" w:hAnsi="Segoe UI" w:cs="Segoe UI"/>
          <w:color w:val="0D0D0D"/>
          <w:sz w:val="24"/>
          <w:szCs w:val="24"/>
          <w:lang w:eastAsia="en-IN"/>
        </w:rPr>
        <w:br/>
      </w:r>
    </w:p>
    <w:p w14:paraId="5C719E60" w14:textId="2553D38D" w:rsidR="00BC70EF" w:rsidRPr="00BC70EF" w:rsidRDefault="00BC70EF" w:rsidP="00BC70EF">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lastRenderedPageBreak/>
        <w:t>Agilent Technologies</w:t>
      </w:r>
      <w:r w:rsidRPr="00BC70EF">
        <w:rPr>
          <w:rFonts w:ascii="Segoe UI" w:eastAsia="Times New Roman" w:hAnsi="Segoe UI" w:cs="Segoe UI"/>
          <w:color w:val="0D0D0D"/>
          <w:sz w:val="24"/>
          <w:szCs w:val="24"/>
          <w:lang w:eastAsia="en-IN"/>
        </w:rPr>
        <w:t> acquired </w:t>
      </w:r>
      <w:proofErr w:type="spellStart"/>
      <w:r w:rsidRPr="00BC70EF">
        <w:rPr>
          <w:rFonts w:ascii="Segoe UI" w:eastAsia="Times New Roman" w:hAnsi="Segoe UI" w:cs="Segoe UI"/>
          <w:b/>
          <w:bCs/>
          <w:color w:val="0D0D0D"/>
          <w:sz w:val="24"/>
          <w:szCs w:val="24"/>
          <w:lang w:eastAsia="en-IN"/>
        </w:rPr>
        <w:t>BioTek</w:t>
      </w:r>
      <w:proofErr w:type="spellEnd"/>
      <w:r w:rsidRPr="00BC70EF">
        <w:rPr>
          <w:rFonts w:ascii="Segoe UI" w:eastAsia="Times New Roman" w:hAnsi="Segoe UI" w:cs="Segoe UI"/>
          <w:b/>
          <w:bCs/>
          <w:color w:val="0D0D0D"/>
          <w:sz w:val="24"/>
          <w:szCs w:val="24"/>
          <w:lang w:eastAsia="en-IN"/>
        </w:rPr>
        <w:t xml:space="preserve"> Instruments' imaging division</w:t>
      </w:r>
      <w:r w:rsidRPr="00BC70EF">
        <w:rPr>
          <w:rFonts w:ascii="Segoe UI" w:eastAsia="Times New Roman" w:hAnsi="Segoe UI" w:cs="Segoe UI"/>
          <w:color w:val="0D0D0D"/>
          <w:sz w:val="24"/>
          <w:szCs w:val="24"/>
          <w:lang w:eastAsia="en-IN"/>
        </w:rPr>
        <w:t> in 2022, enhancing its label-free, impedance-based cell viability offerings for oncology research.</w:t>
      </w:r>
      <w:r w:rsidRPr="00BC70EF">
        <w:rPr>
          <w:rFonts w:ascii="Segoe UI" w:eastAsia="Times New Roman" w:hAnsi="Segoe UI" w:cs="Segoe UI"/>
          <w:color w:val="0D0D0D"/>
          <w:sz w:val="24"/>
          <w:szCs w:val="24"/>
          <w:lang w:eastAsia="en-IN"/>
        </w:rPr>
        <w:br/>
      </w:r>
    </w:p>
    <w:p w14:paraId="0DD5A03F" w14:textId="031DB275" w:rsidR="00BC70EF" w:rsidRPr="00BC70EF" w:rsidRDefault="00BC70EF" w:rsidP="00BC70EF">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 xml:space="preserve">Merck </w:t>
      </w:r>
      <w:proofErr w:type="spellStart"/>
      <w:r w:rsidRPr="00BC70EF">
        <w:rPr>
          <w:rFonts w:ascii="Segoe UI" w:eastAsia="Times New Roman" w:hAnsi="Segoe UI" w:cs="Segoe UI"/>
          <w:b/>
          <w:bCs/>
          <w:color w:val="0D0D0D"/>
          <w:sz w:val="24"/>
          <w:szCs w:val="24"/>
          <w:lang w:eastAsia="en-IN"/>
        </w:rPr>
        <w:t>KGaA</w:t>
      </w:r>
      <w:proofErr w:type="spellEnd"/>
      <w:r w:rsidRPr="00BC70EF">
        <w:rPr>
          <w:rFonts w:ascii="Segoe UI" w:eastAsia="Times New Roman" w:hAnsi="Segoe UI" w:cs="Segoe UI"/>
          <w:b/>
          <w:bCs/>
          <w:color w:val="0D0D0D"/>
          <w:sz w:val="24"/>
          <w:szCs w:val="24"/>
          <w:lang w:eastAsia="en-IN"/>
        </w:rPr>
        <w:t xml:space="preserve"> (</w:t>
      </w:r>
      <w:proofErr w:type="spellStart"/>
      <w:r w:rsidRPr="00BC70EF">
        <w:rPr>
          <w:rFonts w:ascii="Segoe UI" w:eastAsia="Times New Roman" w:hAnsi="Segoe UI" w:cs="Segoe UI"/>
          <w:b/>
          <w:bCs/>
          <w:color w:val="0D0D0D"/>
          <w:sz w:val="24"/>
          <w:szCs w:val="24"/>
          <w:lang w:eastAsia="en-IN"/>
        </w:rPr>
        <w:t>MilliporeSigma</w:t>
      </w:r>
      <w:proofErr w:type="spellEnd"/>
      <w:r w:rsidRPr="00BC70EF">
        <w:rPr>
          <w:rFonts w:ascii="Segoe UI" w:eastAsia="Times New Roman" w:hAnsi="Segoe UI" w:cs="Segoe UI"/>
          <w:b/>
          <w:bCs/>
          <w:color w:val="0D0D0D"/>
          <w:sz w:val="24"/>
          <w:szCs w:val="24"/>
          <w:lang w:eastAsia="en-IN"/>
        </w:rPr>
        <w:t>)</w:t>
      </w:r>
      <w:r w:rsidRPr="00BC70EF">
        <w:rPr>
          <w:rFonts w:ascii="Segoe UI" w:eastAsia="Times New Roman" w:hAnsi="Segoe UI" w:cs="Segoe UI"/>
          <w:color w:val="0D0D0D"/>
          <w:sz w:val="24"/>
          <w:szCs w:val="24"/>
          <w:lang w:eastAsia="en-IN"/>
        </w:rPr>
        <w:t> announced a $100 million investment in expanding its reagent manufacturing capacity in the U.S. to meet growing global demand for cytotoxicity and viability kits.</w:t>
      </w:r>
      <w:r w:rsidRPr="00BC70EF">
        <w:rPr>
          <w:rFonts w:ascii="Segoe UI" w:eastAsia="Times New Roman" w:hAnsi="Segoe UI" w:cs="Segoe UI"/>
          <w:color w:val="0D0D0D"/>
          <w:sz w:val="24"/>
          <w:szCs w:val="24"/>
          <w:lang w:eastAsia="en-IN"/>
        </w:rPr>
        <w:br/>
      </w:r>
    </w:p>
    <w:p w14:paraId="57713C6B" w14:textId="1AA9E75E" w:rsidR="00BC70EF" w:rsidRPr="00BC70EF" w:rsidRDefault="00BC70EF" w:rsidP="00BC70EF">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Abcam</w:t>
      </w:r>
      <w:r w:rsidRPr="00BC70EF">
        <w:rPr>
          <w:rFonts w:ascii="Segoe UI" w:eastAsia="Times New Roman" w:hAnsi="Segoe UI" w:cs="Segoe UI"/>
          <w:color w:val="0D0D0D"/>
          <w:sz w:val="24"/>
          <w:szCs w:val="24"/>
          <w:lang w:eastAsia="en-IN"/>
        </w:rPr>
        <w:t> launched a new range of apoptosis detection kits compatible with 3D spheroid models — targeting regenerative medicine researchers and academic institutions.</w:t>
      </w:r>
      <w:r w:rsidRPr="00BC70EF">
        <w:rPr>
          <w:rFonts w:ascii="Segoe UI" w:eastAsia="Times New Roman" w:hAnsi="Segoe UI" w:cs="Segoe UI"/>
          <w:color w:val="0D0D0D"/>
          <w:sz w:val="24"/>
          <w:szCs w:val="24"/>
          <w:lang w:eastAsia="en-IN"/>
        </w:rPr>
        <w:br/>
      </w:r>
    </w:p>
    <w:p w14:paraId="2E27C32B" w14:textId="77777777" w:rsidR="00BC70EF" w:rsidRPr="00BC70EF" w:rsidRDefault="00BC70EF" w:rsidP="00BC70EF">
      <w:pPr>
        <w:spacing w:before="720" w:after="720" w:line="240" w:lineRule="auto"/>
        <w:rPr>
          <w:rFonts w:ascii="Times New Roman" w:eastAsia="Times New Roman" w:hAnsi="Times New Roman" w:cs="Times New Roman"/>
          <w:sz w:val="24"/>
          <w:szCs w:val="24"/>
          <w:lang w:eastAsia="en-IN"/>
        </w:rPr>
      </w:pPr>
      <w:r w:rsidRPr="00BC70EF">
        <w:rPr>
          <w:rFonts w:ascii="Times New Roman" w:eastAsia="Times New Roman" w:hAnsi="Times New Roman" w:cs="Times New Roman"/>
          <w:sz w:val="24"/>
          <w:szCs w:val="24"/>
          <w:lang w:eastAsia="en-IN"/>
        </w:rPr>
        <w:pict w14:anchorId="6DCE9CC0">
          <v:rect id="_x0000_i1041" style="width:0;height:0" o:hralign="center" o:hrstd="t" o:hrnoshade="t" o:hr="t" fillcolor="#0d0d0d" stroked="f"/>
        </w:pict>
      </w:r>
    </w:p>
    <w:p w14:paraId="46770A7C"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Emoji" w:eastAsia="Times New Roman" w:hAnsi="Segoe UI Emoji" w:cs="Segoe UI Emoji"/>
          <w:b/>
          <w:bCs/>
          <w:color w:val="0D0D0D"/>
          <w:sz w:val="30"/>
          <w:szCs w:val="30"/>
          <w:lang w:eastAsia="en-IN"/>
        </w:rPr>
        <w:t>🔁</w:t>
      </w:r>
      <w:r w:rsidRPr="00BC70EF">
        <w:rPr>
          <w:rFonts w:ascii="Segoe UI" w:eastAsia="Times New Roman" w:hAnsi="Segoe UI" w:cs="Segoe UI"/>
          <w:b/>
          <w:bCs/>
          <w:color w:val="0D0D0D"/>
          <w:sz w:val="30"/>
          <w:szCs w:val="30"/>
          <w:lang w:eastAsia="en-IN"/>
        </w:rPr>
        <w:t> Opportunities</w:t>
      </w:r>
    </w:p>
    <w:p w14:paraId="5FDA03EC"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1. Integration of AI and Cloud-Based Analytics</w:t>
      </w:r>
      <w:r w:rsidRPr="00BC70EF">
        <w:rPr>
          <w:rFonts w:ascii="Segoe UI" w:eastAsia="Times New Roman" w:hAnsi="Segoe UI" w:cs="Segoe UI"/>
          <w:color w:val="0D0D0D"/>
          <w:sz w:val="24"/>
          <w:szCs w:val="24"/>
          <w:lang w:eastAsia="en-IN"/>
        </w:rPr>
        <w:br/>
        <w:t>As laboratories adopt AI-driven image analysis and cloud-enabled data platforms, vendors can capitalize on developing </w:t>
      </w:r>
      <w:r w:rsidRPr="00BC70EF">
        <w:rPr>
          <w:rFonts w:ascii="Segoe UI" w:eastAsia="Times New Roman" w:hAnsi="Segoe UI" w:cs="Segoe UI"/>
          <w:b/>
          <w:bCs/>
          <w:color w:val="0D0D0D"/>
          <w:sz w:val="24"/>
          <w:szCs w:val="24"/>
          <w:lang w:eastAsia="en-IN"/>
        </w:rPr>
        <w:t>smart viability platforms</w:t>
      </w:r>
      <w:r w:rsidRPr="00BC70EF">
        <w:rPr>
          <w:rFonts w:ascii="Segoe UI" w:eastAsia="Times New Roman" w:hAnsi="Segoe UI" w:cs="Segoe UI"/>
          <w:color w:val="0D0D0D"/>
          <w:sz w:val="24"/>
          <w:szCs w:val="24"/>
          <w:lang w:eastAsia="en-IN"/>
        </w:rPr>
        <w:t xml:space="preserve"> that interpret results in real time, offer remote access, and support predictive </w:t>
      </w:r>
      <w:proofErr w:type="spellStart"/>
      <w:r w:rsidRPr="00BC70EF">
        <w:rPr>
          <w:rFonts w:ascii="Segoe UI" w:eastAsia="Times New Roman" w:hAnsi="Segoe UI" w:cs="Segoe UI"/>
          <w:color w:val="0D0D0D"/>
          <w:sz w:val="24"/>
          <w:szCs w:val="24"/>
          <w:lang w:eastAsia="en-IN"/>
        </w:rPr>
        <w:t>modeling</w:t>
      </w:r>
      <w:proofErr w:type="spellEnd"/>
      <w:r w:rsidRPr="00BC70EF">
        <w:rPr>
          <w:rFonts w:ascii="Segoe UI" w:eastAsia="Times New Roman" w:hAnsi="Segoe UI" w:cs="Segoe UI"/>
          <w:color w:val="0D0D0D"/>
          <w:sz w:val="24"/>
          <w:szCs w:val="24"/>
          <w:lang w:eastAsia="en-IN"/>
        </w:rPr>
        <w:t>.</w:t>
      </w:r>
    </w:p>
    <w:p w14:paraId="49D55C83"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2. Expansion in Emerging Markets</w:t>
      </w:r>
      <w:r w:rsidRPr="00BC70EF">
        <w:rPr>
          <w:rFonts w:ascii="Segoe UI" w:eastAsia="Times New Roman" w:hAnsi="Segoe UI" w:cs="Segoe UI"/>
          <w:color w:val="0D0D0D"/>
          <w:sz w:val="24"/>
          <w:szCs w:val="24"/>
          <w:lang w:eastAsia="en-IN"/>
        </w:rPr>
        <w:br/>
        <w:t>With India, Brazil, and Southeast Asia expanding their biotech manufacturing and R&amp;D sectors, there’s a growing opportunity for affordable, portable viability kits tailored for decentralized or resource-limited labs.</w:t>
      </w:r>
    </w:p>
    <w:p w14:paraId="194AD706"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3. Shift Toward 3D Cell Culture and Personalized Medicine</w:t>
      </w:r>
      <w:r w:rsidRPr="00BC70EF">
        <w:rPr>
          <w:rFonts w:ascii="Segoe UI" w:eastAsia="Times New Roman" w:hAnsi="Segoe UI" w:cs="Segoe UI"/>
          <w:color w:val="0D0D0D"/>
          <w:sz w:val="24"/>
          <w:szCs w:val="24"/>
          <w:lang w:eastAsia="en-IN"/>
        </w:rPr>
        <w:br/>
        <w:t>The rise in 3D spheroid, organoid, and patient-derived models presents a high-value niche for </w:t>
      </w:r>
      <w:r w:rsidRPr="00BC70EF">
        <w:rPr>
          <w:rFonts w:ascii="Segoe UI" w:eastAsia="Times New Roman" w:hAnsi="Segoe UI" w:cs="Segoe UI"/>
          <w:b/>
          <w:bCs/>
          <w:color w:val="0D0D0D"/>
          <w:sz w:val="24"/>
          <w:szCs w:val="24"/>
          <w:lang w:eastAsia="en-IN"/>
        </w:rPr>
        <w:t>customized viability assays</w:t>
      </w:r>
      <w:r w:rsidRPr="00BC70EF">
        <w:rPr>
          <w:rFonts w:ascii="Segoe UI" w:eastAsia="Times New Roman" w:hAnsi="Segoe UI" w:cs="Segoe UI"/>
          <w:color w:val="0D0D0D"/>
          <w:sz w:val="24"/>
          <w:szCs w:val="24"/>
          <w:lang w:eastAsia="en-IN"/>
        </w:rPr>
        <w:t> with improved signal penetration and sensitivity.</w:t>
      </w:r>
    </w:p>
    <w:p w14:paraId="6727B4F4" w14:textId="77777777" w:rsidR="00BC70EF" w:rsidRPr="00BC70EF" w:rsidRDefault="00BC70EF" w:rsidP="00BC70EF">
      <w:pPr>
        <w:spacing w:before="720" w:after="720" w:line="240" w:lineRule="auto"/>
        <w:rPr>
          <w:rFonts w:ascii="Times New Roman" w:eastAsia="Times New Roman" w:hAnsi="Times New Roman" w:cs="Times New Roman"/>
          <w:sz w:val="24"/>
          <w:szCs w:val="24"/>
          <w:lang w:eastAsia="en-IN"/>
        </w:rPr>
      </w:pPr>
      <w:r w:rsidRPr="00BC70EF">
        <w:rPr>
          <w:rFonts w:ascii="Times New Roman" w:eastAsia="Times New Roman" w:hAnsi="Times New Roman" w:cs="Times New Roman"/>
          <w:sz w:val="24"/>
          <w:szCs w:val="24"/>
          <w:lang w:eastAsia="en-IN"/>
        </w:rPr>
        <w:pict w14:anchorId="2A606C42">
          <v:rect id="_x0000_i1042" style="width:0;height:0" o:hralign="center" o:hrstd="t" o:hrnoshade="t" o:hr="t" fillcolor="#0d0d0d" stroked="f"/>
        </w:pict>
      </w:r>
    </w:p>
    <w:p w14:paraId="7955E22F"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Emoji" w:eastAsia="Times New Roman" w:hAnsi="Segoe UI Emoji" w:cs="Segoe UI Emoji"/>
          <w:b/>
          <w:bCs/>
          <w:color w:val="0D0D0D"/>
          <w:sz w:val="30"/>
          <w:szCs w:val="30"/>
          <w:lang w:eastAsia="en-IN"/>
        </w:rPr>
        <w:t>🚫</w:t>
      </w:r>
      <w:r w:rsidRPr="00BC70EF">
        <w:rPr>
          <w:rFonts w:ascii="Segoe UI" w:eastAsia="Times New Roman" w:hAnsi="Segoe UI" w:cs="Segoe UI"/>
          <w:b/>
          <w:bCs/>
          <w:color w:val="0D0D0D"/>
          <w:sz w:val="30"/>
          <w:szCs w:val="30"/>
          <w:lang w:eastAsia="en-IN"/>
        </w:rPr>
        <w:t> Restraints</w:t>
      </w:r>
    </w:p>
    <w:p w14:paraId="6ED31457"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1. High Cost of Advanced Platforms</w:t>
      </w:r>
      <w:r w:rsidRPr="00BC70EF">
        <w:rPr>
          <w:rFonts w:ascii="Segoe UI" w:eastAsia="Times New Roman" w:hAnsi="Segoe UI" w:cs="Segoe UI"/>
          <w:color w:val="0D0D0D"/>
          <w:sz w:val="24"/>
          <w:szCs w:val="24"/>
          <w:lang w:eastAsia="en-IN"/>
        </w:rPr>
        <w:br/>
        <w:t>Despite growing interest, </w:t>
      </w:r>
      <w:r w:rsidRPr="00BC70EF">
        <w:rPr>
          <w:rFonts w:ascii="Segoe UI" w:eastAsia="Times New Roman" w:hAnsi="Segoe UI" w:cs="Segoe UI"/>
          <w:b/>
          <w:bCs/>
          <w:color w:val="0D0D0D"/>
          <w:sz w:val="24"/>
          <w:szCs w:val="24"/>
          <w:lang w:eastAsia="en-IN"/>
        </w:rPr>
        <w:t xml:space="preserve">fully automated or AI-integrated viability </w:t>
      </w:r>
      <w:r w:rsidRPr="00BC70EF">
        <w:rPr>
          <w:rFonts w:ascii="Segoe UI" w:eastAsia="Times New Roman" w:hAnsi="Segoe UI" w:cs="Segoe UI"/>
          <w:b/>
          <w:bCs/>
          <w:color w:val="0D0D0D"/>
          <w:sz w:val="24"/>
          <w:szCs w:val="24"/>
          <w:lang w:eastAsia="en-IN"/>
        </w:rPr>
        <w:lastRenderedPageBreak/>
        <w:t>platforms</w:t>
      </w:r>
      <w:r w:rsidRPr="00BC70EF">
        <w:rPr>
          <w:rFonts w:ascii="Segoe UI" w:eastAsia="Times New Roman" w:hAnsi="Segoe UI" w:cs="Segoe UI"/>
          <w:color w:val="0D0D0D"/>
          <w:sz w:val="24"/>
          <w:szCs w:val="24"/>
          <w:lang w:eastAsia="en-IN"/>
        </w:rPr>
        <w:t> remain cost-prohibitive for small and mid-sized labs — limiting penetration in academic and low-resource environments.</w:t>
      </w:r>
    </w:p>
    <w:p w14:paraId="32C043C5"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2. Lack of Standardization Across Assay Methods</w:t>
      </w:r>
      <w:r w:rsidRPr="00BC70EF">
        <w:rPr>
          <w:rFonts w:ascii="Segoe UI" w:eastAsia="Times New Roman" w:hAnsi="Segoe UI" w:cs="Segoe UI"/>
          <w:color w:val="0D0D0D"/>
          <w:sz w:val="24"/>
          <w:szCs w:val="24"/>
          <w:lang w:eastAsia="en-IN"/>
        </w:rPr>
        <w:br/>
        <w:t>Variability in assay protocols, reagents, and interpretation thresholds continues to hamper reproducibility and cross-study comparisons, especially across multi-</w:t>
      </w:r>
      <w:proofErr w:type="spellStart"/>
      <w:r w:rsidRPr="00BC70EF">
        <w:rPr>
          <w:rFonts w:ascii="Segoe UI" w:eastAsia="Times New Roman" w:hAnsi="Segoe UI" w:cs="Segoe UI"/>
          <w:color w:val="0D0D0D"/>
          <w:sz w:val="24"/>
          <w:szCs w:val="24"/>
          <w:lang w:eastAsia="en-IN"/>
        </w:rPr>
        <w:t>center</w:t>
      </w:r>
      <w:proofErr w:type="spellEnd"/>
      <w:r w:rsidRPr="00BC70EF">
        <w:rPr>
          <w:rFonts w:ascii="Segoe UI" w:eastAsia="Times New Roman" w:hAnsi="Segoe UI" w:cs="Segoe UI"/>
          <w:color w:val="0D0D0D"/>
          <w:sz w:val="24"/>
          <w:szCs w:val="24"/>
          <w:lang w:eastAsia="en-IN"/>
        </w:rPr>
        <w:t xml:space="preserve"> trials.</w:t>
      </w:r>
    </w:p>
    <w:p w14:paraId="4098737B" w14:textId="467B37EB" w:rsidR="00BC70EF" w:rsidRDefault="00BC70EF">
      <w:r>
        <w:br w:type="page"/>
      </w:r>
    </w:p>
    <w:p w14:paraId="1849691F" w14:textId="77777777" w:rsidR="00BC70EF" w:rsidRPr="00BC70EF" w:rsidRDefault="00BC70EF" w:rsidP="00BC70EF">
      <w:pPr>
        <w:shd w:val="clear" w:color="auto" w:fill="FFFFFF"/>
        <w:spacing w:after="0" w:line="240" w:lineRule="auto"/>
        <w:outlineLvl w:val="1"/>
        <w:rPr>
          <w:rFonts w:ascii="Segoe UI" w:eastAsia="Times New Roman" w:hAnsi="Segoe UI" w:cs="Segoe UI"/>
          <w:b/>
          <w:bCs/>
          <w:color w:val="0D0D0D"/>
          <w:sz w:val="36"/>
          <w:szCs w:val="36"/>
          <w:lang w:eastAsia="en-IN"/>
        </w:rPr>
      </w:pPr>
      <w:r w:rsidRPr="00BC70EF">
        <w:rPr>
          <w:rFonts w:ascii="Segoe UI" w:eastAsia="Times New Roman" w:hAnsi="Segoe UI" w:cs="Segoe UI"/>
          <w:b/>
          <w:bCs/>
          <w:color w:val="0D0D0D"/>
          <w:sz w:val="36"/>
          <w:szCs w:val="36"/>
          <w:lang w:eastAsia="en-IN"/>
        </w:rPr>
        <w:lastRenderedPageBreak/>
        <w:t>Report Summary, FAQs, and SEO Schema</w:t>
      </w:r>
    </w:p>
    <w:p w14:paraId="53529608"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Emoji" w:eastAsia="Times New Roman" w:hAnsi="Segoe UI Emoji" w:cs="Segoe UI Emoji"/>
          <w:b/>
          <w:bCs/>
          <w:color w:val="0D0D0D"/>
          <w:sz w:val="30"/>
          <w:szCs w:val="30"/>
          <w:lang w:eastAsia="en-IN"/>
        </w:rPr>
        <w:t>📌</w:t>
      </w:r>
      <w:r w:rsidRPr="00BC70EF">
        <w:rPr>
          <w:rFonts w:ascii="Segoe UI" w:eastAsia="Times New Roman" w:hAnsi="Segoe UI" w:cs="Segoe UI"/>
          <w:b/>
          <w:bCs/>
          <w:color w:val="0D0D0D"/>
          <w:sz w:val="30"/>
          <w:szCs w:val="30"/>
          <w:lang w:eastAsia="en-IN"/>
        </w:rPr>
        <w:t xml:space="preserve"> A.1. Report Title (Long-Form)</w:t>
      </w:r>
    </w:p>
    <w:p w14:paraId="22529B66"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 xml:space="preserve">Cell Viability Assays Market </w:t>
      </w:r>
      <w:proofErr w:type="gramStart"/>
      <w:r w:rsidRPr="00BC70EF">
        <w:rPr>
          <w:rFonts w:ascii="Segoe UI" w:eastAsia="Times New Roman" w:hAnsi="Segoe UI" w:cs="Segoe UI"/>
          <w:b/>
          <w:bCs/>
          <w:color w:val="0D0D0D"/>
          <w:sz w:val="24"/>
          <w:szCs w:val="24"/>
          <w:lang w:eastAsia="en-IN"/>
        </w:rPr>
        <w:t>By</w:t>
      </w:r>
      <w:proofErr w:type="gramEnd"/>
      <w:r w:rsidRPr="00BC70EF">
        <w:rPr>
          <w:rFonts w:ascii="Segoe UI" w:eastAsia="Times New Roman" w:hAnsi="Segoe UI" w:cs="Segoe UI"/>
          <w:b/>
          <w:bCs/>
          <w:color w:val="0D0D0D"/>
          <w:sz w:val="24"/>
          <w:szCs w:val="24"/>
          <w:lang w:eastAsia="en-IN"/>
        </w:rPr>
        <w:t xml:space="preserve"> Product Type (Reagents &amp; Kits, Instruments, Microplates, Software &amp; Analytics); By Assay Method (Colorimetric, Fluorometric, Luminescence-Based, Dye-Exclusion); By End User (Pharmaceutical &amp; Biotechnology Companies, Academic &amp; Research Institutions, CROs, Hospitals &amp; Diagnostic Labs); By Geography, Segment Revenue Estimation, Forecast, 2024–2030.</w:t>
      </w:r>
    </w:p>
    <w:p w14:paraId="56206E4C" w14:textId="77777777" w:rsidR="00BC70EF" w:rsidRPr="00BC70EF" w:rsidRDefault="00BC70EF" w:rsidP="00BC70EF">
      <w:pPr>
        <w:spacing w:before="720" w:after="720" w:line="240" w:lineRule="auto"/>
        <w:rPr>
          <w:rFonts w:ascii="Times New Roman" w:eastAsia="Times New Roman" w:hAnsi="Times New Roman" w:cs="Times New Roman"/>
          <w:sz w:val="24"/>
          <w:szCs w:val="24"/>
          <w:lang w:eastAsia="en-IN"/>
        </w:rPr>
      </w:pPr>
      <w:r w:rsidRPr="00BC70EF">
        <w:rPr>
          <w:rFonts w:ascii="Times New Roman" w:eastAsia="Times New Roman" w:hAnsi="Times New Roman" w:cs="Times New Roman"/>
          <w:sz w:val="24"/>
          <w:szCs w:val="24"/>
          <w:lang w:eastAsia="en-IN"/>
        </w:rPr>
        <w:pict w14:anchorId="7EC7E516">
          <v:rect id="_x0000_i1045" style="width:0;height:0" o:hralign="center" o:hrstd="t" o:hrnoshade="t" o:hr="t" fillcolor="#0d0d0d" stroked="f"/>
        </w:pict>
      </w:r>
    </w:p>
    <w:p w14:paraId="35343612"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Emoji" w:eastAsia="Times New Roman" w:hAnsi="Segoe UI Emoji" w:cs="Segoe UI Emoji"/>
          <w:b/>
          <w:bCs/>
          <w:color w:val="0D0D0D"/>
          <w:sz w:val="30"/>
          <w:szCs w:val="30"/>
          <w:lang w:eastAsia="en-IN"/>
        </w:rPr>
        <w:t>📌</w:t>
      </w:r>
      <w:r w:rsidRPr="00BC70EF">
        <w:rPr>
          <w:rFonts w:ascii="Segoe UI" w:eastAsia="Times New Roman" w:hAnsi="Segoe UI" w:cs="Segoe UI"/>
          <w:b/>
          <w:bCs/>
          <w:color w:val="0D0D0D"/>
          <w:sz w:val="30"/>
          <w:szCs w:val="30"/>
          <w:lang w:eastAsia="en-IN"/>
        </w:rPr>
        <w:t xml:space="preserve"> A.2. Slug Format (All Small Letters)</w:t>
      </w:r>
    </w:p>
    <w:p w14:paraId="2F0B2FED"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cell viability assays market</w:t>
      </w:r>
    </w:p>
    <w:p w14:paraId="5B3A5357" w14:textId="77777777" w:rsidR="00BC70EF" w:rsidRPr="00BC70EF" w:rsidRDefault="00BC70EF" w:rsidP="00BC70EF">
      <w:pPr>
        <w:spacing w:before="720" w:after="720" w:line="240" w:lineRule="auto"/>
        <w:rPr>
          <w:rFonts w:ascii="Times New Roman" w:eastAsia="Times New Roman" w:hAnsi="Times New Roman" w:cs="Times New Roman"/>
          <w:sz w:val="24"/>
          <w:szCs w:val="24"/>
          <w:lang w:eastAsia="en-IN"/>
        </w:rPr>
      </w:pPr>
      <w:r w:rsidRPr="00BC70EF">
        <w:rPr>
          <w:rFonts w:ascii="Times New Roman" w:eastAsia="Times New Roman" w:hAnsi="Times New Roman" w:cs="Times New Roman"/>
          <w:sz w:val="24"/>
          <w:szCs w:val="24"/>
          <w:lang w:eastAsia="en-IN"/>
        </w:rPr>
        <w:pict w14:anchorId="55AC87D5">
          <v:rect id="_x0000_i1046" style="width:0;height:0" o:hralign="center" o:hrstd="t" o:hrnoshade="t" o:hr="t" fillcolor="#0d0d0d" stroked="f"/>
        </w:pict>
      </w:r>
    </w:p>
    <w:p w14:paraId="679C0BF1"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Emoji" w:eastAsia="Times New Roman" w:hAnsi="Segoe UI Emoji" w:cs="Segoe UI Emoji"/>
          <w:b/>
          <w:bCs/>
          <w:color w:val="0D0D0D"/>
          <w:sz w:val="30"/>
          <w:szCs w:val="30"/>
          <w:lang w:eastAsia="en-IN"/>
        </w:rPr>
        <w:t>📌</w:t>
      </w:r>
      <w:r w:rsidRPr="00BC70EF">
        <w:rPr>
          <w:rFonts w:ascii="Segoe UI" w:eastAsia="Times New Roman" w:hAnsi="Segoe UI" w:cs="Segoe UI"/>
          <w:b/>
          <w:bCs/>
          <w:color w:val="0D0D0D"/>
          <w:sz w:val="30"/>
          <w:szCs w:val="30"/>
          <w:lang w:eastAsia="en-IN"/>
        </w:rPr>
        <w:t xml:space="preserve"> A.3. Market Title Format (With Size Tagline)</w:t>
      </w:r>
    </w:p>
    <w:p w14:paraId="6883067F" w14:textId="778E430D"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Cell Viability Assays Market Size ($</w:t>
      </w:r>
      <w:r w:rsidR="009329A9">
        <w:rPr>
          <w:rFonts w:ascii="Segoe UI" w:eastAsia="Times New Roman" w:hAnsi="Segoe UI" w:cs="Segoe UI"/>
          <w:b/>
          <w:bCs/>
          <w:color w:val="0D0D0D"/>
          <w:sz w:val="24"/>
          <w:szCs w:val="24"/>
          <w:lang w:eastAsia="en-IN"/>
        </w:rPr>
        <w:t>3.80</w:t>
      </w:r>
      <w:r w:rsidRPr="00BC70EF">
        <w:rPr>
          <w:rFonts w:ascii="Segoe UI" w:eastAsia="Times New Roman" w:hAnsi="Segoe UI" w:cs="Segoe UI"/>
          <w:b/>
          <w:bCs/>
          <w:color w:val="0D0D0D"/>
          <w:sz w:val="24"/>
          <w:szCs w:val="24"/>
          <w:lang w:eastAsia="en-IN"/>
        </w:rPr>
        <w:t xml:space="preserve"> Billion) 2030</w:t>
      </w:r>
    </w:p>
    <w:p w14:paraId="059D3033" w14:textId="77777777" w:rsidR="00BC70EF" w:rsidRPr="00BC70EF" w:rsidRDefault="00BC70EF" w:rsidP="00BC70EF">
      <w:pPr>
        <w:spacing w:before="720" w:after="720" w:line="240" w:lineRule="auto"/>
        <w:rPr>
          <w:rFonts w:ascii="Times New Roman" w:eastAsia="Times New Roman" w:hAnsi="Times New Roman" w:cs="Times New Roman"/>
          <w:sz w:val="24"/>
          <w:szCs w:val="24"/>
          <w:lang w:eastAsia="en-IN"/>
        </w:rPr>
      </w:pPr>
      <w:r w:rsidRPr="00BC70EF">
        <w:rPr>
          <w:rFonts w:ascii="Times New Roman" w:eastAsia="Times New Roman" w:hAnsi="Times New Roman" w:cs="Times New Roman"/>
          <w:sz w:val="24"/>
          <w:szCs w:val="24"/>
          <w:lang w:eastAsia="en-IN"/>
        </w:rPr>
        <w:pict w14:anchorId="56E3E68C">
          <v:rect id="_x0000_i1047" style="width:0;height:0" o:hralign="center" o:hrstd="t" o:hrnoshade="t" o:hr="t" fillcolor="#0d0d0d" stroked="f"/>
        </w:pict>
      </w:r>
    </w:p>
    <w:p w14:paraId="7A4EC3E1"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Emoji" w:eastAsia="Times New Roman" w:hAnsi="Segoe UI Emoji" w:cs="Segoe UI Emoji"/>
          <w:b/>
          <w:bCs/>
          <w:color w:val="0D0D0D"/>
          <w:sz w:val="30"/>
          <w:szCs w:val="30"/>
          <w:lang w:eastAsia="en-IN"/>
        </w:rPr>
        <w:t>📊</w:t>
      </w:r>
      <w:r w:rsidRPr="00BC70EF">
        <w:rPr>
          <w:rFonts w:ascii="Segoe UI" w:eastAsia="Times New Roman" w:hAnsi="Segoe UI" w:cs="Segoe UI"/>
          <w:b/>
          <w:bCs/>
          <w:color w:val="0D0D0D"/>
          <w:sz w:val="30"/>
          <w:szCs w:val="30"/>
          <w:lang w:eastAsia="en-IN"/>
        </w:rPr>
        <w:t xml:space="preserve"> B.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81"/>
        <w:gridCol w:w="6539"/>
      </w:tblGrid>
      <w:tr w:rsidR="00BC70EF" w:rsidRPr="00BC70EF" w14:paraId="75689056" w14:textId="77777777" w:rsidTr="00BC70E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ABD8726" w14:textId="77777777" w:rsidR="00BC70EF" w:rsidRPr="00BC70EF" w:rsidRDefault="00BC70EF" w:rsidP="00BC70EF">
            <w:pPr>
              <w:spacing w:after="0" w:line="240" w:lineRule="atLeast"/>
              <w:jc w:val="center"/>
              <w:rPr>
                <w:rFonts w:ascii="Times New Roman" w:eastAsia="Times New Roman" w:hAnsi="Times New Roman" w:cs="Times New Roman"/>
                <w:b/>
                <w:bCs/>
                <w:color w:val="0D0D0D"/>
                <w:sz w:val="21"/>
                <w:szCs w:val="21"/>
                <w:lang w:eastAsia="en-IN"/>
              </w:rPr>
            </w:pPr>
            <w:r w:rsidRPr="00BC70EF">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3F692C0" w14:textId="77777777" w:rsidR="00BC70EF" w:rsidRPr="00BC70EF" w:rsidRDefault="00BC70EF" w:rsidP="00BC70EF">
            <w:pPr>
              <w:spacing w:after="0" w:line="240" w:lineRule="atLeast"/>
              <w:jc w:val="center"/>
              <w:rPr>
                <w:rFonts w:ascii="Times New Roman" w:eastAsia="Times New Roman" w:hAnsi="Times New Roman" w:cs="Times New Roman"/>
                <w:b/>
                <w:bCs/>
                <w:color w:val="0D0D0D"/>
                <w:sz w:val="21"/>
                <w:szCs w:val="21"/>
                <w:lang w:eastAsia="en-IN"/>
              </w:rPr>
            </w:pPr>
            <w:r w:rsidRPr="00BC70EF">
              <w:rPr>
                <w:rFonts w:ascii="Times New Roman" w:eastAsia="Times New Roman" w:hAnsi="Times New Roman" w:cs="Times New Roman"/>
                <w:b/>
                <w:bCs/>
                <w:color w:val="0D0D0D"/>
                <w:sz w:val="21"/>
                <w:szCs w:val="21"/>
                <w:lang w:eastAsia="en-IN"/>
              </w:rPr>
              <w:t>Details</w:t>
            </w:r>
          </w:p>
        </w:tc>
      </w:tr>
      <w:tr w:rsidR="00BC70EF" w:rsidRPr="00BC70EF" w14:paraId="69B8CF16" w14:textId="77777777" w:rsidTr="00BC70E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776231C"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b/>
                <w:bCs/>
                <w:color w:val="0D0D0D"/>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2DCA5B"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sz w:val="21"/>
                <w:szCs w:val="21"/>
                <w:lang w:eastAsia="en-IN"/>
              </w:rPr>
              <w:t>2024 – 2030</w:t>
            </w:r>
          </w:p>
        </w:tc>
      </w:tr>
      <w:tr w:rsidR="00BC70EF" w:rsidRPr="00BC70EF" w14:paraId="1C992B76" w14:textId="77777777" w:rsidTr="00BC70E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ED6A83"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b/>
                <w:bCs/>
                <w:color w:val="0D0D0D"/>
                <w:sz w:val="21"/>
                <w:szCs w:val="21"/>
                <w:lang w:eastAsia="en-IN"/>
              </w:rPr>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1C1688"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b/>
                <w:bCs/>
                <w:color w:val="0D0D0D"/>
                <w:sz w:val="21"/>
                <w:szCs w:val="21"/>
                <w:lang w:eastAsia="en-IN"/>
              </w:rPr>
              <w:t>USD 2.6 Billion</w:t>
            </w:r>
          </w:p>
        </w:tc>
      </w:tr>
      <w:tr w:rsidR="00BC70EF" w:rsidRPr="00BC70EF" w14:paraId="5DF7EC85" w14:textId="77777777" w:rsidTr="00BC70E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B250F5B"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b/>
                <w:bCs/>
                <w:color w:val="0D0D0D"/>
                <w:sz w:val="21"/>
                <w:szCs w:val="21"/>
                <w:lang w:eastAsia="en-IN"/>
              </w:rPr>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CAE676" w14:textId="07A5FE06"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b/>
                <w:bCs/>
                <w:color w:val="0D0D0D"/>
                <w:sz w:val="21"/>
                <w:szCs w:val="21"/>
                <w:lang w:eastAsia="en-IN"/>
              </w:rPr>
              <w:t xml:space="preserve">USD </w:t>
            </w:r>
            <w:r w:rsidR="009329A9">
              <w:rPr>
                <w:rFonts w:ascii="Times New Roman" w:eastAsia="Times New Roman" w:hAnsi="Times New Roman" w:cs="Times New Roman"/>
                <w:b/>
                <w:bCs/>
                <w:color w:val="0D0D0D"/>
                <w:sz w:val="21"/>
                <w:szCs w:val="21"/>
                <w:lang w:eastAsia="en-IN"/>
              </w:rPr>
              <w:t>3.80</w:t>
            </w:r>
            <w:r w:rsidRPr="00BC70EF">
              <w:rPr>
                <w:rFonts w:ascii="Times New Roman" w:eastAsia="Times New Roman" w:hAnsi="Times New Roman" w:cs="Times New Roman"/>
                <w:b/>
                <w:bCs/>
                <w:color w:val="0D0D0D"/>
                <w:sz w:val="21"/>
                <w:szCs w:val="21"/>
                <w:lang w:eastAsia="en-IN"/>
              </w:rPr>
              <w:t xml:space="preserve"> Billion</w:t>
            </w:r>
          </w:p>
        </w:tc>
      </w:tr>
      <w:tr w:rsidR="00BC70EF" w:rsidRPr="00BC70EF" w14:paraId="701DB2FA" w14:textId="77777777" w:rsidTr="00BC70E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B39983D"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b/>
                <w:bCs/>
                <w:color w:val="0D0D0D"/>
                <w:sz w:val="21"/>
                <w:szCs w:val="21"/>
                <w:lang w:eastAsia="en-IN"/>
              </w:rPr>
              <w:t>Overall Growth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92218B" w14:textId="5AFD323B"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b/>
                <w:bCs/>
                <w:color w:val="0D0D0D"/>
                <w:sz w:val="21"/>
                <w:szCs w:val="21"/>
                <w:lang w:eastAsia="en-IN"/>
              </w:rPr>
              <w:t xml:space="preserve">CAGR of </w:t>
            </w:r>
            <w:r w:rsidR="009329A9">
              <w:rPr>
                <w:rFonts w:ascii="Times New Roman" w:eastAsia="Times New Roman" w:hAnsi="Times New Roman" w:cs="Times New Roman"/>
                <w:b/>
                <w:bCs/>
                <w:color w:val="0D0D0D"/>
                <w:sz w:val="21"/>
                <w:szCs w:val="21"/>
                <w:lang w:eastAsia="en-IN"/>
              </w:rPr>
              <w:t>6.5</w:t>
            </w:r>
            <w:r w:rsidRPr="00BC70EF">
              <w:rPr>
                <w:rFonts w:ascii="Times New Roman" w:eastAsia="Times New Roman" w:hAnsi="Times New Roman" w:cs="Times New Roman"/>
                <w:b/>
                <w:bCs/>
                <w:color w:val="0D0D0D"/>
                <w:sz w:val="21"/>
                <w:szCs w:val="21"/>
                <w:lang w:eastAsia="en-IN"/>
              </w:rPr>
              <w:t>% (2024 – 2030)</w:t>
            </w:r>
          </w:p>
        </w:tc>
      </w:tr>
      <w:tr w:rsidR="00BC70EF" w:rsidRPr="00BC70EF" w14:paraId="44E6B8F6" w14:textId="77777777" w:rsidTr="00BC70E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E6806B9"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b/>
                <w:bCs/>
                <w:color w:val="0D0D0D"/>
                <w:sz w:val="21"/>
                <w:szCs w:val="21"/>
                <w:lang w:eastAsia="en-IN"/>
              </w:rPr>
              <w:lastRenderedPageBreak/>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D6C23F"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sz w:val="21"/>
                <w:szCs w:val="21"/>
                <w:lang w:eastAsia="en-IN"/>
              </w:rPr>
              <w:t>2023</w:t>
            </w:r>
          </w:p>
        </w:tc>
      </w:tr>
      <w:tr w:rsidR="00BC70EF" w:rsidRPr="00BC70EF" w14:paraId="4FE13366" w14:textId="77777777" w:rsidTr="00BC70E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52998B"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b/>
                <w:bCs/>
                <w:color w:val="0D0D0D"/>
                <w:sz w:val="21"/>
                <w:szCs w:val="21"/>
                <w:lang w:eastAsia="en-IN"/>
              </w:rPr>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D96415"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sz w:val="21"/>
                <w:szCs w:val="21"/>
                <w:lang w:eastAsia="en-IN"/>
              </w:rPr>
              <w:t>2017 – 2021</w:t>
            </w:r>
          </w:p>
        </w:tc>
      </w:tr>
      <w:tr w:rsidR="00BC70EF" w:rsidRPr="00BC70EF" w14:paraId="571B8629" w14:textId="77777777" w:rsidTr="00BC70E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D7DAB9F"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b/>
                <w:bCs/>
                <w:color w:val="0D0D0D"/>
                <w:sz w:val="21"/>
                <w:szCs w:val="21"/>
                <w:lang w:eastAsia="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2DA4E4"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sz w:val="21"/>
                <w:szCs w:val="21"/>
                <w:lang w:eastAsia="en-IN"/>
              </w:rPr>
              <w:t>USD Million, CAGR (2024 – 2030)</w:t>
            </w:r>
          </w:p>
        </w:tc>
      </w:tr>
      <w:tr w:rsidR="00BC70EF" w:rsidRPr="00BC70EF" w14:paraId="434C6CDB" w14:textId="77777777" w:rsidTr="00BC70E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5F6A9BC"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b/>
                <w:bCs/>
                <w:color w:val="0D0D0D"/>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DA7F24"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sz w:val="21"/>
                <w:szCs w:val="21"/>
                <w:lang w:eastAsia="en-IN"/>
              </w:rPr>
              <w:t>By Product Type, By Assay Method, By End User, By Region</w:t>
            </w:r>
          </w:p>
        </w:tc>
      </w:tr>
      <w:tr w:rsidR="00BC70EF" w:rsidRPr="00BC70EF" w14:paraId="5BA7E4AF" w14:textId="77777777" w:rsidTr="00BC70E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5F8F33C"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b/>
                <w:bCs/>
                <w:color w:val="0D0D0D"/>
                <w:sz w:val="21"/>
                <w:szCs w:val="21"/>
                <w:lang w:eastAsia="en-IN"/>
              </w:rPr>
              <w:t>By Product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98314C"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sz w:val="21"/>
                <w:szCs w:val="21"/>
                <w:lang w:eastAsia="en-IN"/>
              </w:rPr>
              <w:t>Reagents &amp; Kits, Instruments, Microplates, Software &amp; Analytics</w:t>
            </w:r>
          </w:p>
        </w:tc>
      </w:tr>
      <w:tr w:rsidR="00BC70EF" w:rsidRPr="00BC70EF" w14:paraId="6B2A61A6" w14:textId="77777777" w:rsidTr="00BC70E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FCF0A1"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b/>
                <w:bCs/>
                <w:color w:val="0D0D0D"/>
                <w:sz w:val="21"/>
                <w:szCs w:val="21"/>
                <w:lang w:eastAsia="en-IN"/>
              </w:rPr>
              <w:t>By Assay Method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A82F46"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sz w:val="21"/>
                <w:szCs w:val="21"/>
                <w:lang w:eastAsia="en-IN"/>
              </w:rPr>
              <w:t>Colorimetric, Fluorometric, Luminescence-Based, Dye-Exclusion</w:t>
            </w:r>
          </w:p>
        </w:tc>
      </w:tr>
      <w:tr w:rsidR="00BC70EF" w:rsidRPr="00BC70EF" w14:paraId="68A10F80" w14:textId="77777777" w:rsidTr="00BC70E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3F1199C"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b/>
                <w:bCs/>
                <w:color w:val="0D0D0D"/>
                <w:sz w:val="21"/>
                <w:szCs w:val="21"/>
                <w:lang w:eastAsia="en-IN"/>
              </w:rPr>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705CB2"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sz w:val="21"/>
                <w:szCs w:val="21"/>
                <w:lang w:eastAsia="en-IN"/>
              </w:rPr>
              <w:t>Pharma &amp; Biotech Companies, Academic Labs, CROs, Hospitals &amp; Diagnostics</w:t>
            </w:r>
          </w:p>
        </w:tc>
      </w:tr>
      <w:tr w:rsidR="00BC70EF" w:rsidRPr="00BC70EF" w14:paraId="0776FE98" w14:textId="77777777" w:rsidTr="00BC70E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5DC7E7D"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b/>
                <w:bCs/>
                <w:color w:val="0D0D0D"/>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ED44D8"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sz w:val="21"/>
                <w:szCs w:val="21"/>
                <w:lang w:eastAsia="en-IN"/>
              </w:rPr>
              <w:t>North America, Europe, Asia-Pacific, LAMEA</w:t>
            </w:r>
          </w:p>
        </w:tc>
      </w:tr>
      <w:tr w:rsidR="00BC70EF" w:rsidRPr="00BC70EF" w14:paraId="703D6CA8" w14:textId="77777777" w:rsidTr="00BC70E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B11C4E3"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b/>
                <w:bCs/>
                <w:color w:val="0D0D0D"/>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BB3717"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sz w:val="21"/>
                <w:szCs w:val="21"/>
                <w:lang w:eastAsia="en-IN"/>
              </w:rPr>
              <w:t>U.S., UK, Germany, China, India, Japan, Brazil, South Korea, etc.</w:t>
            </w:r>
          </w:p>
        </w:tc>
      </w:tr>
      <w:tr w:rsidR="00BC70EF" w:rsidRPr="00BC70EF" w14:paraId="4C8A9ECC" w14:textId="77777777" w:rsidTr="00BC70E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F7E5A3F"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b/>
                <w:bCs/>
                <w:color w:val="0D0D0D"/>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590E69"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sz w:val="21"/>
                <w:szCs w:val="21"/>
                <w:lang w:eastAsia="en-IN"/>
              </w:rPr>
              <w:t>AI integration, personalized medicine growth, animal-free testing mandates</w:t>
            </w:r>
          </w:p>
        </w:tc>
      </w:tr>
      <w:tr w:rsidR="00BC70EF" w:rsidRPr="00BC70EF" w14:paraId="777C53E8" w14:textId="77777777" w:rsidTr="00BC70EF">
        <w:trPr>
          <w:tblCellSpacing w:w="15" w:type="dxa"/>
        </w:trPr>
        <w:tc>
          <w:tcPr>
            <w:tcW w:w="0" w:type="auto"/>
            <w:tcMar>
              <w:top w:w="137" w:type="dxa"/>
              <w:left w:w="0" w:type="dxa"/>
              <w:bottom w:w="360" w:type="dxa"/>
              <w:right w:w="137" w:type="dxa"/>
            </w:tcMar>
            <w:vAlign w:val="bottom"/>
            <w:hideMark/>
          </w:tcPr>
          <w:p w14:paraId="7CFACAFA"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b/>
                <w:bCs/>
                <w:color w:val="0D0D0D"/>
                <w:sz w:val="21"/>
                <w:szCs w:val="21"/>
                <w:lang w:eastAsia="en-IN"/>
              </w:rPr>
              <w:t>Customization Option</w:t>
            </w:r>
          </w:p>
        </w:tc>
        <w:tc>
          <w:tcPr>
            <w:tcW w:w="0" w:type="auto"/>
            <w:tcMar>
              <w:top w:w="137" w:type="dxa"/>
              <w:left w:w="137" w:type="dxa"/>
              <w:bottom w:w="360" w:type="dxa"/>
              <w:right w:w="0" w:type="dxa"/>
            </w:tcMar>
            <w:vAlign w:val="bottom"/>
            <w:hideMark/>
          </w:tcPr>
          <w:p w14:paraId="3C49D4FA" w14:textId="77777777" w:rsidR="00BC70EF" w:rsidRPr="00BC70EF" w:rsidRDefault="00BC70EF" w:rsidP="00BC70EF">
            <w:pPr>
              <w:spacing w:after="0" w:line="240" w:lineRule="auto"/>
              <w:rPr>
                <w:rFonts w:ascii="Times New Roman" w:eastAsia="Times New Roman" w:hAnsi="Times New Roman" w:cs="Times New Roman"/>
                <w:sz w:val="21"/>
                <w:szCs w:val="21"/>
                <w:lang w:eastAsia="en-IN"/>
              </w:rPr>
            </w:pPr>
            <w:r w:rsidRPr="00BC70EF">
              <w:rPr>
                <w:rFonts w:ascii="Times New Roman" w:eastAsia="Times New Roman" w:hAnsi="Times New Roman" w:cs="Times New Roman"/>
                <w:sz w:val="21"/>
                <w:szCs w:val="21"/>
                <w:lang w:eastAsia="en-IN"/>
              </w:rPr>
              <w:t>Available upon request</w:t>
            </w:r>
          </w:p>
        </w:tc>
      </w:tr>
    </w:tbl>
    <w:p w14:paraId="77ABEA5B" w14:textId="77777777" w:rsidR="00BC70EF" w:rsidRPr="00BC70EF" w:rsidRDefault="00BC70EF" w:rsidP="00BC70EF">
      <w:pPr>
        <w:spacing w:before="720" w:after="720" w:line="240" w:lineRule="auto"/>
        <w:rPr>
          <w:rFonts w:ascii="Times New Roman" w:eastAsia="Times New Roman" w:hAnsi="Times New Roman" w:cs="Times New Roman"/>
          <w:sz w:val="24"/>
          <w:szCs w:val="24"/>
          <w:lang w:eastAsia="en-IN"/>
        </w:rPr>
      </w:pPr>
      <w:r w:rsidRPr="00BC70EF">
        <w:rPr>
          <w:rFonts w:ascii="Times New Roman" w:eastAsia="Times New Roman" w:hAnsi="Times New Roman" w:cs="Times New Roman"/>
          <w:sz w:val="24"/>
          <w:szCs w:val="24"/>
          <w:lang w:eastAsia="en-IN"/>
        </w:rPr>
        <w:pict w14:anchorId="00105F7B">
          <v:rect id="_x0000_i1048" style="width:0;height:0" o:hralign="center" o:hrstd="t" o:hrnoshade="t" o:hr="t" fillcolor="#0d0d0d" stroked="f"/>
        </w:pict>
      </w:r>
    </w:p>
    <w:p w14:paraId="194AA7A9"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Emoji" w:eastAsia="Times New Roman" w:hAnsi="Segoe UI Emoji" w:cs="Segoe UI Emoji"/>
          <w:b/>
          <w:bCs/>
          <w:color w:val="0D0D0D"/>
          <w:sz w:val="30"/>
          <w:szCs w:val="30"/>
          <w:lang w:eastAsia="en-IN"/>
        </w:rPr>
        <w:t>❓</w:t>
      </w:r>
      <w:r w:rsidRPr="00BC70EF">
        <w:rPr>
          <w:rFonts w:ascii="Segoe UI" w:eastAsia="Times New Roman" w:hAnsi="Segoe UI" w:cs="Segoe UI"/>
          <w:b/>
          <w:bCs/>
          <w:color w:val="0D0D0D"/>
          <w:sz w:val="30"/>
          <w:szCs w:val="30"/>
          <w:lang w:eastAsia="en-IN"/>
        </w:rPr>
        <w:t xml:space="preserve"> C. Top 5 FAQs</w:t>
      </w:r>
    </w:p>
    <w:p w14:paraId="600EC8F2"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Q1: How big is the cell viability assays market?</w:t>
      </w:r>
      <w:r w:rsidRPr="00BC70EF">
        <w:rPr>
          <w:rFonts w:ascii="Segoe UI" w:eastAsia="Times New Roman" w:hAnsi="Segoe UI" w:cs="Segoe UI"/>
          <w:color w:val="0D0D0D"/>
          <w:sz w:val="24"/>
          <w:szCs w:val="24"/>
          <w:lang w:eastAsia="en-IN"/>
        </w:rPr>
        <w:br/>
      </w:r>
      <w:r w:rsidRPr="00BC70EF">
        <w:rPr>
          <w:rFonts w:ascii="Segoe UI" w:eastAsia="Times New Roman" w:hAnsi="Segoe UI" w:cs="Segoe UI"/>
          <w:i/>
          <w:iCs/>
          <w:color w:val="0D0D0D"/>
          <w:sz w:val="24"/>
          <w:szCs w:val="24"/>
          <w:lang w:eastAsia="en-IN"/>
        </w:rPr>
        <w:t>The global cell viability assays market was valued at </w:t>
      </w:r>
      <w:r w:rsidRPr="00BC70EF">
        <w:rPr>
          <w:rFonts w:ascii="Segoe UI" w:eastAsia="Times New Roman" w:hAnsi="Segoe UI" w:cs="Segoe UI"/>
          <w:b/>
          <w:bCs/>
          <w:i/>
          <w:iCs/>
          <w:color w:val="0D0D0D"/>
          <w:sz w:val="24"/>
          <w:szCs w:val="24"/>
          <w:lang w:eastAsia="en-IN"/>
        </w:rPr>
        <w:t>USD 2.6 billion</w:t>
      </w:r>
      <w:r w:rsidRPr="00BC70EF">
        <w:rPr>
          <w:rFonts w:ascii="Segoe UI" w:eastAsia="Times New Roman" w:hAnsi="Segoe UI" w:cs="Segoe UI"/>
          <w:i/>
          <w:iCs/>
          <w:color w:val="0D0D0D"/>
          <w:sz w:val="24"/>
          <w:szCs w:val="24"/>
          <w:lang w:eastAsia="en-IN"/>
        </w:rPr>
        <w:t> in 2024.</w:t>
      </w:r>
    </w:p>
    <w:p w14:paraId="323FE1DA" w14:textId="591145C9"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Q2: What is the CAGR for cell viability assays during the forecast period?</w:t>
      </w:r>
      <w:r w:rsidRPr="00BC70EF">
        <w:rPr>
          <w:rFonts w:ascii="Segoe UI" w:eastAsia="Times New Roman" w:hAnsi="Segoe UI" w:cs="Segoe UI"/>
          <w:color w:val="0D0D0D"/>
          <w:sz w:val="24"/>
          <w:szCs w:val="24"/>
          <w:lang w:eastAsia="en-IN"/>
        </w:rPr>
        <w:br/>
      </w:r>
      <w:r w:rsidRPr="00BC70EF">
        <w:rPr>
          <w:rFonts w:ascii="Segoe UI" w:eastAsia="Times New Roman" w:hAnsi="Segoe UI" w:cs="Segoe UI"/>
          <w:i/>
          <w:iCs/>
          <w:color w:val="0D0D0D"/>
          <w:sz w:val="24"/>
          <w:szCs w:val="24"/>
          <w:lang w:eastAsia="en-IN"/>
        </w:rPr>
        <w:t>The market is expected to grow at a </w:t>
      </w:r>
      <w:r w:rsidRPr="00BC70EF">
        <w:rPr>
          <w:rFonts w:ascii="Segoe UI" w:eastAsia="Times New Roman" w:hAnsi="Segoe UI" w:cs="Segoe UI"/>
          <w:b/>
          <w:bCs/>
          <w:i/>
          <w:iCs/>
          <w:color w:val="0D0D0D"/>
          <w:sz w:val="24"/>
          <w:szCs w:val="24"/>
          <w:lang w:eastAsia="en-IN"/>
        </w:rPr>
        <w:t xml:space="preserve">CAGR of </w:t>
      </w:r>
      <w:r w:rsidR="009329A9">
        <w:rPr>
          <w:rFonts w:ascii="Segoe UI" w:eastAsia="Times New Roman" w:hAnsi="Segoe UI" w:cs="Segoe UI"/>
          <w:b/>
          <w:bCs/>
          <w:i/>
          <w:iCs/>
          <w:color w:val="0D0D0D"/>
          <w:sz w:val="24"/>
          <w:szCs w:val="24"/>
          <w:lang w:eastAsia="en-IN"/>
        </w:rPr>
        <w:t>6.5</w:t>
      </w:r>
      <w:r w:rsidRPr="00BC70EF">
        <w:rPr>
          <w:rFonts w:ascii="Segoe UI" w:eastAsia="Times New Roman" w:hAnsi="Segoe UI" w:cs="Segoe UI"/>
          <w:b/>
          <w:bCs/>
          <w:i/>
          <w:iCs/>
          <w:color w:val="0D0D0D"/>
          <w:sz w:val="24"/>
          <w:szCs w:val="24"/>
          <w:lang w:eastAsia="en-IN"/>
        </w:rPr>
        <w:t>%</w:t>
      </w:r>
      <w:r w:rsidRPr="00BC70EF">
        <w:rPr>
          <w:rFonts w:ascii="Segoe UI" w:eastAsia="Times New Roman" w:hAnsi="Segoe UI" w:cs="Segoe UI"/>
          <w:i/>
          <w:iCs/>
          <w:color w:val="0D0D0D"/>
          <w:sz w:val="24"/>
          <w:szCs w:val="24"/>
          <w:lang w:eastAsia="en-IN"/>
        </w:rPr>
        <w:t> from 2024 to 2030.</w:t>
      </w:r>
    </w:p>
    <w:p w14:paraId="57C83E49"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Q3: Who are the major players in the cell viability assays market?</w:t>
      </w:r>
      <w:r w:rsidRPr="00BC70EF">
        <w:rPr>
          <w:rFonts w:ascii="Segoe UI" w:eastAsia="Times New Roman" w:hAnsi="Segoe UI" w:cs="Segoe UI"/>
          <w:color w:val="0D0D0D"/>
          <w:sz w:val="24"/>
          <w:szCs w:val="24"/>
          <w:lang w:eastAsia="en-IN"/>
        </w:rPr>
        <w:br/>
      </w:r>
      <w:r w:rsidRPr="00BC70EF">
        <w:rPr>
          <w:rFonts w:ascii="Segoe UI" w:eastAsia="Times New Roman" w:hAnsi="Segoe UI" w:cs="Segoe UI"/>
          <w:i/>
          <w:iCs/>
          <w:color w:val="0D0D0D"/>
          <w:sz w:val="24"/>
          <w:szCs w:val="24"/>
          <w:lang w:eastAsia="en-IN"/>
        </w:rPr>
        <w:t>Leading players include </w:t>
      </w:r>
      <w:r w:rsidRPr="00BC70EF">
        <w:rPr>
          <w:rFonts w:ascii="Segoe UI" w:eastAsia="Times New Roman" w:hAnsi="Segoe UI" w:cs="Segoe UI"/>
          <w:b/>
          <w:bCs/>
          <w:i/>
          <w:iCs/>
          <w:color w:val="0D0D0D"/>
          <w:sz w:val="24"/>
          <w:szCs w:val="24"/>
          <w:lang w:eastAsia="en-IN"/>
        </w:rPr>
        <w:t>Thermo Fisher Scientific</w:t>
      </w:r>
      <w:r w:rsidRPr="00BC70EF">
        <w:rPr>
          <w:rFonts w:ascii="Segoe UI" w:eastAsia="Times New Roman" w:hAnsi="Segoe UI" w:cs="Segoe UI"/>
          <w:i/>
          <w:iCs/>
          <w:color w:val="0D0D0D"/>
          <w:sz w:val="24"/>
          <w:szCs w:val="24"/>
          <w:lang w:eastAsia="en-IN"/>
        </w:rPr>
        <w:t>, </w:t>
      </w:r>
      <w:r w:rsidRPr="00BC70EF">
        <w:rPr>
          <w:rFonts w:ascii="Segoe UI" w:eastAsia="Times New Roman" w:hAnsi="Segoe UI" w:cs="Segoe UI"/>
          <w:b/>
          <w:bCs/>
          <w:i/>
          <w:iCs/>
          <w:color w:val="0D0D0D"/>
          <w:sz w:val="24"/>
          <w:szCs w:val="24"/>
          <w:lang w:eastAsia="en-IN"/>
        </w:rPr>
        <w:t>Promega Corporation</w:t>
      </w:r>
      <w:r w:rsidRPr="00BC70EF">
        <w:rPr>
          <w:rFonts w:ascii="Segoe UI" w:eastAsia="Times New Roman" w:hAnsi="Segoe UI" w:cs="Segoe UI"/>
          <w:i/>
          <w:iCs/>
          <w:color w:val="0D0D0D"/>
          <w:sz w:val="24"/>
          <w:szCs w:val="24"/>
          <w:lang w:eastAsia="en-IN"/>
        </w:rPr>
        <w:t>, and </w:t>
      </w:r>
      <w:r w:rsidRPr="00BC70EF">
        <w:rPr>
          <w:rFonts w:ascii="Segoe UI" w:eastAsia="Times New Roman" w:hAnsi="Segoe UI" w:cs="Segoe UI"/>
          <w:b/>
          <w:bCs/>
          <w:i/>
          <w:iCs/>
          <w:color w:val="0D0D0D"/>
          <w:sz w:val="24"/>
          <w:szCs w:val="24"/>
          <w:lang w:eastAsia="en-IN"/>
        </w:rPr>
        <w:t xml:space="preserve">Merck </w:t>
      </w:r>
      <w:proofErr w:type="spellStart"/>
      <w:r w:rsidRPr="00BC70EF">
        <w:rPr>
          <w:rFonts w:ascii="Segoe UI" w:eastAsia="Times New Roman" w:hAnsi="Segoe UI" w:cs="Segoe UI"/>
          <w:b/>
          <w:bCs/>
          <w:i/>
          <w:iCs/>
          <w:color w:val="0D0D0D"/>
          <w:sz w:val="24"/>
          <w:szCs w:val="24"/>
          <w:lang w:eastAsia="en-IN"/>
        </w:rPr>
        <w:t>KGaA</w:t>
      </w:r>
      <w:proofErr w:type="spellEnd"/>
      <w:r w:rsidRPr="00BC70EF">
        <w:rPr>
          <w:rFonts w:ascii="Segoe UI" w:eastAsia="Times New Roman" w:hAnsi="Segoe UI" w:cs="Segoe UI"/>
          <w:b/>
          <w:bCs/>
          <w:i/>
          <w:iCs/>
          <w:color w:val="0D0D0D"/>
          <w:sz w:val="24"/>
          <w:szCs w:val="24"/>
          <w:lang w:eastAsia="en-IN"/>
        </w:rPr>
        <w:t xml:space="preserve"> (</w:t>
      </w:r>
      <w:proofErr w:type="spellStart"/>
      <w:r w:rsidRPr="00BC70EF">
        <w:rPr>
          <w:rFonts w:ascii="Segoe UI" w:eastAsia="Times New Roman" w:hAnsi="Segoe UI" w:cs="Segoe UI"/>
          <w:b/>
          <w:bCs/>
          <w:i/>
          <w:iCs/>
          <w:color w:val="0D0D0D"/>
          <w:sz w:val="24"/>
          <w:szCs w:val="24"/>
          <w:lang w:eastAsia="en-IN"/>
        </w:rPr>
        <w:t>MilliporeSigma</w:t>
      </w:r>
      <w:proofErr w:type="spellEnd"/>
      <w:r w:rsidRPr="00BC70EF">
        <w:rPr>
          <w:rFonts w:ascii="Segoe UI" w:eastAsia="Times New Roman" w:hAnsi="Segoe UI" w:cs="Segoe UI"/>
          <w:b/>
          <w:bCs/>
          <w:i/>
          <w:iCs/>
          <w:color w:val="0D0D0D"/>
          <w:sz w:val="24"/>
          <w:szCs w:val="24"/>
          <w:lang w:eastAsia="en-IN"/>
        </w:rPr>
        <w:t>)</w:t>
      </w:r>
      <w:r w:rsidRPr="00BC70EF">
        <w:rPr>
          <w:rFonts w:ascii="Segoe UI" w:eastAsia="Times New Roman" w:hAnsi="Segoe UI" w:cs="Segoe UI"/>
          <w:i/>
          <w:iCs/>
          <w:color w:val="0D0D0D"/>
          <w:sz w:val="24"/>
          <w:szCs w:val="24"/>
          <w:lang w:eastAsia="en-IN"/>
        </w:rPr>
        <w:t>.</w:t>
      </w:r>
    </w:p>
    <w:p w14:paraId="380A6B69"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t>Q4: Which region dominates the cell viability assays market?</w:t>
      </w:r>
      <w:r w:rsidRPr="00BC70EF">
        <w:rPr>
          <w:rFonts w:ascii="Segoe UI" w:eastAsia="Times New Roman" w:hAnsi="Segoe UI" w:cs="Segoe UI"/>
          <w:color w:val="0D0D0D"/>
          <w:sz w:val="24"/>
          <w:szCs w:val="24"/>
          <w:lang w:eastAsia="en-IN"/>
        </w:rPr>
        <w:br/>
      </w:r>
      <w:r w:rsidRPr="00BC70EF">
        <w:rPr>
          <w:rFonts w:ascii="Segoe UI" w:eastAsia="Times New Roman" w:hAnsi="Segoe UI" w:cs="Segoe UI"/>
          <w:b/>
          <w:bCs/>
          <w:color w:val="0D0D0D"/>
          <w:sz w:val="24"/>
          <w:szCs w:val="24"/>
          <w:lang w:eastAsia="en-IN"/>
        </w:rPr>
        <w:t>North America</w:t>
      </w:r>
      <w:r w:rsidRPr="00BC70EF">
        <w:rPr>
          <w:rFonts w:ascii="Segoe UI" w:eastAsia="Times New Roman" w:hAnsi="Segoe UI" w:cs="Segoe UI"/>
          <w:color w:val="0D0D0D"/>
          <w:sz w:val="24"/>
          <w:szCs w:val="24"/>
          <w:lang w:eastAsia="en-IN"/>
        </w:rPr>
        <w:t xml:space="preserve"> leads due to strong infrastructure, advanced R&amp;D capacity, and </w:t>
      </w:r>
      <w:proofErr w:type="spellStart"/>
      <w:r w:rsidRPr="00BC70EF">
        <w:rPr>
          <w:rFonts w:ascii="Segoe UI" w:eastAsia="Times New Roman" w:hAnsi="Segoe UI" w:cs="Segoe UI"/>
          <w:color w:val="0D0D0D"/>
          <w:sz w:val="24"/>
          <w:szCs w:val="24"/>
          <w:lang w:eastAsia="en-IN"/>
        </w:rPr>
        <w:t>favorable</w:t>
      </w:r>
      <w:proofErr w:type="spellEnd"/>
      <w:r w:rsidRPr="00BC70EF">
        <w:rPr>
          <w:rFonts w:ascii="Segoe UI" w:eastAsia="Times New Roman" w:hAnsi="Segoe UI" w:cs="Segoe UI"/>
          <w:color w:val="0D0D0D"/>
          <w:sz w:val="24"/>
          <w:szCs w:val="24"/>
          <w:lang w:eastAsia="en-IN"/>
        </w:rPr>
        <w:t xml:space="preserve"> regulatory support.</w:t>
      </w:r>
    </w:p>
    <w:p w14:paraId="02C75C69" w14:textId="77777777" w:rsidR="00BC70EF" w:rsidRPr="00BC70EF" w:rsidRDefault="00BC70EF" w:rsidP="00BC70E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BC70EF">
        <w:rPr>
          <w:rFonts w:ascii="Segoe UI" w:eastAsia="Times New Roman" w:hAnsi="Segoe UI" w:cs="Segoe UI"/>
          <w:b/>
          <w:bCs/>
          <w:color w:val="0D0D0D"/>
          <w:sz w:val="24"/>
          <w:szCs w:val="24"/>
          <w:lang w:eastAsia="en-IN"/>
        </w:rPr>
        <w:lastRenderedPageBreak/>
        <w:t>Q5: What factors are driving the cell viability assays market?</w:t>
      </w:r>
      <w:r w:rsidRPr="00BC70EF">
        <w:rPr>
          <w:rFonts w:ascii="Segoe UI" w:eastAsia="Times New Roman" w:hAnsi="Segoe UI" w:cs="Segoe UI"/>
          <w:color w:val="0D0D0D"/>
          <w:sz w:val="24"/>
          <w:szCs w:val="24"/>
          <w:lang w:eastAsia="en-IN"/>
        </w:rPr>
        <w:br/>
      </w:r>
      <w:r w:rsidRPr="00BC70EF">
        <w:rPr>
          <w:rFonts w:ascii="Segoe UI" w:eastAsia="Times New Roman" w:hAnsi="Segoe UI" w:cs="Segoe UI"/>
          <w:i/>
          <w:iCs/>
          <w:color w:val="0D0D0D"/>
          <w:sz w:val="24"/>
          <w:szCs w:val="24"/>
          <w:lang w:eastAsia="en-IN"/>
        </w:rPr>
        <w:t xml:space="preserve">Growth is </w:t>
      </w:r>
      <w:proofErr w:type="spellStart"/>
      <w:r w:rsidRPr="00BC70EF">
        <w:rPr>
          <w:rFonts w:ascii="Segoe UI" w:eastAsia="Times New Roman" w:hAnsi="Segoe UI" w:cs="Segoe UI"/>
          <w:i/>
          <w:iCs/>
          <w:color w:val="0D0D0D"/>
          <w:sz w:val="24"/>
          <w:szCs w:val="24"/>
          <w:lang w:eastAsia="en-IN"/>
        </w:rPr>
        <w:t>fueled</w:t>
      </w:r>
      <w:proofErr w:type="spellEnd"/>
      <w:r w:rsidRPr="00BC70EF">
        <w:rPr>
          <w:rFonts w:ascii="Segoe UI" w:eastAsia="Times New Roman" w:hAnsi="Segoe UI" w:cs="Segoe UI"/>
          <w:i/>
          <w:iCs/>
          <w:color w:val="0D0D0D"/>
          <w:sz w:val="24"/>
          <w:szCs w:val="24"/>
          <w:lang w:eastAsia="en-IN"/>
        </w:rPr>
        <w:t xml:space="preserve"> by tech innovation, ethical testing mandates, and rising demand for 3D and personalized biology solutions.</w:t>
      </w:r>
    </w:p>
    <w:p w14:paraId="3530E3A3" w14:textId="77777777" w:rsidR="00BC70EF" w:rsidRPr="00BC70EF" w:rsidRDefault="00BC70EF" w:rsidP="00BC70EF">
      <w:pPr>
        <w:spacing w:before="720" w:after="720" w:line="240" w:lineRule="auto"/>
        <w:rPr>
          <w:rFonts w:ascii="Times New Roman" w:eastAsia="Times New Roman" w:hAnsi="Times New Roman" w:cs="Times New Roman"/>
          <w:sz w:val="24"/>
          <w:szCs w:val="24"/>
          <w:lang w:eastAsia="en-IN"/>
        </w:rPr>
      </w:pPr>
      <w:r w:rsidRPr="00BC70EF">
        <w:rPr>
          <w:rFonts w:ascii="Times New Roman" w:eastAsia="Times New Roman" w:hAnsi="Times New Roman" w:cs="Times New Roman"/>
          <w:sz w:val="24"/>
          <w:szCs w:val="24"/>
          <w:lang w:eastAsia="en-IN"/>
        </w:rPr>
        <w:pict w14:anchorId="0F2BA443">
          <v:rect id="_x0000_i1049" style="width:0;height:0" o:hralign="center" o:hrstd="t" o:hrnoshade="t" o:hr="t" fillcolor="#0d0d0d" stroked="f"/>
        </w:pict>
      </w:r>
    </w:p>
    <w:p w14:paraId="2F99C699"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Emoji" w:eastAsia="Times New Roman" w:hAnsi="Segoe UI Emoji" w:cs="Segoe UI Emoji"/>
          <w:b/>
          <w:bCs/>
          <w:color w:val="0D0D0D"/>
          <w:sz w:val="30"/>
          <w:szCs w:val="30"/>
          <w:lang w:eastAsia="en-IN"/>
        </w:rPr>
        <w:t>🔗</w:t>
      </w:r>
      <w:r w:rsidRPr="00BC70EF">
        <w:rPr>
          <w:rFonts w:ascii="Segoe UI" w:eastAsia="Times New Roman" w:hAnsi="Segoe UI" w:cs="Segoe UI"/>
          <w:b/>
          <w:bCs/>
          <w:color w:val="0D0D0D"/>
          <w:sz w:val="30"/>
          <w:szCs w:val="30"/>
          <w:lang w:eastAsia="en-IN"/>
        </w:rPr>
        <w:t xml:space="preserve"> D. SEO Schema Markup (JSON-LD)</w:t>
      </w:r>
    </w:p>
    <w:p w14:paraId="3964B905" w14:textId="77777777" w:rsidR="00BC70EF" w:rsidRPr="00BC70EF" w:rsidRDefault="00BC70EF" w:rsidP="00BC70E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BC70EF">
        <w:rPr>
          <w:rFonts w:ascii="Segoe UI" w:eastAsia="Times New Roman" w:hAnsi="Segoe UI" w:cs="Segoe UI"/>
          <w:b/>
          <w:bCs/>
          <w:color w:val="0D0D0D"/>
          <w:sz w:val="24"/>
          <w:szCs w:val="24"/>
          <w:lang w:eastAsia="en-IN"/>
        </w:rPr>
        <w:t>1. Breadcrumb Schema</w:t>
      </w:r>
    </w:p>
    <w:p w14:paraId="681ABBB2" w14:textId="77777777" w:rsidR="00BC70EF" w:rsidRPr="00BC70EF" w:rsidRDefault="00BC70EF" w:rsidP="00BC70E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BC70EF">
        <w:rPr>
          <w:rFonts w:ascii="Segoe UI" w:eastAsia="Times New Roman" w:hAnsi="Segoe UI" w:cs="Segoe UI"/>
          <w:color w:val="5D5D5D"/>
          <w:sz w:val="18"/>
          <w:szCs w:val="18"/>
          <w:lang w:eastAsia="en-IN"/>
        </w:rPr>
        <w:t>json</w:t>
      </w:r>
    </w:p>
    <w:p w14:paraId="649F956C" w14:textId="77777777" w:rsidR="00BC70EF" w:rsidRPr="00BC70EF" w:rsidRDefault="00BC70EF" w:rsidP="00BC70E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BC70EF">
        <w:rPr>
          <w:rFonts w:ascii="Segoe UI" w:eastAsia="Times New Roman" w:hAnsi="Segoe UI" w:cs="Segoe UI"/>
          <w:color w:val="5D5D5D"/>
          <w:sz w:val="18"/>
          <w:szCs w:val="18"/>
          <w:lang w:eastAsia="en-IN"/>
        </w:rPr>
        <w:t>Copy code</w:t>
      </w:r>
    </w:p>
    <w:p w14:paraId="59343071" w14:textId="3D4A9E8F" w:rsidR="00BC70EF" w:rsidRPr="00BC70EF" w:rsidRDefault="00BC70EF" w:rsidP="00BC70E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"@context"</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"https://schema.org"</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"@type"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w:t>
      </w:r>
      <w:proofErr w:type="spellStart"/>
      <w:r w:rsidRPr="00BC70EF">
        <w:rPr>
          <w:rFonts w:ascii="Courier New" w:eastAsia="Times New Roman" w:hAnsi="Courier New" w:cs="Courier New"/>
          <w:color w:val="50A14F"/>
          <w:sz w:val="20"/>
          <w:szCs w:val="20"/>
          <w:lang w:eastAsia="en-IN"/>
        </w:rPr>
        <w:t>BreadcrumbList</w:t>
      </w:r>
      <w:proofErr w:type="spellEnd"/>
      <w:r w:rsidRPr="00BC70EF">
        <w:rPr>
          <w:rFonts w:ascii="Courier New" w:eastAsia="Times New Roman" w:hAnsi="Courier New" w:cs="Courier New"/>
          <w:color w:val="50A14F"/>
          <w:sz w:val="20"/>
          <w:szCs w:val="20"/>
          <w:lang w:eastAsia="en-IN"/>
        </w:rPr>
        <w:t>"</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w:t>
      </w:r>
      <w:proofErr w:type="spellStart"/>
      <w:r w:rsidRPr="00BC70EF">
        <w:rPr>
          <w:rFonts w:ascii="Courier New" w:eastAsia="Times New Roman" w:hAnsi="Courier New" w:cs="Courier New"/>
          <w:color w:val="986801"/>
          <w:sz w:val="20"/>
          <w:szCs w:val="20"/>
          <w:lang w:eastAsia="en-IN"/>
        </w:rPr>
        <w:t>itemListElement</w:t>
      </w:r>
      <w:proofErr w:type="spellEnd"/>
      <w:r w:rsidRPr="00BC70EF">
        <w:rPr>
          <w:rFonts w:ascii="Courier New" w:eastAsia="Times New Roman" w:hAnsi="Courier New" w:cs="Courier New"/>
          <w:color w:val="986801"/>
          <w:sz w:val="20"/>
          <w:szCs w:val="20"/>
          <w:lang w:eastAsia="en-IN"/>
        </w:rPr>
        <w:t>"</w:t>
      </w:r>
      <w:r w:rsidRPr="00BC70EF">
        <w:rPr>
          <w:rFonts w:ascii="Courier New" w:eastAsia="Times New Roman" w:hAnsi="Courier New" w:cs="Courier New"/>
          <w:color w:val="383A42"/>
          <w:sz w:val="20"/>
          <w:szCs w:val="20"/>
          <w:lang w:eastAsia="en-IN"/>
        </w:rPr>
        <w:t xml:space="preserve">: [ { </w:t>
      </w:r>
      <w:r w:rsidRPr="00BC70EF">
        <w:rPr>
          <w:rFonts w:ascii="Courier New" w:eastAsia="Times New Roman" w:hAnsi="Courier New" w:cs="Courier New"/>
          <w:color w:val="986801"/>
          <w:sz w:val="20"/>
          <w:szCs w:val="20"/>
          <w:lang w:eastAsia="en-IN"/>
        </w:rPr>
        <w:t>"@type"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w:t>
      </w:r>
      <w:proofErr w:type="spellStart"/>
      <w:r w:rsidRPr="00BC70EF">
        <w:rPr>
          <w:rFonts w:ascii="Courier New" w:eastAsia="Times New Roman" w:hAnsi="Courier New" w:cs="Courier New"/>
          <w:color w:val="50A14F"/>
          <w:sz w:val="20"/>
          <w:szCs w:val="20"/>
          <w:lang w:eastAsia="en-IN"/>
        </w:rPr>
        <w:t>ListItem</w:t>
      </w:r>
      <w:proofErr w:type="spellEnd"/>
      <w:r w:rsidRPr="00BC70EF">
        <w:rPr>
          <w:rFonts w:ascii="Courier New" w:eastAsia="Times New Roman" w:hAnsi="Courier New" w:cs="Courier New"/>
          <w:color w:val="50A14F"/>
          <w:sz w:val="20"/>
          <w:szCs w:val="20"/>
          <w:lang w:eastAsia="en-IN"/>
        </w:rPr>
        <w:t>"</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"position"</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1</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"name"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"Home"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"item"</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"https://www.strategicmarketresearch.com/"</w:t>
      </w:r>
      <w:r w:rsidRPr="00BC70EF">
        <w:rPr>
          <w:rFonts w:ascii="Courier New" w:eastAsia="Times New Roman" w:hAnsi="Courier New" w:cs="Courier New"/>
          <w:color w:val="383A42"/>
          <w:sz w:val="20"/>
          <w:szCs w:val="20"/>
          <w:lang w:eastAsia="en-IN"/>
        </w:rPr>
        <w:t xml:space="preserve"> }, { </w:t>
      </w:r>
      <w:r w:rsidRPr="00BC70EF">
        <w:rPr>
          <w:rFonts w:ascii="Courier New" w:eastAsia="Times New Roman" w:hAnsi="Courier New" w:cs="Courier New"/>
          <w:color w:val="986801"/>
          <w:sz w:val="20"/>
          <w:szCs w:val="20"/>
          <w:lang w:eastAsia="en-IN"/>
        </w:rPr>
        <w:t>"@type"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w:t>
      </w:r>
      <w:proofErr w:type="spellStart"/>
      <w:r w:rsidRPr="00BC70EF">
        <w:rPr>
          <w:rFonts w:ascii="Courier New" w:eastAsia="Times New Roman" w:hAnsi="Courier New" w:cs="Courier New"/>
          <w:color w:val="50A14F"/>
          <w:sz w:val="20"/>
          <w:szCs w:val="20"/>
          <w:lang w:eastAsia="en-IN"/>
        </w:rPr>
        <w:t>ListItem</w:t>
      </w:r>
      <w:proofErr w:type="spellEnd"/>
      <w:r w:rsidRPr="00BC70EF">
        <w:rPr>
          <w:rFonts w:ascii="Courier New" w:eastAsia="Times New Roman" w:hAnsi="Courier New" w:cs="Courier New"/>
          <w:color w:val="50A14F"/>
          <w:sz w:val="20"/>
          <w:szCs w:val="20"/>
          <w:lang w:eastAsia="en-IN"/>
        </w:rPr>
        <w:t>"</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"position"</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2</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"name"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w:t>
      </w:r>
      <w:r>
        <w:rPr>
          <w:rFonts w:ascii="Courier New" w:eastAsia="Times New Roman" w:hAnsi="Courier New" w:cs="Courier New"/>
          <w:color w:val="50A14F"/>
          <w:sz w:val="20"/>
          <w:szCs w:val="20"/>
          <w:lang w:eastAsia="en-IN"/>
        </w:rPr>
        <w:t>Healthcare</w:t>
      </w:r>
      <w:r w:rsidRPr="00BC70EF">
        <w:rPr>
          <w:rFonts w:ascii="Courier New" w:eastAsia="Times New Roman" w:hAnsi="Courier New" w:cs="Courier New"/>
          <w:color w:val="50A14F"/>
          <w:sz w:val="20"/>
          <w:szCs w:val="20"/>
          <w:lang w:eastAsia="en-IN"/>
        </w:rPr>
        <w:t>"</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"item"</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"https://www.strategicmarketresearch.com/reports/</w:t>
      </w:r>
      <w:r>
        <w:rPr>
          <w:rFonts w:ascii="Courier New" w:eastAsia="Times New Roman" w:hAnsi="Courier New" w:cs="Courier New"/>
          <w:color w:val="50A14F"/>
          <w:sz w:val="20"/>
          <w:szCs w:val="20"/>
          <w:lang w:eastAsia="en-IN"/>
        </w:rPr>
        <w:t>healthcare</w:t>
      </w:r>
      <w:r w:rsidRPr="00BC70EF">
        <w:rPr>
          <w:rFonts w:ascii="Courier New" w:eastAsia="Times New Roman" w:hAnsi="Courier New" w:cs="Courier New"/>
          <w:color w:val="50A14F"/>
          <w:sz w:val="20"/>
          <w:szCs w:val="20"/>
          <w:lang w:eastAsia="en-IN"/>
        </w:rPr>
        <w:t>"</w:t>
      </w:r>
      <w:r w:rsidRPr="00BC70EF">
        <w:rPr>
          <w:rFonts w:ascii="Courier New" w:eastAsia="Times New Roman" w:hAnsi="Courier New" w:cs="Courier New"/>
          <w:color w:val="383A42"/>
          <w:sz w:val="20"/>
          <w:szCs w:val="20"/>
          <w:lang w:eastAsia="en-IN"/>
        </w:rPr>
        <w:t xml:space="preserve"> }, { </w:t>
      </w:r>
      <w:r w:rsidRPr="00BC70EF">
        <w:rPr>
          <w:rFonts w:ascii="Courier New" w:eastAsia="Times New Roman" w:hAnsi="Courier New" w:cs="Courier New"/>
          <w:color w:val="986801"/>
          <w:sz w:val="20"/>
          <w:szCs w:val="20"/>
          <w:lang w:eastAsia="en-IN"/>
        </w:rPr>
        <w:t>"@type"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w:t>
      </w:r>
      <w:proofErr w:type="spellStart"/>
      <w:r w:rsidRPr="00BC70EF">
        <w:rPr>
          <w:rFonts w:ascii="Courier New" w:eastAsia="Times New Roman" w:hAnsi="Courier New" w:cs="Courier New"/>
          <w:color w:val="50A14F"/>
          <w:sz w:val="20"/>
          <w:szCs w:val="20"/>
          <w:lang w:eastAsia="en-IN"/>
        </w:rPr>
        <w:t>ListItem</w:t>
      </w:r>
      <w:proofErr w:type="spellEnd"/>
      <w:r w:rsidRPr="00BC70EF">
        <w:rPr>
          <w:rFonts w:ascii="Courier New" w:eastAsia="Times New Roman" w:hAnsi="Courier New" w:cs="Courier New"/>
          <w:color w:val="50A14F"/>
          <w:sz w:val="20"/>
          <w:szCs w:val="20"/>
          <w:lang w:eastAsia="en-IN"/>
        </w:rPr>
        <w:t>"</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"position"</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3</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"name"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"Cell Viability Assays Market Report 2030"</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"item"</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"https://www.strategicmarketresearch.com/market-report/cell-viability-assays-market"</w:t>
      </w:r>
      <w:r w:rsidRPr="00BC70EF">
        <w:rPr>
          <w:rFonts w:ascii="Courier New" w:eastAsia="Times New Roman" w:hAnsi="Courier New" w:cs="Courier New"/>
          <w:color w:val="383A42"/>
          <w:sz w:val="20"/>
          <w:szCs w:val="20"/>
          <w:lang w:eastAsia="en-IN"/>
        </w:rPr>
        <w:t xml:space="preserve"> } ] } </w:t>
      </w:r>
    </w:p>
    <w:p w14:paraId="42334195" w14:textId="77777777" w:rsidR="00BC70EF" w:rsidRPr="00BC70EF" w:rsidRDefault="00BC70EF" w:rsidP="00BC70E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BC70EF">
        <w:rPr>
          <w:rFonts w:ascii="Segoe UI" w:eastAsia="Times New Roman" w:hAnsi="Segoe UI" w:cs="Segoe UI"/>
          <w:b/>
          <w:bCs/>
          <w:color w:val="0D0D0D"/>
          <w:sz w:val="24"/>
          <w:szCs w:val="24"/>
          <w:lang w:eastAsia="en-IN"/>
        </w:rPr>
        <w:t>2. FAQ Schema</w:t>
      </w:r>
    </w:p>
    <w:p w14:paraId="4367C580" w14:textId="77777777" w:rsidR="00BC70EF" w:rsidRPr="00BC70EF" w:rsidRDefault="00BC70EF" w:rsidP="00BC70E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BC70EF">
        <w:rPr>
          <w:rFonts w:ascii="Segoe UI" w:eastAsia="Times New Roman" w:hAnsi="Segoe UI" w:cs="Segoe UI"/>
          <w:color w:val="5D5D5D"/>
          <w:sz w:val="18"/>
          <w:szCs w:val="18"/>
          <w:lang w:eastAsia="en-IN"/>
        </w:rPr>
        <w:t>json</w:t>
      </w:r>
    </w:p>
    <w:p w14:paraId="7F108734" w14:textId="77777777" w:rsidR="00BC70EF" w:rsidRPr="00BC70EF" w:rsidRDefault="00BC70EF" w:rsidP="00BC70E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BC70EF">
        <w:rPr>
          <w:rFonts w:ascii="Segoe UI" w:eastAsia="Times New Roman" w:hAnsi="Segoe UI" w:cs="Segoe UI"/>
          <w:color w:val="5D5D5D"/>
          <w:sz w:val="18"/>
          <w:szCs w:val="18"/>
          <w:lang w:eastAsia="en-IN"/>
        </w:rPr>
        <w:t>Copy code</w:t>
      </w:r>
    </w:p>
    <w:p w14:paraId="381FCF93" w14:textId="08A91A17" w:rsidR="00BC70EF" w:rsidRPr="00BC70EF" w:rsidRDefault="00BC70EF" w:rsidP="00BC70E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"@context"</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"https://schema.org"</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"@type"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w:t>
      </w:r>
      <w:proofErr w:type="spellStart"/>
      <w:r w:rsidRPr="00BC70EF">
        <w:rPr>
          <w:rFonts w:ascii="Courier New" w:eastAsia="Times New Roman" w:hAnsi="Courier New" w:cs="Courier New"/>
          <w:color w:val="50A14F"/>
          <w:sz w:val="20"/>
          <w:szCs w:val="20"/>
          <w:lang w:eastAsia="en-IN"/>
        </w:rPr>
        <w:t>FAQPage</w:t>
      </w:r>
      <w:proofErr w:type="spellEnd"/>
      <w:r w:rsidRPr="00BC70EF">
        <w:rPr>
          <w:rFonts w:ascii="Courier New" w:eastAsia="Times New Roman" w:hAnsi="Courier New" w:cs="Courier New"/>
          <w:color w:val="50A14F"/>
          <w:sz w:val="20"/>
          <w:szCs w:val="20"/>
          <w:lang w:eastAsia="en-IN"/>
        </w:rPr>
        <w:t>"</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w:t>
      </w:r>
      <w:proofErr w:type="spellStart"/>
      <w:r w:rsidRPr="00BC70EF">
        <w:rPr>
          <w:rFonts w:ascii="Courier New" w:eastAsia="Times New Roman" w:hAnsi="Courier New" w:cs="Courier New"/>
          <w:color w:val="986801"/>
          <w:sz w:val="20"/>
          <w:szCs w:val="20"/>
          <w:lang w:eastAsia="en-IN"/>
        </w:rPr>
        <w:t>mainEntity</w:t>
      </w:r>
      <w:proofErr w:type="spellEnd"/>
      <w:r w:rsidRPr="00BC70EF">
        <w:rPr>
          <w:rFonts w:ascii="Courier New" w:eastAsia="Times New Roman" w:hAnsi="Courier New" w:cs="Courier New"/>
          <w:color w:val="986801"/>
          <w:sz w:val="20"/>
          <w:szCs w:val="20"/>
          <w:lang w:eastAsia="en-IN"/>
        </w:rPr>
        <w:t>"</w:t>
      </w:r>
      <w:r w:rsidRPr="00BC70EF">
        <w:rPr>
          <w:rFonts w:ascii="Courier New" w:eastAsia="Times New Roman" w:hAnsi="Courier New" w:cs="Courier New"/>
          <w:color w:val="383A42"/>
          <w:sz w:val="20"/>
          <w:szCs w:val="20"/>
          <w:lang w:eastAsia="en-IN"/>
        </w:rPr>
        <w:t xml:space="preserve">: [ { </w:t>
      </w:r>
      <w:r w:rsidRPr="00BC70EF">
        <w:rPr>
          <w:rFonts w:ascii="Courier New" w:eastAsia="Times New Roman" w:hAnsi="Courier New" w:cs="Courier New"/>
          <w:color w:val="986801"/>
          <w:sz w:val="20"/>
          <w:szCs w:val="20"/>
          <w:lang w:eastAsia="en-IN"/>
        </w:rPr>
        <w:t>"@type"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"Question"</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"name"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"How big is the cell viability assays market?"</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w:t>
      </w:r>
      <w:proofErr w:type="spellStart"/>
      <w:r w:rsidRPr="00BC70EF">
        <w:rPr>
          <w:rFonts w:ascii="Courier New" w:eastAsia="Times New Roman" w:hAnsi="Courier New" w:cs="Courier New"/>
          <w:color w:val="986801"/>
          <w:sz w:val="20"/>
          <w:szCs w:val="20"/>
          <w:lang w:eastAsia="en-IN"/>
        </w:rPr>
        <w:t>acceptedAnswer</w:t>
      </w:r>
      <w:proofErr w:type="spellEnd"/>
      <w:r w:rsidRPr="00BC70EF">
        <w:rPr>
          <w:rFonts w:ascii="Courier New" w:eastAsia="Times New Roman" w:hAnsi="Courier New" w:cs="Courier New"/>
          <w:color w:val="986801"/>
          <w:sz w:val="20"/>
          <w:szCs w:val="20"/>
          <w:lang w:eastAsia="en-IN"/>
        </w:rPr>
        <w:t>"</w:t>
      </w:r>
      <w:r w:rsidRPr="00BC70EF">
        <w:rPr>
          <w:rFonts w:ascii="Courier New" w:eastAsia="Times New Roman" w:hAnsi="Courier New" w:cs="Courier New"/>
          <w:color w:val="383A42"/>
          <w:sz w:val="20"/>
          <w:szCs w:val="20"/>
          <w:lang w:eastAsia="en-IN"/>
        </w:rPr>
        <w:t xml:space="preserve">: { </w:t>
      </w:r>
      <w:r w:rsidRPr="00BC70EF">
        <w:rPr>
          <w:rFonts w:ascii="Courier New" w:eastAsia="Times New Roman" w:hAnsi="Courier New" w:cs="Courier New"/>
          <w:color w:val="986801"/>
          <w:sz w:val="20"/>
          <w:szCs w:val="20"/>
          <w:lang w:eastAsia="en-IN"/>
        </w:rPr>
        <w:t>"@type"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"Answer"</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"text"</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"The global cell viability assays market was valued at USD 2.6 billion in 2024."</w:t>
      </w:r>
      <w:r w:rsidRPr="00BC70EF">
        <w:rPr>
          <w:rFonts w:ascii="Courier New" w:eastAsia="Times New Roman" w:hAnsi="Courier New" w:cs="Courier New"/>
          <w:color w:val="383A42"/>
          <w:sz w:val="20"/>
          <w:szCs w:val="20"/>
          <w:lang w:eastAsia="en-IN"/>
        </w:rPr>
        <w:t xml:space="preserve"> } }, { </w:t>
      </w:r>
      <w:r w:rsidRPr="00BC70EF">
        <w:rPr>
          <w:rFonts w:ascii="Courier New" w:eastAsia="Times New Roman" w:hAnsi="Courier New" w:cs="Courier New"/>
          <w:color w:val="986801"/>
          <w:sz w:val="20"/>
          <w:szCs w:val="20"/>
          <w:lang w:eastAsia="en-IN"/>
        </w:rPr>
        <w:t>"@type"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"Question"</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"name"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"What is the CAGR for cell viability assays during the forecast period?"</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w:t>
      </w:r>
      <w:proofErr w:type="spellStart"/>
      <w:r w:rsidRPr="00BC70EF">
        <w:rPr>
          <w:rFonts w:ascii="Courier New" w:eastAsia="Times New Roman" w:hAnsi="Courier New" w:cs="Courier New"/>
          <w:color w:val="986801"/>
          <w:sz w:val="20"/>
          <w:szCs w:val="20"/>
          <w:lang w:eastAsia="en-IN"/>
        </w:rPr>
        <w:t>acceptedAnswer</w:t>
      </w:r>
      <w:proofErr w:type="spellEnd"/>
      <w:r w:rsidRPr="00BC70EF">
        <w:rPr>
          <w:rFonts w:ascii="Courier New" w:eastAsia="Times New Roman" w:hAnsi="Courier New" w:cs="Courier New"/>
          <w:color w:val="986801"/>
          <w:sz w:val="20"/>
          <w:szCs w:val="20"/>
          <w:lang w:eastAsia="en-IN"/>
        </w:rPr>
        <w:t>"</w:t>
      </w:r>
      <w:r w:rsidRPr="00BC70EF">
        <w:rPr>
          <w:rFonts w:ascii="Courier New" w:eastAsia="Times New Roman" w:hAnsi="Courier New" w:cs="Courier New"/>
          <w:color w:val="383A42"/>
          <w:sz w:val="20"/>
          <w:szCs w:val="20"/>
          <w:lang w:eastAsia="en-IN"/>
        </w:rPr>
        <w:t xml:space="preserve">: { </w:t>
      </w:r>
      <w:r w:rsidRPr="00BC70EF">
        <w:rPr>
          <w:rFonts w:ascii="Courier New" w:eastAsia="Times New Roman" w:hAnsi="Courier New" w:cs="Courier New"/>
          <w:color w:val="986801"/>
          <w:sz w:val="20"/>
          <w:szCs w:val="20"/>
          <w:lang w:eastAsia="en-IN"/>
        </w:rPr>
        <w:t>"@type"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"Answer"</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"text"</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 xml:space="preserve">"The market is expected to grow at a CAGR of </w:t>
      </w:r>
      <w:r w:rsidR="009329A9">
        <w:rPr>
          <w:rFonts w:ascii="Courier New" w:eastAsia="Times New Roman" w:hAnsi="Courier New" w:cs="Courier New"/>
          <w:color w:val="50A14F"/>
          <w:sz w:val="20"/>
          <w:szCs w:val="20"/>
          <w:lang w:eastAsia="en-IN"/>
        </w:rPr>
        <w:t>6.5</w:t>
      </w:r>
      <w:r w:rsidRPr="00BC70EF">
        <w:rPr>
          <w:rFonts w:ascii="Courier New" w:eastAsia="Times New Roman" w:hAnsi="Courier New" w:cs="Courier New"/>
          <w:color w:val="50A14F"/>
          <w:sz w:val="20"/>
          <w:szCs w:val="20"/>
          <w:lang w:eastAsia="en-IN"/>
        </w:rPr>
        <w:t>% from 2024 to 2030."</w:t>
      </w:r>
      <w:r w:rsidRPr="00BC70EF">
        <w:rPr>
          <w:rFonts w:ascii="Courier New" w:eastAsia="Times New Roman" w:hAnsi="Courier New" w:cs="Courier New"/>
          <w:color w:val="383A42"/>
          <w:sz w:val="20"/>
          <w:szCs w:val="20"/>
          <w:lang w:eastAsia="en-IN"/>
        </w:rPr>
        <w:t xml:space="preserve"> } }, { </w:t>
      </w:r>
      <w:r w:rsidRPr="00BC70EF">
        <w:rPr>
          <w:rFonts w:ascii="Courier New" w:eastAsia="Times New Roman" w:hAnsi="Courier New" w:cs="Courier New"/>
          <w:color w:val="986801"/>
          <w:sz w:val="20"/>
          <w:szCs w:val="20"/>
          <w:lang w:eastAsia="en-IN"/>
        </w:rPr>
        <w:t>"@type"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"Question"</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"name"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"Who are the major players in the cell viability assays market?"</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w:t>
      </w:r>
      <w:proofErr w:type="spellStart"/>
      <w:r w:rsidRPr="00BC70EF">
        <w:rPr>
          <w:rFonts w:ascii="Courier New" w:eastAsia="Times New Roman" w:hAnsi="Courier New" w:cs="Courier New"/>
          <w:color w:val="986801"/>
          <w:sz w:val="20"/>
          <w:szCs w:val="20"/>
          <w:lang w:eastAsia="en-IN"/>
        </w:rPr>
        <w:t>acceptedAnswer</w:t>
      </w:r>
      <w:proofErr w:type="spellEnd"/>
      <w:r w:rsidRPr="00BC70EF">
        <w:rPr>
          <w:rFonts w:ascii="Courier New" w:eastAsia="Times New Roman" w:hAnsi="Courier New" w:cs="Courier New"/>
          <w:color w:val="986801"/>
          <w:sz w:val="20"/>
          <w:szCs w:val="20"/>
          <w:lang w:eastAsia="en-IN"/>
        </w:rPr>
        <w:t>"</w:t>
      </w:r>
      <w:r w:rsidRPr="00BC70EF">
        <w:rPr>
          <w:rFonts w:ascii="Courier New" w:eastAsia="Times New Roman" w:hAnsi="Courier New" w:cs="Courier New"/>
          <w:color w:val="383A42"/>
          <w:sz w:val="20"/>
          <w:szCs w:val="20"/>
          <w:lang w:eastAsia="en-IN"/>
        </w:rPr>
        <w:t xml:space="preserve">: { </w:t>
      </w:r>
      <w:r w:rsidRPr="00BC70EF">
        <w:rPr>
          <w:rFonts w:ascii="Courier New" w:eastAsia="Times New Roman" w:hAnsi="Courier New" w:cs="Courier New"/>
          <w:color w:val="986801"/>
          <w:sz w:val="20"/>
          <w:szCs w:val="20"/>
          <w:lang w:eastAsia="en-IN"/>
        </w:rPr>
        <w:t>"@type"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"Answer"</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"text"</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 xml:space="preserve">"Leading players include Thermo Fisher Scientific, Promega Corporation, and Merck </w:t>
      </w:r>
      <w:proofErr w:type="spellStart"/>
      <w:r w:rsidRPr="00BC70EF">
        <w:rPr>
          <w:rFonts w:ascii="Courier New" w:eastAsia="Times New Roman" w:hAnsi="Courier New" w:cs="Courier New"/>
          <w:color w:val="50A14F"/>
          <w:sz w:val="20"/>
          <w:szCs w:val="20"/>
          <w:lang w:eastAsia="en-IN"/>
        </w:rPr>
        <w:t>KGaA</w:t>
      </w:r>
      <w:proofErr w:type="spellEnd"/>
      <w:r w:rsidRPr="00BC70EF">
        <w:rPr>
          <w:rFonts w:ascii="Courier New" w:eastAsia="Times New Roman" w:hAnsi="Courier New" w:cs="Courier New"/>
          <w:color w:val="50A14F"/>
          <w:sz w:val="20"/>
          <w:szCs w:val="20"/>
          <w:lang w:eastAsia="en-IN"/>
        </w:rPr>
        <w:t xml:space="preserve"> (</w:t>
      </w:r>
      <w:proofErr w:type="spellStart"/>
      <w:r w:rsidRPr="00BC70EF">
        <w:rPr>
          <w:rFonts w:ascii="Courier New" w:eastAsia="Times New Roman" w:hAnsi="Courier New" w:cs="Courier New"/>
          <w:color w:val="50A14F"/>
          <w:sz w:val="20"/>
          <w:szCs w:val="20"/>
          <w:lang w:eastAsia="en-IN"/>
        </w:rPr>
        <w:t>MilliporeSigma</w:t>
      </w:r>
      <w:proofErr w:type="spellEnd"/>
      <w:r w:rsidRPr="00BC70EF">
        <w:rPr>
          <w:rFonts w:ascii="Courier New" w:eastAsia="Times New Roman" w:hAnsi="Courier New" w:cs="Courier New"/>
          <w:color w:val="50A14F"/>
          <w:sz w:val="20"/>
          <w:szCs w:val="20"/>
          <w:lang w:eastAsia="en-IN"/>
        </w:rPr>
        <w:t>)."</w:t>
      </w:r>
      <w:r w:rsidRPr="00BC70EF">
        <w:rPr>
          <w:rFonts w:ascii="Courier New" w:eastAsia="Times New Roman" w:hAnsi="Courier New" w:cs="Courier New"/>
          <w:color w:val="383A42"/>
          <w:sz w:val="20"/>
          <w:szCs w:val="20"/>
          <w:lang w:eastAsia="en-IN"/>
        </w:rPr>
        <w:t xml:space="preserve"> } }, { </w:t>
      </w:r>
      <w:r w:rsidRPr="00BC70EF">
        <w:rPr>
          <w:rFonts w:ascii="Courier New" w:eastAsia="Times New Roman" w:hAnsi="Courier New" w:cs="Courier New"/>
          <w:color w:val="986801"/>
          <w:sz w:val="20"/>
          <w:szCs w:val="20"/>
          <w:lang w:eastAsia="en-IN"/>
        </w:rPr>
        <w:t>"@type"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"Question"</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"name"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"Which region dominates the cell viability assays market?"</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w:t>
      </w:r>
      <w:proofErr w:type="spellStart"/>
      <w:r w:rsidRPr="00BC70EF">
        <w:rPr>
          <w:rFonts w:ascii="Courier New" w:eastAsia="Times New Roman" w:hAnsi="Courier New" w:cs="Courier New"/>
          <w:color w:val="986801"/>
          <w:sz w:val="20"/>
          <w:szCs w:val="20"/>
          <w:lang w:eastAsia="en-IN"/>
        </w:rPr>
        <w:t>acceptedAnswer</w:t>
      </w:r>
      <w:proofErr w:type="spellEnd"/>
      <w:r w:rsidRPr="00BC70EF">
        <w:rPr>
          <w:rFonts w:ascii="Courier New" w:eastAsia="Times New Roman" w:hAnsi="Courier New" w:cs="Courier New"/>
          <w:color w:val="986801"/>
          <w:sz w:val="20"/>
          <w:szCs w:val="20"/>
          <w:lang w:eastAsia="en-IN"/>
        </w:rPr>
        <w:t>"</w:t>
      </w:r>
      <w:r w:rsidRPr="00BC70EF">
        <w:rPr>
          <w:rFonts w:ascii="Courier New" w:eastAsia="Times New Roman" w:hAnsi="Courier New" w:cs="Courier New"/>
          <w:color w:val="383A42"/>
          <w:sz w:val="20"/>
          <w:szCs w:val="20"/>
          <w:lang w:eastAsia="en-IN"/>
        </w:rPr>
        <w:t xml:space="preserve">: { </w:t>
      </w:r>
      <w:r w:rsidRPr="00BC70EF">
        <w:rPr>
          <w:rFonts w:ascii="Courier New" w:eastAsia="Times New Roman" w:hAnsi="Courier New" w:cs="Courier New"/>
          <w:color w:val="986801"/>
          <w:sz w:val="20"/>
          <w:szCs w:val="20"/>
          <w:lang w:eastAsia="en-IN"/>
        </w:rPr>
        <w:t>"@type"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"Answer"</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"text"</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 xml:space="preserve">"North America leads due to strong infrastructure, advanced R&amp;D capacity, and </w:t>
      </w:r>
      <w:proofErr w:type="spellStart"/>
      <w:r w:rsidRPr="00BC70EF">
        <w:rPr>
          <w:rFonts w:ascii="Courier New" w:eastAsia="Times New Roman" w:hAnsi="Courier New" w:cs="Courier New"/>
          <w:color w:val="50A14F"/>
          <w:sz w:val="20"/>
          <w:szCs w:val="20"/>
          <w:lang w:eastAsia="en-IN"/>
        </w:rPr>
        <w:t>favorable</w:t>
      </w:r>
      <w:proofErr w:type="spellEnd"/>
      <w:r w:rsidRPr="00BC70EF">
        <w:rPr>
          <w:rFonts w:ascii="Courier New" w:eastAsia="Times New Roman" w:hAnsi="Courier New" w:cs="Courier New"/>
          <w:color w:val="50A14F"/>
          <w:sz w:val="20"/>
          <w:szCs w:val="20"/>
          <w:lang w:eastAsia="en-IN"/>
        </w:rPr>
        <w:t xml:space="preserve"> regulatory support."</w:t>
      </w:r>
      <w:r w:rsidRPr="00BC70EF">
        <w:rPr>
          <w:rFonts w:ascii="Courier New" w:eastAsia="Times New Roman" w:hAnsi="Courier New" w:cs="Courier New"/>
          <w:color w:val="383A42"/>
          <w:sz w:val="20"/>
          <w:szCs w:val="20"/>
          <w:lang w:eastAsia="en-IN"/>
        </w:rPr>
        <w:t xml:space="preserve"> } }, { </w:t>
      </w:r>
      <w:r w:rsidRPr="00BC70EF">
        <w:rPr>
          <w:rFonts w:ascii="Courier New" w:eastAsia="Times New Roman" w:hAnsi="Courier New" w:cs="Courier New"/>
          <w:color w:val="986801"/>
          <w:sz w:val="20"/>
          <w:szCs w:val="20"/>
          <w:lang w:eastAsia="en-IN"/>
        </w:rPr>
        <w:t>"@type"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"Question"</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"name"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"What factors are driving the cell viability assays market?"</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w:t>
      </w:r>
      <w:proofErr w:type="spellStart"/>
      <w:r w:rsidRPr="00BC70EF">
        <w:rPr>
          <w:rFonts w:ascii="Courier New" w:eastAsia="Times New Roman" w:hAnsi="Courier New" w:cs="Courier New"/>
          <w:color w:val="986801"/>
          <w:sz w:val="20"/>
          <w:szCs w:val="20"/>
          <w:lang w:eastAsia="en-IN"/>
        </w:rPr>
        <w:t>acceptedAnswer</w:t>
      </w:r>
      <w:proofErr w:type="spellEnd"/>
      <w:r w:rsidRPr="00BC70EF">
        <w:rPr>
          <w:rFonts w:ascii="Courier New" w:eastAsia="Times New Roman" w:hAnsi="Courier New" w:cs="Courier New"/>
          <w:color w:val="986801"/>
          <w:sz w:val="20"/>
          <w:szCs w:val="20"/>
          <w:lang w:eastAsia="en-IN"/>
        </w:rPr>
        <w:t>"</w:t>
      </w:r>
      <w:r w:rsidRPr="00BC70EF">
        <w:rPr>
          <w:rFonts w:ascii="Courier New" w:eastAsia="Times New Roman" w:hAnsi="Courier New" w:cs="Courier New"/>
          <w:color w:val="383A42"/>
          <w:sz w:val="20"/>
          <w:szCs w:val="20"/>
          <w:lang w:eastAsia="en-IN"/>
        </w:rPr>
        <w:t xml:space="preserve">: { </w:t>
      </w:r>
      <w:r w:rsidRPr="00BC70EF">
        <w:rPr>
          <w:rFonts w:ascii="Courier New" w:eastAsia="Times New Roman" w:hAnsi="Courier New" w:cs="Courier New"/>
          <w:color w:val="986801"/>
          <w:sz w:val="20"/>
          <w:szCs w:val="20"/>
          <w:lang w:eastAsia="en-IN"/>
        </w:rPr>
        <w:t>"@type"</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"Answer"</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986801"/>
          <w:sz w:val="20"/>
          <w:szCs w:val="20"/>
          <w:lang w:eastAsia="en-IN"/>
        </w:rPr>
        <w:t>"text"</w:t>
      </w:r>
      <w:r w:rsidRPr="00BC70EF">
        <w:rPr>
          <w:rFonts w:ascii="Courier New" w:eastAsia="Times New Roman" w:hAnsi="Courier New" w:cs="Courier New"/>
          <w:color w:val="383A42"/>
          <w:sz w:val="20"/>
          <w:szCs w:val="20"/>
          <w:lang w:eastAsia="en-IN"/>
        </w:rPr>
        <w:t xml:space="preserve">: </w:t>
      </w:r>
      <w:r w:rsidRPr="00BC70EF">
        <w:rPr>
          <w:rFonts w:ascii="Courier New" w:eastAsia="Times New Roman" w:hAnsi="Courier New" w:cs="Courier New"/>
          <w:color w:val="50A14F"/>
          <w:sz w:val="20"/>
          <w:szCs w:val="20"/>
          <w:lang w:eastAsia="en-IN"/>
        </w:rPr>
        <w:t xml:space="preserve">"Growth is </w:t>
      </w:r>
      <w:proofErr w:type="spellStart"/>
      <w:r w:rsidRPr="00BC70EF">
        <w:rPr>
          <w:rFonts w:ascii="Courier New" w:eastAsia="Times New Roman" w:hAnsi="Courier New" w:cs="Courier New"/>
          <w:color w:val="50A14F"/>
          <w:sz w:val="20"/>
          <w:szCs w:val="20"/>
          <w:lang w:eastAsia="en-IN"/>
        </w:rPr>
        <w:t>fueled</w:t>
      </w:r>
      <w:proofErr w:type="spellEnd"/>
      <w:r w:rsidRPr="00BC70EF">
        <w:rPr>
          <w:rFonts w:ascii="Courier New" w:eastAsia="Times New Roman" w:hAnsi="Courier New" w:cs="Courier New"/>
          <w:color w:val="50A14F"/>
          <w:sz w:val="20"/>
          <w:szCs w:val="20"/>
          <w:lang w:eastAsia="en-IN"/>
        </w:rPr>
        <w:t xml:space="preserve"> by tech innovation, ethical testing mandates, and rising demand for 3D and personalized biology solutions."</w:t>
      </w:r>
      <w:r w:rsidRPr="00BC70EF">
        <w:rPr>
          <w:rFonts w:ascii="Courier New" w:eastAsia="Times New Roman" w:hAnsi="Courier New" w:cs="Courier New"/>
          <w:color w:val="383A42"/>
          <w:sz w:val="20"/>
          <w:szCs w:val="20"/>
          <w:lang w:eastAsia="en-IN"/>
        </w:rPr>
        <w:t xml:space="preserve"> } } ] }</w:t>
      </w:r>
    </w:p>
    <w:p w14:paraId="001D1548" w14:textId="72B1AF95" w:rsidR="00BC70EF" w:rsidRDefault="00BC70EF">
      <w:r>
        <w:br w:type="page"/>
      </w:r>
    </w:p>
    <w:p w14:paraId="1C05A072" w14:textId="77777777" w:rsidR="00BC70EF" w:rsidRPr="00BC70EF" w:rsidRDefault="00BC70EF" w:rsidP="00BC70EF">
      <w:pPr>
        <w:shd w:val="clear" w:color="auto" w:fill="FFFFFF"/>
        <w:spacing w:after="0" w:line="240" w:lineRule="auto"/>
        <w:outlineLvl w:val="1"/>
        <w:rPr>
          <w:rFonts w:ascii="Segoe UI" w:eastAsia="Times New Roman" w:hAnsi="Segoe UI" w:cs="Segoe UI"/>
          <w:b/>
          <w:bCs/>
          <w:color w:val="0D0D0D"/>
          <w:sz w:val="36"/>
          <w:szCs w:val="36"/>
          <w:lang w:eastAsia="en-IN"/>
        </w:rPr>
      </w:pPr>
      <w:r w:rsidRPr="00BC70EF">
        <w:rPr>
          <w:rFonts w:ascii="Segoe UI" w:eastAsia="Times New Roman" w:hAnsi="Segoe UI" w:cs="Segoe UI"/>
          <w:b/>
          <w:bCs/>
          <w:color w:val="0D0D0D"/>
          <w:sz w:val="36"/>
          <w:szCs w:val="36"/>
          <w:lang w:eastAsia="en-IN"/>
        </w:rPr>
        <w:lastRenderedPageBreak/>
        <w:t>Table of Contents for Cell Viability Assays Market Report (2024–2030)</w:t>
      </w:r>
    </w:p>
    <w:p w14:paraId="1EE8F87A"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w:eastAsia="Times New Roman" w:hAnsi="Segoe UI" w:cs="Segoe UI"/>
          <w:b/>
          <w:bCs/>
          <w:color w:val="0D0D0D"/>
          <w:sz w:val="30"/>
          <w:szCs w:val="30"/>
          <w:lang w:eastAsia="en-IN"/>
        </w:rPr>
        <w:t>Executive Summary</w:t>
      </w:r>
    </w:p>
    <w:p w14:paraId="6A912999" w14:textId="77777777" w:rsidR="00BC70EF" w:rsidRPr="00BC70EF" w:rsidRDefault="00BC70EF" w:rsidP="00BC70EF">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Market Overview</w:t>
      </w:r>
    </w:p>
    <w:p w14:paraId="5DF5C525" w14:textId="77777777" w:rsidR="00BC70EF" w:rsidRPr="00BC70EF" w:rsidRDefault="00BC70EF" w:rsidP="00BC70EF">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Market Attractiveness by Product Type, Assay Method, End User, and Region</w:t>
      </w:r>
    </w:p>
    <w:p w14:paraId="3899123B" w14:textId="77777777" w:rsidR="00BC70EF" w:rsidRPr="00BC70EF" w:rsidRDefault="00BC70EF" w:rsidP="00BC70EF">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Strategic Insights from Key Executives (CXO Perspective)</w:t>
      </w:r>
    </w:p>
    <w:p w14:paraId="635D2996" w14:textId="77777777" w:rsidR="00BC70EF" w:rsidRPr="00BC70EF" w:rsidRDefault="00BC70EF" w:rsidP="00BC70EF">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Historical Market Size and Future Projections (2022–2030)</w:t>
      </w:r>
    </w:p>
    <w:p w14:paraId="08115CA0" w14:textId="77777777" w:rsidR="00BC70EF" w:rsidRPr="00BC70EF" w:rsidRDefault="00BC70EF" w:rsidP="00BC70EF">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Summary of Market Segmentation by Product, Assay, End User, and Region</w:t>
      </w:r>
    </w:p>
    <w:p w14:paraId="1D1B26A4" w14:textId="77777777" w:rsidR="00BC70EF" w:rsidRPr="00BC70EF" w:rsidRDefault="00BC70EF" w:rsidP="00BC70EF">
      <w:pPr>
        <w:spacing w:before="720" w:after="720" w:line="240" w:lineRule="auto"/>
        <w:rPr>
          <w:rFonts w:ascii="Times New Roman" w:eastAsia="Times New Roman" w:hAnsi="Times New Roman" w:cs="Times New Roman"/>
          <w:sz w:val="24"/>
          <w:szCs w:val="24"/>
          <w:lang w:eastAsia="en-IN"/>
        </w:rPr>
      </w:pPr>
      <w:r w:rsidRPr="00BC70EF">
        <w:rPr>
          <w:rFonts w:ascii="Times New Roman" w:eastAsia="Times New Roman" w:hAnsi="Times New Roman" w:cs="Times New Roman"/>
          <w:sz w:val="24"/>
          <w:szCs w:val="24"/>
          <w:lang w:eastAsia="en-IN"/>
        </w:rPr>
        <w:pict w14:anchorId="3E3551B8">
          <v:rect id="_x0000_i1055" style="width:0;height:0" o:hralign="center" o:hrstd="t" o:hrnoshade="t" o:hr="t" fillcolor="#0d0d0d" stroked="f"/>
        </w:pict>
      </w:r>
    </w:p>
    <w:p w14:paraId="35A6241E"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w:eastAsia="Times New Roman" w:hAnsi="Segoe UI" w:cs="Segoe UI"/>
          <w:b/>
          <w:bCs/>
          <w:color w:val="0D0D0D"/>
          <w:sz w:val="30"/>
          <w:szCs w:val="30"/>
          <w:lang w:eastAsia="en-IN"/>
        </w:rPr>
        <w:t>Market Share Analysis</w:t>
      </w:r>
    </w:p>
    <w:p w14:paraId="41C451C3" w14:textId="77777777" w:rsidR="00BC70EF" w:rsidRPr="00BC70EF" w:rsidRDefault="00BC70EF" w:rsidP="00BC70EF">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Leading Players by Revenue and Market Share</w:t>
      </w:r>
    </w:p>
    <w:p w14:paraId="23818EE4" w14:textId="77777777" w:rsidR="00BC70EF" w:rsidRPr="00BC70EF" w:rsidRDefault="00BC70EF" w:rsidP="00BC70EF">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Market Share by Product Type, Assay Method, and End User</w:t>
      </w:r>
    </w:p>
    <w:p w14:paraId="3C538DA1" w14:textId="77777777" w:rsidR="00BC70EF" w:rsidRPr="00BC70EF" w:rsidRDefault="00BC70EF" w:rsidP="00BC70EF">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Benchmarking of Global and Regional Market Leaders</w:t>
      </w:r>
    </w:p>
    <w:p w14:paraId="6C6D3A4B" w14:textId="77777777" w:rsidR="00BC70EF" w:rsidRPr="00BC70EF" w:rsidRDefault="00BC70EF" w:rsidP="00BC70EF">
      <w:pPr>
        <w:spacing w:before="720" w:after="720" w:line="240" w:lineRule="auto"/>
        <w:rPr>
          <w:rFonts w:ascii="Times New Roman" w:eastAsia="Times New Roman" w:hAnsi="Times New Roman" w:cs="Times New Roman"/>
          <w:sz w:val="24"/>
          <w:szCs w:val="24"/>
          <w:lang w:eastAsia="en-IN"/>
        </w:rPr>
      </w:pPr>
      <w:r w:rsidRPr="00BC70EF">
        <w:rPr>
          <w:rFonts w:ascii="Times New Roman" w:eastAsia="Times New Roman" w:hAnsi="Times New Roman" w:cs="Times New Roman"/>
          <w:sz w:val="24"/>
          <w:szCs w:val="24"/>
          <w:lang w:eastAsia="en-IN"/>
        </w:rPr>
        <w:pict w14:anchorId="1E8CE3CD">
          <v:rect id="_x0000_i1056" style="width:0;height:0" o:hralign="center" o:hrstd="t" o:hrnoshade="t" o:hr="t" fillcolor="#0d0d0d" stroked="f"/>
        </w:pict>
      </w:r>
    </w:p>
    <w:p w14:paraId="35624329"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w:eastAsia="Times New Roman" w:hAnsi="Segoe UI" w:cs="Segoe UI"/>
          <w:b/>
          <w:bCs/>
          <w:color w:val="0D0D0D"/>
          <w:sz w:val="30"/>
          <w:szCs w:val="30"/>
          <w:lang w:eastAsia="en-IN"/>
        </w:rPr>
        <w:t>Investment Opportunities in the Cell Viability Assays Market</w:t>
      </w:r>
    </w:p>
    <w:p w14:paraId="15B755BD" w14:textId="77777777" w:rsidR="00BC70EF" w:rsidRPr="00BC70EF" w:rsidRDefault="00BC70EF" w:rsidP="00BC70EF">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Key Developments and Innovations</w:t>
      </w:r>
    </w:p>
    <w:p w14:paraId="3560DEF8" w14:textId="77777777" w:rsidR="00BC70EF" w:rsidRPr="00BC70EF" w:rsidRDefault="00BC70EF" w:rsidP="00BC70EF">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Strategic Mergers, Acquisitions, and Partnerships</w:t>
      </w:r>
    </w:p>
    <w:p w14:paraId="6056A97B" w14:textId="77777777" w:rsidR="00BC70EF" w:rsidRPr="00BC70EF" w:rsidRDefault="00BC70EF" w:rsidP="00BC70EF">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High-Growth Sub-Segments for Investment Focus</w:t>
      </w:r>
    </w:p>
    <w:p w14:paraId="77B0C845" w14:textId="77777777" w:rsidR="00BC70EF" w:rsidRPr="00BC70EF" w:rsidRDefault="00BC70EF" w:rsidP="00BC70EF">
      <w:pPr>
        <w:spacing w:before="720" w:after="720" w:line="240" w:lineRule="auto"/>
        <w:rPr>
          <w:rFonts w:ascii="Times New Roman" w:eastAsia="Times New Roman" w:hAnsi="Times New Roman" w:cs="Times New Roman"/>
          <w:sz w:val="24"/>
          <w:szCs w:val="24"/>
          <w:lang w:eastAsia="en-IN"/>
        </w:rPr>
      </w:pPr>
      <w:r w:rsidRPr="00BC70EF">
        <w:rPr>
          <w:rFonts w:ascii="Times New Roman" w:eastAsia="Times New Roman" w:hAnsi="Times New Roman" w:cs="Times New Roman"/>
          <w:sz w:val="24"/>
          <w:szCs w:val="24"/>
          <w:lang w:eastAsia="en-IN"/>
        </w:rPr>
        <w:pict w14:anchorId="1E0BEECA">
          <v:rect id="_x0000_i1057" style="width:0;height:0" o:hralign="center" o:hrstd="t" o:hrnoshade="t" o:hr="t" fillcolor="#0d0d0d" stroked="f"/>
        </w:pict>
      </w:r>
    </w:p>
    <w:p w14:paraId="53FFF12E"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w:eastAsia="Times New Roman" w:hAnsi="Segoe UI" w:cs="Segoe UI"/>
          <w:b/>
          <w:bCs/>
          <w:color w:val="0D0D0D"/>
          <w:sz w:val="30"/>
          <w:szCs w:val="30"/>
          <w:lang w:eastAsia="en-IN"/>
        </w:rPr>
        <w:t>Market Introduction</w:t>
      </w:r>
    </w:p>
    <w:p w14:paraId="1CD46421" w14:textId="77777777" w:rsidR="00BC70EF" w:rsidRPr="00BC70EF" w:rsidRDefault="00BC70EF" w:rsidP="00BC70EF">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Definition and Scope of the Study</w:t>
      </w:r>
    </w:p>
    <w:p w14:paraId="1B12077A" w14:textId="77777777" w:rsidR="00BC70EF" w:rsidRPr="00BC70EF" w:rsidRDefault="00BC70EF" w:rsidP="00BC70EF">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Market Structure and Taxonomy</w:t>
      </w:r>
    </w:p>
    <w:p w14:paraId="1DB5A3B9" w14:textId="77777777" w:rsidR="00BC70EF" w:rsidRPr="00BC70EF" w:rsidRDefault="00BC70EF" w:rsidP="00BC70EF">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Overview of Key Investment Pockets</w:t>
      </w:r>
    </w:p>
    <w:p w14:paraId="5C569FDC" w14:textId="77777777" w:rsidR="00BC70EF" w:rsidRPr="00BC70EF" w:rsidRDefault="00BC70EF" w:rsidP="00BC70EF">
      <w:pPr>
        <w:spacing w:before="720" w:after="720" w:line="240" w:lineRule="auto"/>
        <w:rPr>
          <w:rFonts w:ascii="Times New Roman" w:eastAsia="Times New Roman" w:hAnsi="Times New Roman" w:cs="Times New Roman"/>
          <w:sz w:val="24"/>
          <w:szCs w:val="24"/>
          <w:lang w:eastAsia="en-IN"/>
        </w:rPr>
      </w:pPr>
      <w:r w:rsidRPr="00BC70EF">
        <w:rPr>
          <w:rFonts w:ascii="Times New Roman" w:eastAsia="Times New Roman" w:hAnsi="Times New Roman" w:cs="Times New Roman"/>
          <w:sz w:val="24"/>
          <w:szCs w:val="24"/>
          <w:lang w:eastAsia="en-IN"/>
        </w:rPr>
        <w:pict w14:anchorId="4AD48184">
          <v:rect id="_x0000_i1058" style="width:0;height:0" o:hralign="center" o:hrstd="t" o:hrnoshade="t" o:hr="t" fillcolor="#0d0d0d" stroked="f"/>
        </w:pict>
      </w:r>
    </w:p>
    <w:p w14:paraId="023FA8D9"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w:eastAsia="Times New Roman" w:hAnsi="Segoe UI" w:cs="Segoe UI"/>
          <w:b/>
          <w:bCs/>
          <w:color w:val="0D0D0D"/>
          <w:sz w:val="30"/>
          <w:szCs w:val="30"/>
          <w:lang w:eastAsia="en-IN"/>
        </w:rPr>
        <w:lastRenderedPageBreak/>
        <w:t>Research Methodology</w:t>
      </w:r>
    </w:p>
    <w:p w14:paraId="5F3D2BDA" w14:textId="77777777" w:rsidR="00BC70EF" w:rsidRPr="00BC70EF" w:rsidRDefault="00BC70EF" w:rsidP="00BC70EF">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Research Process Overview</w:t>
      </w:r>
    </w:p>
    <w:p w14:paraId="48C82BAE" w14:textId="77777777" w:rsidR="00BC70EF" w:rsidRPr="00BC70EF" w:rsidRDefault="00BC70EF" w:rsidP="00BC70EF">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Primary and Secondary Research Sources</w:t>
      </w:r>
    </w:p>
    <w:p w14:paraId="424088C1" w14:textId="77777777" w:rsidR="00BC70EF" w:rsidRPr="00BC70EF" w:rsidRDefault="00BC70EF" w:rsidP="00BC70EF">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Market Size Estimation and Forecasting Methodology</w:t>
      </w:r>
    </w:p>
    <w:p w14:paraId="40CB2616" w14:textId="77777777" w:rsidR="00BC70EF" w:rsidRPr="00BC70EF" w:rsidRDefault="00BC70EF" w:rsidP="00BC70EF">
      <w:pPr>
        <w:spacing w:before="720" w:after="720" w:line="240" w:lineRule="auto"/>
        <w:rPr>
          <w:rFonts w:ascii="Times New Roman" w:eastAsia="Times New Roman" w:hAnsi="Times New Roman" w:cs="Times New Roman"/>
          <w:sz w:val="24"/>
          <w:szCs w:val="24"/>
          <w:lang w:eastAsia="en-IN"/>
        </w:rPr>
      </w:pPr>
      <w:r w:rsidRPr="00BC70EF">
        <w:rPr>
          <w:rFonts w:ascii="Times New Roman" w:eastAsia="Times New Roman" w:hAnsi="Times New Roman" w:cs="Times New Roman"/>
          <w:sz w:val="24"/>
          <w:szCs w:val="24"/>
          <w:lang w:eastAsia="en-IN"/>
        </w:rPr>
        <w:pict w14:anchorId="55797F64">
          <v:rect id="_x0000_i1059" style="width:0;height:0" o:hralign="center" o:hrstd="t" o:hrnoshade="t" o:hr="t" fillcolor="#0d0d0d" stroked="f"/>
        </w:pict>
      </w:r>
    </w:p>
    <w:p w14:paraId="4C80E8E4"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w:eastAsia="Times New Roman" w:hAnsi="Segoe UI" w:cs="Segoe UI"/>
          <w:b/>
          <w:bCs/>
          <w:color w:val="0D0D0D"/>
          <w:sz w:val="30"/>
          <w:szCs w:val="30"/>
          <w:lang w:eastAsia="en-IN"/>
        </w:rPr>
        <w:t>Market Dynamics</w:t>
      </w:r>
    </w:p>
    <w:p w14:paraId="087356F0" w14:textId="77777777" w:rsidR="00BC70EF" w:rsidRPr="00BC70EF" w:rsidRDefault="00BC70EF" w:rsidP="00BC70EF">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Market Drivers and Growth Enablers</w:t>
      </w:r>
    </w:p>
    <w:p w14:paraId="4BDADC13" w14:textId="77777777" w:rsidR="00BC70EF" w:rsidRPr="00BC70EF" w:rsidRDefault="00BC70EF" w:rsidP="00BC70EF">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Challenges and Restraints Affecting Market Expansion</w:t>
      </w:r>
    </w:p>
    <w:p w14:paraId="2639A929" w14:textId="77777777" w:rsidR="00BC70EF" w:rsidRPr="00BC70EF" w:rsidRDefault="00BC70EF" w:rsidP="00BC70EF">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Emerging Market Trends and Innovation Vectors</w:t>
      </w:r>
    </w:p>
    <w:p w14:paraId="0D1B3EB9" w14:textId="77777777" w:rsidR="00BC70EF" w:rsidRPr="00BC70EF" w:rsidRDefault="00BC70EF" w:rsidP="00BC70EF">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Regulatory Influence and Ethical Testing Mandates</w:t>
      </w:r>
    </w:p>
    <w:p w14:paraId="6941F4DA" w14:textId="77777777" w:rsidR="00BC70EF" w:rsidRPr="00BC70EF" w:rsidRDefault="00BC70EF" w:rsidP="00BC70EF">
      <w:pPr>
        <w:spacing w:before="720" w:after="720" w:line="240" w:lineRule="auto"/>
        <w:rPr>
          <w:rFonts w:ascii="Times New Roman" w:eastAsia="Times New Roman" w:hAnsi="Times New Roman" w:cs="Times New Roman"/>
          <w:sz w:val="24"/>
          <w:szCs w:val="24"/>
          <w:lang w:eastAsia="en-IN"/>
        </w:rPr>
      </w:pPr>
      <w:r w:rsidRPr="00BC70EF">
        <w:rPr>
          <w:rFonts w:ascii="Times New Roman" w:eastAsia="Times New Roman" w:hAnsi="Times New Roman" w:cs="Times New Roman"/>
          <w:sz w:val="24"/>
          <w:szCs w:val="24"/>
          <w:lang w:eastAsia="en-IN"/>
        </w:rPr>
        <w:pict w14:anchorId="31190262">
          <v:rect id="_x0000_i1060" style="width:0;height:0" o:hralign="center" o:hrstd="t" o:hrnoshade="t" o:hr="t" fillcolor="#0d0d0d" stroked="f"/>
        </w:pict>
      </w:r>
    </w:p>
    <w:p w14:paraId="225B517F"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w:eastAsia="Times New Roman" w:hAnsi="Segoe UI" w:cs="Segoe UI"/>
          <w:b/>
          <w:bCs/>
          <w:color w:val="0D0D0D"/>
          <w:sz w:val="30"/>
          <w:szCs w:val="30"/>
          <w:lang w:eastAsia="en-IN"/>
        </w:rPr>
        <w:t>Global Cell Viability Assays Market Breakdown</w:t>
      </w:r>
    </w:p>
    <w:p w14:paraId="24524A1B" w14:textId="77777777" w:rsidR="00BC70EF" w:rsidRPr="00BC70EF" w:rsidRDefault="00BC70EF" w:rsidP="00BC70E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BC70EF">
        <w:rPr>
          <w:rFonts w:ascii="Segoe UI" w:eastAsia="Times New Roman" w:hAnsi="Segoe UI" w:cs="Segoe UI"/>
          <w:b/>
          <w:bCs/>
          <w:color w:val="0D0D0D"/>
          <w:sz w:val="24"/>
          <w:szCs w:val="24"/>
          <w:lang w:eastAsia="en-IN"/>
        </w:rPr>
        <w:t>By Product Type</w:t>
      </w:r>
    </w:p>
    <w:p w14:paraId="03F1C6E7" w14:textId="77777777" w:rsidR="00BC70EF" w:rsidRPr="00BC70EF" w:rsidRDefault="00BC70EF" w:rsidP="00BC70EF">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Reagents &amp; Kits</w:t>
      </w:r>
    </w:p>
    <w:p w14:paraId="6D683E44" w14:textId="77777777" w:rsidR="00BC70EF" w:rsidRPr="00BC70EF" w:rsidRDefault="00BC70EF" w:rsidP="00BC70EF">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Instruments</w:t>
      </w:r>
    </w:p>
    <w:p w14:paraId="5329B94D" w14:textId="77777777" w:rsidR="00BC70EF" w:rsidRPr="00BC70EF" w:rsidRDefault="00BC70EF" w:rsidP="00BC70EF">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Microplates</w:t>
      </w:r>
    </w:p>
    <w:p w14:paraId="02B6AFE5" w14:textId="77777777" w:rsidR="00BC70EF" w:rsidRPr="00BC70EF" w:rsidRDefault="00BC70EF" w:rsidP="00BC70EF">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Software &amp; Analytics</w:t>
      </w:r>
    </w:p>
    <w:p w14:paraId="35868D67" w14:textId="77777777" w:rsidR="00BC70EF" w:rsidRPr="00BC70EF" w:rsidRDefault="00BC70EF" w:rsidP="00BC70E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BC70EF">
        <w:rPr>
          <w:rFonts w:ascii="Segoe UI" w:eastAsia="Times New Roman" w:hAnsi="Segoe UI" w:cs="Segoe UI"/>
          <w:b/>
          <w:bCs/>
          <w:color w:val="0D0D0D"/>
          <w:sz w:val="24"/>
          <w:szCs w:val="24"/>
          <w:lang w:eastAsia="en-IN"/>
        </w:rPr>
        <w:t>By Assay Method</w:t>
      </w:r>
    </w:p>
    <w:p w14:paraId="05EB7E84" w14:textId="77777777" w:rsidR="00BC70EF" w:rsidRPr="00BC70EF" w:rsidRDefault="00BC70EF" w:rsidP="00BC70EF">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Colorimetric</w:t>
      </w:r>
    </w:p>
    <w:p w14:paraId="36614D1E" w14:textId="77777777" w:rsidR="00BC70EF" w:rsidRPr="00BC70EF" w:rsidRDefault="00BC70EF" w:rsidP="00BC70EF">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Fluorometric</w:t>
      </w:r>
    </w:p>
    <w:p w14:paraId="4DD85675" w14:textId="77777777" w:rsidR="00BC70EF" w:rsidRPr="00BC70EF" w:rsidRDefault="00BC70EF" w:rsidP="00BC70EF">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Luminescence-Based</w:t>
      </w:r>
    </w:p>
    <w:p w14:paraId="7F79A92E" w14:textId="77777777" w:rsidR="00BC70EF" w:rsidRPr="00BC70EF" w:rsidRDefault="00BC70EF" w:rsidP="00BC70EF">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Dye-Exclusion</w:t>
      </w:r>
    </w:p>
    <w:p w14:paraId="795C5261" w14:textId="77777777" w:rsidR="00BC70EF" w:rsidRPr="00BC70EF" w:rsidRDefault="00BC70EF" w:rsidP="00BC70E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BC70EF">
        <w:rPr>
          <w:rFonts w:ascii="Segoe UI" w:eastAsia="Times New Roman" w:hAnsi="Segoe UI" w:cs="Segoe UI"/>
          <w:b/>
          <w:bCs/>
          <w:color w:val="0D0D0D"/>
          <w:sz w:val="24"/>
          <w:szCs w:val="24"/>
          <w:lang w:eastAsia="en-IN"/>
        </w:rPr>
        <w:t>By End User</w:t>
      </w:r>
    </w:p>
    <w:p w14:paraId="65D13910" w14:textId="77777777" w:rsidR="00BC70EF" w:rsidRPr="00BC70EF" w:rsidRDefault="00BC70EF" w:rsidP="00BC70EF">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Pharmaceutical &amp; Biotechnology Companies</w:t>
      </w:r>
    </w:p>
    <w:p w14:paraId="26871552" w14:textId="77777777" w:rsidR="00BC70EF" w:rsidRPr="00BC70EF" w:rsidRDefault="00BC70EF" w:rsidP="00BC70EF">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Academic &amp; Research Institutions</w:t>
      </w:r>
    </w:p>
    <w:p w14:paraId="2749C3F5" w14:textId="77777777" w:rsidR="00BC70EF" w:rsidRPr="00BC70EF" w:rsidRDefault="00BC70EF" w:rsidP="00BC70EF">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Contract Research Organizations (CROs)</w:t>
      </w:r>
    </w:p>
    <w:p w14:paraId="53EF4753" w14:textId="77777777" w:rsidR="00BC70EF" w:rsidRPr="00BC70EF" w:rsidRDefault="00BC70EF" w:rsidP="00BC70EF">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Hospitals &amp; Diagnostic Laboratories</w:t>
      </w:r>
    </w:p>
    <w:p w14:paraId="1D901345" w14:textId="77777777" w:rsidR="00BC70EF" w:rsidRPr="00BC70EF" w:rsidRDefault="00BC70EF" w:rsidP="00BC70E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BC70EF">
        <w:rPr>
          <w:rFonts w:ascii="Segoe UI" w:eastAsia="Times New Roman" w:hAnsi="Segoe UI" w:cs="Segoe UI"/>
          <w:b/>
          <w:bCs/>
          <w:color w:val="0D0D0D"/>
          <w:sz w:val="24"/>
          <w:szCs w:val="24"/>
          <w:lang w:eastAsia="en-IN"/>
        </w:rPr>
        <w:t>By Region</w:t>
      </w:r>
    </w:p>
    <w:p w14:paraId="3B4008EC" w14:textId="77777777" w:rsidR="00BC70EF" w:rsidRPr="00BC70EF" w:rsidRDefault="00BC70EF" w:rsidP="00BC70EF">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North America</w:t>
      </w:r>
    </w:p>
    <w:p w14:paraId="22A30AD2" w14:textId="77777777" w:rsidR="00BC70EF" w:rsidRPr="00BC70EF" w:rsidRDefault="00BC70EF" w:rsidP="00BC70EF">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lastRenderedPageBreak/>
        <w:t>Europe</w:t>
      </w:r>
    </w:p>
    <w:p w14:paraId="63E2DFE5" w14:textId="77777777" w:rsidR="00BC70EF" w:rsidRPr="00BC70EF" w:rsidRDefault="00BC70EF" w:rsidP="00BC70EF">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Asia-Pacific</w:t>
      </w:r>
    </w:p>
    <w:p w14:paraId="11B44A95" w14:textId="77777777" w:rsidR="00BC70EF" w:rsidRPr="00BC70EF" w:rsidRDefault="00BC70EF" w:rsidP="00BC70EF">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Latin America</w:t>
      </w:r>
    </w:p>
    <w:p w14:paraId="4C9DE94E" w14:textId="77777777" w:rsidR="00BC70EF" w:rsidRPr="00BC70EF" w:rsidRDefault="00BC70EF" w:rsidP="00BC70EF">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Middle East &amp; Africa</w:t>
      </w:r>
    </w:p>
    <w:p w14:paraId="610C317F" w14:textId="77777777" w:rsidR="00BC70EF" w:rsidRPr="00BC70EF" w:rsidRDefault="00BC70EF" w:rsidP="00BC70EF">
      <w:pPr>
        <w:spacing w:before="720" w:after="720" w:line="240" w:lineRule="auto"/>
        <w:rPr>
          <w:rFonts w:ascii="Times New Roman" w:eastAsia="Times New Roman" w:hAnsi="Times New Roman" w:cs="Times New Roman"/>
          <w:sz w:val="24"/>
          <w:szCs w:val="24"/>
          <w:lang w:eastAsia="en-IN"/>
        </w:rPr>
      </w:pPr>
      <w:r w:rsidRPr="00BC70EF">
        <w:rPr>
          <w:rFonts w:ascii="Times New Roman" w:eastAsia="Times New Roman" w:hAnsi="Times New Roman" w:cs="Times New Roman"/>
          <w:sz w:val="24"/>
          <w:szCs w:val="24"/>
          <w:lang w:eastAsia="en-IN"/>
        </w:rPr>
        <w:pict w14:anchorId="277D4863">
          <v:rect id="_x0000_i1061" style="width:0;height:0" o:hralign="center" o:hrstd="t" o:hrnoshade="t" o:hr="t" fillcolor="#0d0d0d" stroked="f"/>
        </w:pict>
      </w:r>
    </w:p>
    <w:p w14:paraId="2BD3BF03"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w:eastAsia="Times New Roman" w:hAnsi="Segoe UI" w:cs="Segoe UI"/>
          <w:b/>
          <w:bCs/>
          <w:color w:val="0D0D0D"/>
          <w:sz w:val="30"/>
          <w:szCs w:val="30"/>
          <w:lang w:eastAsia="en-IN"/>
        </w:rPr>
        <w:t>Regional Market Analysis (with Country-Level Details)</w:t>
      </w:r>
    </w:p>
    <w:p w14:paraId="7553A2D0" w14:textId="77777777" w:rsidR="00BC70EF" w:rsidRPr="00BC70EF" w:rsidRDefault="00BC70EF" w:rsidP="00BC70E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BC70EF">
        <w:rPr>
          <w:rFonts w:ascii="Segoe UI" w:eastAsia="Times New Roman" w:hAnsi="Segoe UI" w:cs="Segoe UI"/>
          <w:b/>
          <w:bCs/>
          <w:color w:val="0D0D0D"/>
          <w:sz w:val="24"/>
          <w:szCs w:val="24"/>
          <w:lang w:eastAsia="en-IN"/>
        </w:rPr>
        <w:t>North America</w:t>
      </w:r>
    </w:p>
    <w:p w14:paraId="249A05C4" w14:textId="77777777" w:rsidR="00BC70EF" w:rsidRPr="00BC70EF" w:rsidRDefault="00BC70EF" w:rsidP="00BC70EF">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Market Size and Forecast</w:t>
      </w:r>
    </w:p>
    <w:p w14:paraId="43DC01F3" w14:textId="77777777" w:rsidR="00BC70EF" w:rsidRPr="00BC70EF" w:rsidRDefault="00BC70EF" w:rsidP="00BC70EF">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By Product, Assay Method, End User</w:t>
      </w:r>
    </w:p>
    <w:p w14:paraId="6A43A7A2" w14:textId="77777777" w:rsidR="00BC70EF" w:rsidRPr="00BC70EF" w:rsidRDefault="00BC70EF" w:rsidP="00BC70EF">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Country-Level Analysis: United States, Canada</w:t>
      </w:r>
    </w:p>
    <w:p w14:paraId="4082E252" w14:textId="77777777" w:rsidR="00BC70EF" w:rsidRPr="00BC70EF" w:rsidRDefault="00BC70EF" w:rsidP="00BC70E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BC70EF">
        <w:rPr>
          <w:rFonts w:ascii="Segoe UI" w:eastAsia="Times New Roman" w:hAnsi="Segoe UI" w:cs="Segoe UI"/>
          <w:b/>
          <w:bCs/>
          <w:color w:val="0D0D0D"/>
          <w:sz w:val="24"/>
          <w:szCs w:val="24"/>
          <w:lang w:eastAsia="en-IN"/>
        </w:rPr>
        <w:t>Europe</w:t>
      </w:r>
    </w:p>
    <w:p w14:paraId="78312FEA" w14:textId="77777777" w:rsidR="00BC70EF" w:rsidRPr="00BC70EF" w:rsidRDefault="00BC70EF" w:rsidP="00BC70EF">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Market Size and Forecast</w:t>
      </w:r>
    </w:p>
    <w:p w14:paraId="120812D4" w14:textId="77777777" w:rsidR="00BC70EF" w:rsidRPr="00BC70EF" w:rsidRDefault="00BC70EF" w:rsidP="00BC70EF">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Regulatory Developments and Green Chemistry Trends</w:t>
      </w:r>
    </w:p>
    <w:p w14:paraId="5AC71B5E" w14:textId="77777777" w:rsidR="00BC70EF" w:rsidRPr="00BC70EF" w:rsidRDefault="00BC70EF" w:rsidP="00BC70EF">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Country-Level Analysis: Germany, UK, France, Netherlands, Rest of Europe</w:t>
      </w:r>
    </w:p>
    <w:p w14:paraId="2371C283" w14:textId="77777777" w:rsidR="00BC70EF" w:rsidRPr="00BC70EF" w:rsidRDefault="00BC70EF" w:rsidP="00BC70E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BC70EF">
        <w:rPr>
          <w:rFonts w:ascii="Segoe UI" w:eastAsia="Times New Roman" w:hAnsi="Segoe UI" w:cs="Segoe UI"/>
          <w:b/>
          <w:bCs/>
          <w:color w:val="0D0D0D"/>
          <w:sz w:val="24"/>
          <w:szCs w:val="24"/>
          <w:lang w:eastAsia="en-IN"/>
        </w:rPr>
        <w:t>Asia-Pacific</w:t>
      </w:r>
    </w:p>
    <w:p w14:paraId="5E3FDB81" w14:textId="77777777" w:rsidR="00BC70EF" w:rsidRPr="00BC70EF" w:rsidRDefault="00BC70EF" w:rsidP="00BC70EF">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Market Size and Forecast</w:t>
      </w:r>
    </w:p>
    <w:p w14:paraId="52D4BB61" w14:textId="77777777" w:rsidR="00BC70EF" w:rsidRPr="00BC70EF" w:rsidRDefault="00BC70EF" w:rsidP="00BC70EF">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Government Funding and Biotech Hub Growth</w:t>
      </w:r>
    </w:p>
    <w:p w14:paraId="46255812" w14:textId="77777777" w:rsidR="00BC70EF" w:rsidRPr="00BC70EF" w:rsidRDefault="00BC70EF" w:rsidP="00BC70EF">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Country-Level Analysis: China, India, Japan, South Korea, Rest of APAC</w:t>
      </w:r>
    </w:p>
    <w:p w14:paraId="21B09098" w14:textId="77777777" w:rsidR="00BC70EF" w:rsidRPr="00BC70EF" w:rsidRDefault="00BC70EF" w:rsidP="00BC70E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BC70EF">
        <w:rPr>
          <w:rFonts w:ascii="Segoe UI" w:eastAsia="Times New Roman" w:hAnsi="Segoe UI" w:cs="Segoe UI"/>
          <w:b/>
          <w:bCs/>
          <w:color w:val="0D0D0D"/>
          <w:sz w:val="24"/>
          <w:szCs w:val="24"/>
          <w:lang w:eastAsia="en-IN"/>
        </w:rPr>
        <w:t>Latin America</w:t>
      </w:r>
    </w:p>
    <w:p w14:paraId="0DA7D9D5" w14:textId="77777777" w:rsidR="00BC70EF" w:rsidRPr="00BC70EF" w:rsidRDefault="00BC70EF" w:rsidP="00BC70EF">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Market Trends and Constraints</w:t>
      </w:r>
    </w:p>
    <w:p w14:paraId="7B5C8635" w14:textId="77777777" w:rsidR="00BC70EF" w:rsidRPr="00BC70EF" w:rsidRDefault="00BC70EF" w:rsidP="00BC70EF">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Country-Level Analysis: Brazil, Argentina, Rest of Latin America</w:t>
      </w:r>
    </w:p>
    <w:p w14:paraId="2795AA8C" w14:textId="77777777" w:rsidR="00BC70EF" w:rsidRPr="00BC70EF" w:rsidRDefault="00BC70EF" w:rsidP="00BC70E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BC70EF">
        <w:rPr>
          <w:rFonts w:ascii="Segoe UI" w:eastAsia="Times New Roman" w:hAnsi="Segoe UI" w:cs="Segoe UI"/>
          <w:b/>
          <w:bCs/>
          <w:color w:val="0D0D0D"/>
          <w:sz w:val="24"/>
          <w:szCs w:val="24"/>
          <w:lang w:eastAsia="en-IN"/>
        </w:rPr>
        <w:t>Middle East &amp; Africa</w:t>
      </w:r>
    </w:p>
    <w:p w14:paraId="33BC8A1D" w14:textId="77777777" w:rsidR="00BC70EF" w:rsidRPr="00BC70EF" w:rsidRDefault="00BC70EF" w:rsidP="00BC70EF">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Adoption Outlook and Market Entry Barriers</w:t>
      </w:r>
    </w:p>
    <w:p w14:paraId="630B386D" w14:textId="77777777" w:rsidR="00BC70EF" w:rsidRPr="00BC70EF" w:rsidRDefault="00BC70EF" w:rsidP="00BC70EF">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Country-Level Analysis: GCC Countries, South Africa, Rest of MEA</w:t>
      </w:r>
    </w:p>
    <w:p w14:paraId="408088C9" w14:textId="77777777" w:rsidR="00BC70EF" w:rsidRPr="00BC70EF" w:rsidRDefault="00BC70EF" w:rsidP="00BC70EF">
      <w:pPr>
        <w:spacing w:before="720" w:after="720" w:line="240" w:lineRule="auto"/>
        <w:rPr>
          <w:rFonts w:ascii="Times New Roman" w:eastAsia="Times New Roman" w:hAnsi="Times New Roman" w:cs="Times New Roman"/>
          <w:sz w:val="24"/>
          <w:szCs w:val="24"/>
          <w:lang w:eastAsia="en-IN"/>
        </w:rPr>
      </w:pPr>
      <w:r w:rsidRPr="00BC70EF">
        <w:rPr>
          <w:rFonts w:ascii="Times New Roman" w:eastAsia="Times New Roman" w:hAnsi="Times New Roman" w:cs="Times New Roman"/>
          <w:sz w:val="24"/>
          <w:szCs w:val="24"/>
          <w:lang w:eastAsia="en-IN"/>
        </w:rPr>
        <w:pict w14:anchorId="0C4ECF31">
          <v:rect id="_x0000_i1062" style="width:0;height:0" o:hralign="center" o:hrstd="t" o:hrnoshade="t" o:hr="t" fillcolor="#0d0d0d" stroked="f"/>
        </w:pict>
      </w:r>
    </w:p>
    <w:p w14:paraId="1E0C6309"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w:eastAsia="Times New Roman" w:hAnsi="Segoe UI" w:cs="Segoe UI"/>
          <w:b/>
          <w:bCs/>
          <w:color w:val="0D0D0D"/>
          <w:sz w:val="30"/>
          <w:szCs w:val="30"/>
          <w:lang w:eastAsia="en-IN"/>
        </w:rPr>
        <w:t>Competitive Intelligence</w:t>
      </w:r>
    </w:p>
    <w:p w14:paraId="5C4005D8" w14:textId="77777777" w:rsidR="00BC70EF" w:rsidRPr="00BC70EF" w:rsidRDefault="00BC70EF" w:rsidP="00BC70EF">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Company Profiles (Key 5–7 Players)</w:t>
      </w:r>
    </w:p>
    <w:p w14:paraId="1F2D0471" w14:textId="77777777" w:rsidR="00BC70EF" w:rsidRPr="00BC70EF" w:rsidRDefault="00BC70EF" w:rsidP="00BC70EF">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Strategic Initiatives, R&amp;D Investments, and Global Footprint</w:t>
      </w:r>
    </w:p>
    <w:p w14:paraId="1D1015C8" w14:textId="77777777" w:rsidR="00BC70EF" w:rsidRPr="00BC70EF" w:rsidRDefault="00BC70EF" w:rsidP="00BC70EF">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lastRenderedPageBreak/>
        <w:t>Product Innovation and Differentiation Strategies</w:t>
      </w:r>
    </w:p>
    <w:p w14:paraId="0D204C03" w14:textId="77777777" w:rsidR="00BC70EF" w:rsidRPr="00BC70EF" w:rsidRDefault="00BC70EF" w:rsidP="00BC70EF">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SWOT Analysis and Competitive Positioning</w:t>
      </w:r>
    </w:p>
    <w:p w14:paraId="2B10C4F7" w14:textId="77777777" w:rsidR="00BC70EF" w:rsidRPr="00BC70EF" w:rsidRDefault="00BC70EF" w:rsidP="00BC70EF">
      <w:pPr>
        <w:spacing w:before="720" w:after="720" w:line="240" w:lineRule="auto"/>
        <w:rPr>
          <w:rFonts w:ascii="Times New Roman" w:eastAsia="Times New Roman" w:hAnsi="Times New Roman" w:cs="Times New Roman"/>
          <w:sz w:val="24"/>
          <w:szCs w:val="24"/>
          <w:lang w:eastAsia="en-IN"/>
        </w:rPr>
      </w:pPr>
      <w:r w:rsidRPr="00BC70EF">
        <w:rPr>
          <w:rFonts w:ascii="Times New Roman" w:eastAsia="Times New Roman" w:hAnsi="Times New Roman" w:cs="Times New Roman"/>
          <w:sz w:val="24"/>
          <w:szCs w:val="24"/>
          <w:lang w:eastAsia="en-IN"/>
        </w:rPr>
        <w:pict w14:anchorId="466F3A61">
          <v:rect id="_x0000_i1063" style="width:0;height:0" o:hralign="center" o:hrstd="t" o:hrnoshade="t" o:hr="t" fillcolor="#0d0d0d" stroked="f"/>
        </w:pict>
      </w:r>
    </w:p>
    <w:p w14:paraId="3D610236"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w:eastAsia="Times New Roman" w:hAnsi="Segoe UI" w:cs="Segoe UI"/>
          <w:b/>
          <w:bCs/>
          <w:color w:val="0D0D0D"/>
          <w:sz w:val="30"/>
          <w:szCs w:val="30"/>
          <w:lang w:eastAsia="en-IN"/>
        </w:rPr>
        <w:t>Appendix</w:t>
      </w:r>
    </w:p>
    <w:p w14:paraId="4D9E9A39" w14:textId="77777777" w:rsidR="00BC70EF" w:rsidRPr="00BC70EF" w:rsidRDefault="00BC70EF" w:rsidP="00BC70EF">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Abbreviations and Glossary</w:t>
      </w:r>
    </w:p>
    <w:p w14:paraId="588F56EB" w14:textId="77777777" w:rsidR="00BC70EF" w:rsidRPr="00BC70EF" w:rsidRDefault="00BC70EF" w:rsidP="00BC70EF">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Assumptions and Limitations</w:t>
      </w:r>
    </w:p>
    <w:p w14:paraId="0E0669E3" w14:textId="77777777" w:rsidR="00BC70EF" w:rsidRPr="00BC70EF" w:rsidRDefault="00BC70EF" w:rsidP="00BC70EF">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References and Citations</w:t>
      </w:r>
    </w:p>
    <w:p w14:paraId="2718EE40" w14:textId="77777777" w:rsidR="00BC70EF" w:rsidRPr="00BC70EF" w:rsidRDefault="00BC70EF" w:rsidP="00BC70EF">
      <w:pPr>
        <w:spacing w:before="720" w:after="720" w:line="240" w:lineRule="auto"/>
        <w:rPr>
          <w:rFonts w:ascii="Times New Roman" w:eastAsia="Times New Roman" w:hAnsi="Times New Roman" w:cs="Times New Roman"/>
          <w:sz w:val="24"/>
          <w:szCs w:val="24"/>
          <w:lang w:eastAsia="en-IN"/>
        </w:rPr>
      </w:pPr>
      <w:r w:rsidRPr="00BC70EF">
        <w:rPr>
          <w:rFonts w:ascii="Times New Roman" w:eastAsia="Times New Roman" w:hAnsi="Times New Roman" w:cs="Times New Roman"/>
          <w:sz w:val="24"/>
          <w:szCs w:val="24"/>
          <w:lang w:eastAsia="en-IN"/>
        </w:rPr>
        <w:pict w14:anchorId="341F8231">
          <v:rect id="_x0000_i1064" style="width:0;height:0" o:hralign="center" o:hrstd="t" o:hrnoshade="t" o:hr="t" fillcolor="#0d0d0d" stroked="f"/>
        </w:pict>
      </w:r>
    </w:p>
    <w:p w14:paraId="0278DD5A"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w:eastAsia="Times New Roman" w:hAnsi="Segoe UI" w:cs="Segoe UI"/>
          <w:b/>
          <w:bCs/>
          <w:color w:val="0D0D0D"/>
          <w:sz w:val="30"/>
          <w:szCs w:val="30"/>
          <w:lang w:eastAsia="en-IN"/>
        </w:rPr>
        <w:t>List of Tables</w:t>
      </w:r>
    </w:p>
    <w:p w14:paraId="71D07FD6" w14:textId="77777777" w:rsidR="00BC70EF" w:rsidRPr="00BC70EF" w:rsidRDefault="00BC70EF" w:rsidP="00BC70EF">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Market Size by Product Type, Assay Method, End User, and Region (2024–2030)</w:t>
      </w:r>
    </w:p>
    <w:p w14:paraId="66C53326" w14:textId="77777777" w:rsidR="00BC70EF" w:rsidRPr="00BC70EF" w:rsidRDefault="00BC70EF" w:rsidP="00BC70EF">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Country-Level Market Breakdown (2024–2030)</w:t>
      </w:r>
    </w:p>
    <w:p w14:paraId="364813B2" w14:textId="77777777" w:rsidR="00BC70EF" w:rsidRPr="00BC70EF" w:rsidRDefault="00BC70EF" w:rsidP="00BC70EF">
      <w:pPr>
        <w:spacing w:before="720" w:after="720" w:line="240" w:lineRule="auto"/>
        <w:rPr>
          <w:rFonts w:ascii="Times New Roman" w:eastAsia="Times New Roman" w:hAnsi="Times New Roman" w:cs="Times New Roman"/>
          <w:sz w:val="24"/>
          <w:szCs w:val="24"/>
          <w:lang w:eastAsia="en-IN"/>
        </w:rPr>
      </w:pPr>
      <w:r w:rsidRPr="00BC70EF">
        <w:rPr>
          <w:rFonts w:ascii="Times New Roman" w:eastAsia="Times New Roman" w:hAnsi="Times New Roman" w:cs="Times New Roman"/>
          <w:sz w:val="24"/>
          <w:szCs w:val="24"/>
          <w:lang w:eastAsia="en-IN"/>
        </w:rPr>
        <w:pict w14:anchorId="37D25B4E">
          <v:rect id="_x0000_i1065" style="width:0;height:0" o:hralign="center" o:hrstd="t" o:hrnoshade="t" o:hr="t" fillcolor="#0d0d0d" stroked="f"/>
        </w:pict>
      </w:r>
    </w:p>
    <w:p w14:paraId="062853CE" w14:textId="77777777" w:rsidR="00BC70EF" w:rsidRPr="00BC70EF" w:rsidRDefault="00BC70EF" w:rsidP="00BC70EF">
      <w:pPr>
        <w:shd w:val="clear" w:color="auto" w:fill="FFFFFF"/>
        <w:spacing w:after="0" w:line="240" w:lineRule="auto"/>
        <w:outlineLvl w:val="2"/>
        <w:rPr>
          <w:rFonts w:ascii="Segoe UI" w:eastAsia="Times New Roman" w:hAnsi="Segoe UI" w:cs="Segoe UI"/>
          <w:b/>
          <w:bCs/>
          <w:color w:val="0D0D0D"/>
          <w:sz w:val="30"/>
          <w:szCs w:val="30"/>
          <w:lang w:eastAsia="en-IN"/>
        </w:rPr>
      </w:pPr>
      <w:r w:rsidRPr="00BC70EF">
        <w:rPr>
          <w:rFonts w:ascii="Segoe UI" w:eastAsia="Times New Roman" w:hAnsi="Segoe UI" w:cs="Segoe UI"/>
          <w:b/>
          <w:bCs/>
          <w:color w:val="0D0D0D"/>
          <w:sz w:val="30"/>
          <w:szCs w:val="30"/>
          <w:lang w:eastAsia="en-IN"/>
        </w:rPr>
        <w:t>List of Figures</w:t>
      </w:r>
    </w:p>
    <w:p w14:paraId="5423CBE5" w14:textId="77777777" w:rsidR="00BC70EF" w:rsidRPr="00BC70EF" w:rsidRDefault="00BC70EF" w:rsidP="00BC70EF">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Market Growth Curve and Forecast Snapshot</w:t>
      </w:r>
    </w:p>
    <w:p w14:paraId="7C51E3A8" w14:textId="77777777" w:rsidR="00BC70EF" w:rsidRPr="00BC70EF" w:rsidRDefault="00BC70EF" w:rsidP="00BC70EF">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Segment Contribution and Revenue Share (2024 vs. 2030)</w:t>
      </w:r>
    </w:p>
    <w:p w14:paraId="6C97B192" w14:textId="77777777" w:rsidR="00BC70EF" w:rsidRPr="00BC70EF" w:rsidRDefault="00BC70EF" w:rsidP="00BC70EF">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Competitive Landscape: Share and Strategic Moves</w:t>
      </w:r>
    </w:p>
    <w:p w14:paraId="12840C87" w14:textId="77777777" w:rsidR="00BC70EF" w:rsidRPr="00BC70EF" w:rsidRDefault="00BC70EF" w:rsidP="00BC70EF">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BC70EF">
        <w:rPr>
          <w:rFonts w:ascii="Segoe UI" w:eastAsia="Times New Roman" w:hAnsi="Segoe UI" w:cs="Segoe UI"/>
          <w:color w:val="0D0D0D"/>
          <w:sz w:val="24"/>
          <w:szCs w:val="24"/>
          <w:lang w:eastAsia="en-IN"/>
        </w:rPr>
        <w:t>Adoption Heatmaps by Region and Sector</w:t>
      </w:r>
    </w:p>
    <w:p w14:paraId="25A9ECF4"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B798B"/>
    <w:multiLevelType w:val="multilevel"/>
    <w:tmpl w:val="2E6A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085CDA"/>
    <w:multiLevelType w:val="multilevel"/>
    <w:tmpl w:val="AB2C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E7208E"/>
    <w:multiLevelType w:val="multilevel"/>
    <w:tmpl w:val="4C68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BF1310"/>
    <w:multiLevelType w:val="multilevel"/>
    <w:tmpl w:val="E820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C40DE6"/>
    <w:multiLevelType w:val="multilevel"/>
    <w:tmpl w:val="D420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0151B4"/>
    <w:multiLevelType w:val="multilevel"/>
    <w:tmpl w:val="3BE2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995110"/>
    <w:multiLevelType w:val="multilevel"/>
    <w:tmpl w:val="5294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955C4B"/>
    <w:multiLevelType w:val="multilevel"/>
    <w:tmpl w:val="E9CA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502EDF"/>
    <w:multiLevelType w:val="multilevel"/>
    <w:tmpl w:val="C948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F5707E"/>
    <w:multiLevelType w:val="multilevel"/>
    <w:tmpl w:val="AF06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9D5D20"/>
    <w:multiLevelType w:val="multilevel"/>
    <w:tmpl w:val="E1B47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E323DF"/>
    <w:multiLevelType w:val="multilevel"/>
    <w:tmpl w:val="D84E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907CD2"/>
    <w:multiLevelType w:val="multilevel"/>
    <w:tmpl w:val="D4D8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AE296B"/>
    <w:multiLevelType w:val="multilevel"/>
    <w:tmpl w:val="3686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023C2B"/>
    <w:multiLevelType w:val="multilevel"/>
    <w:tmpl w:val="1E46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7B77D4"/>
    <w:multiLevelType w:val="multilevel"/>
    <w:tmpl w:val="B782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2B2B76"/>
    <w:multiLevelType w:val="multilevel"/>
    <w:tmpl w:val="F1CE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A2F40F4"/>
    <w:multiLevelType w:val="multilevel"/>
    <w:tmpl w:val="31F2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8328BF"/>
    <w:multiLevelType w:val="multilevel"/>
    <w:tmpl w:val="E65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825991"/>
    <w:multiLevelType w:val="multilevel"/>
    <w:tmpl w:val="9E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9201B6"/>
    <w:multiLevelType w:val="multilevel"/>
    <w:tmpl w:val="8660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8C642C"/>
    <w:multiLevelType w:val="multilevel"/>
    <w:tmpl w:val="6A0C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A45C0A"/>
    <w:multiLevelType w:val="multilevel"/>
    <w:tmpl w:val="90EE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2EA75DB"/>
    <w:multiLevelType w:val="multilevel"/>
    <w:tmpl w:val="3890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F83684"/>
    <w:multiLevelType w:val="multilevel"/>
    <w:tmpl w:val="2E3C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2D38D9"/>
    <w:multiLevelType w:val="multilevel"/>
    <w:tmpl w:val="5E348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1448F1"/>
    <w:multiLevelType w:val="multilevel"/>
    <w:tmpl w:val="FD6E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0268C9"/>
    <w:multiLevelType w:val="multilevel"/>
    <w:tmpl w:val="8D06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F84A2A"/>
    <w:multiLevelType w:val="multilevel"/>
    <w:tmpl w:val="C374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1BB5FE3"/>
    <w:multiLevelType w:val="multilevel"/>
    <w:tmpl w:val="C4F6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C945D6"/>
    <w:multiLevelType w:val="multilevel"/>
    <w:tmpl w:val="E786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EA9770E"/>
    <w:multiLevelType w:val="multilevel"/>
    <w:tmpl w:val="46C0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5"/>
  </w:num>
  <w:num w:numId="2">
    <w:abstractNumId w:val="29"/>
  </w:num>
  <w:num w:numId="3">
    <w:abstractNumId w:val="7"/>
  </w:num>
  <w:num w:numId="4">
    <w:abstractNumId w:val="20"/>
  </w:num>
  <w:num w:numId="5">
    <w:abstractNumId w:val="24"/>
  </w:num>
  <w:num w:numId="6">
    <w:abstractNumId w:val="21"/>
  </w:num>
  <w:num w:numId="7">
    <w:abstractNumId w:val="23"/>
  </w:num>
  <w:num w:numId="8">
    <w:abstractNumId w:val="22"/>
  </w:num>
  <w:num w:numId="9">
    <w:abstractNumId w:val="12"/>
  </w:num>
  <w:num w:numId="10">
    <w:abstractNumId w:val="26"/>
  </w:num>
  <w:num w:numId="11">
    <w:abstractNumId w:val="30"/>
  </w:num>
  <w:num w:numId="12">
    <w:abstractNumId w:val="5"/>
  </w:num>
  <w:num w:numId="13">
    <w:abstractNumId w:val="10"/>
  </w:num>
  <w:num w:numId="14">
    <w:abstractNumId w:val="17"/>
  </w:num>
  <w:num w:numId="15">
    <w:abstractNumId w:val="1"/>
  </w:num>
  <w:num w:numId="16">
    <w:abstractNumId w:val="9"/>
  </w:num>
  <w:num w:numId="17">
    <w:abstractNumId w:val="27"/>
  </w:num>
  <w:num w:numId="18">
    <w:abstractNumId w:val="6"/>
  </w:num>
  <w:num w:numId="19">
    <w:abstractNumId w:val="16"/>
  </w:num>
  <w:num w:numId="20">
    <w:abstractNumId w:val="31"/>
  </w:num>
  <w:num w:numId="21">
    <w:abstractNumId w:val="14"/>
  </w:num>
  <w:num w:numId="22">
    <w:abstractNumId w:val="0"/>
  </w:num>
  <w:num w:numId="23">
    <w:abstractNumId w:val="2"/>
  </w:num>
  <w:num w:numId="24">
    <w:abstractNumId w:val="13"/>
  </w:num>
  <w:num w:numId="25">
    <w:abstractNumId w:val="3"/>
  </w:num>
  <w:num w:numId="26">
    <w:abstractNumId w:val="15"/>
  </w:num>
  <w:num w:numId="27">
    <w:abstractNumId w:val="8"/>
  </w:num>
  <w:num w:numId="28">
    <w:abstractNumId w:val="11"/>
  </w:num>
  <w:num w:numId="29">
    <w:abstractNumId w:val="4"/>
  </w:num>
  <w:num w:numId="30">
    <w:abstractNumId w:val="28"/>
  </w:num>
  <w:num w:numId="31">
    <w:abstractNumId w:val="19"/>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0EF"/>
    <w:rsid w:val="0038114E"/>
    <w:rsid w:val="009329A9"/>
    <w:rsid w:val="00A11F02"/>
    <w:rsid w:val="00BC70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D081"/>
  <w15:chartTrackingRefBased/>
  <w15:docId w15:val="{59B0F66A-0AA4-497D-8D29-421D61342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20546">
      <w:bodyDiv w:val="1"/>
      <w:marLeft w:val="0"/>
      <w:marRight w:val="0"/>
      <w:marTop w:val="0"/>
      <w:marBottom w:val="0"/>
      <w:divBdr>
        <w:top w:val="none" w:sz="0" w:space="0" w:color="auto"/>
        <w:left w:val="none" w:sz="0" w:space="0" w:color="auto"/>
        <w:bottom w:val="none" w:sz="0" w:space="0" w:color="auto"/>
        <w:right w:val="none" w:sz="0" w:space="0" w:color="auto"/>
      </w:divBdr>
    </w:div>
    <w:div w:id="167255888">
      <w:bodyDiv w:val="1"/>
      <w:marLeft w:val="0"/>
      <w:marRight w:val="0"/>
      <w:marTop w:val="0"/>
      <w:marBottom w:val="0"/>
      <w:divBdr>
        <w:top w:val="none" w:sz="0" w:space="0" w:color="auto"/>
        <w:left w:val="none" w:sz="0" w:space="0" w:color="auto"/>
        <w:bottom w:val="none" w:sz="0" w:space="0" w:color="auto"/>
        <w:right w:val="none" w:sz="0" w:space="0" w:color="auto"/>
      </w:divBdr>
    </w:div>
    <w:div w:id="224068554">
      <w:bodyDiv w:val="1"/>
      <w:marLeft w:val="0"/>
      <w:marRight w:val="0"/>
      <w:marTop w:val="0"/>
      <w:marBottom w:val="0"/>
      <w:divBdr>
        <w:top w:val="none" w:sz="0" w:space="0" w:color="auto"/>
        <w:left w:val="none" w:sz="0" w:space="0" w:color="auto"/>
        <w:bottom w:val="none" w:sz="0" w:space="0" w:color="auto"/>
        <w:right w:val="none" w:sz="0" w:space="0" w:color="auto"/>
      </w:divBdr>
      <w:divsChild>
        <w:div w:id="1687898276">
          <w:marLeft w:val="0"/>
          <w:marRight w:val="0"/>
          <w:marTop w:val="0"/>
          <w:marBottom w:val="0"/>
          <w:divBdr>
            <w:top w:val="none" w:sz="0" w:space="0" w:color="auto"/>
            <w:left w:val="none" w:sz="0" w:space="0" w:color="auto"/>
            <w:bottom w:val="none" w:sz="0" w:space="0" w:color="auto"/>
            <w:right w:val="none" w:sz="0" w:space="0" w:color="auto"/>
          </w:divBdr>
          <w:divsChild>
            <w:div w:id="1000305411">
              <w:marLeft w:val="0"/>
              <w:marRight w:val="0"/>
              <w:marTop w:val="0"/>
              <w:marBottom w:val="0"/>
              <w:divBdr>
                <w:top w:val="none" w:sz="0" w:space="0" w:color="auto"/>
                <w:left w:val="none" w:sz="0" w:space="0" w:color="auto"/>
                <w:bottom w:val="none" w:sz="0" w:space="0" w:color="auto"/>
                <w:right w:val="none" w:sz="0" w:space="0" w:color="auto"/>
              </w:divBdr>
            </w:div>
          </w:divsChild>
        </w:div>
        <w:div w:id="1631279804">
          <w:marLeft w:val="0"/>
          <w:marRight w:val="0"/>
          <w:marTop w:val="0"/>
          <w:marBottom w:val="0"/>
          <w:divBdr>
            <w:top w:val="none" w:sz="0" w:space="0" w:color="auto"/>
            <w:left w:val="none" w:sz="0" w:space="0" w:color="auto"/>
            <w:bottom w:val="none" w:sz="0" w:space="0" w:color="auto"/>
            <w:right w:val="none" w:sz="0" w:space="0" w:color="auto"/>
          </w:divBdr>
          <w:divsChild>
            <w:div w:id="1447119565">
              <w:marLeft w:val="0"/>
              <w:marRight w:val="0"/>
              <w:marTop w:val="0"/>
              <w:marBottom w:val="0"/>
              <w:divBdr>
                <w:top w:val="none" w:sz="0" w:space="0" w:color="auto"/>
                <w:left w:val="none" w:sz="0" w:space="0" w:color="auto"/>
                <w:bottom w:val="none" w:sz="0" w:space="0" w:color="auto"/>
                <w:right w:val="none" w:sz="0" w:space="0" w:color="auto"/>
              </w:divBdr>
            </w:div>
            <w:div w:id="397436814">
              <w:marLeft w:val="0"/>
              <w:marRight w:val="0"/>
              <w:marTop w:val="0"/>
              <w:marBottom w:val="0"/>
              <w:divBdr>
                <w:top w:val="none" w:sz="0" w:space="0" w:color="auto"/>
                <w:left w:val="none" w:sz="0" w:space="0" w:color="auto"/>
                <w:bottom w:val="none" w:sz="0" w:space="0" w:color="auto"/>
                <w:right w:val="none" w:sz="0" w:space="0" w:color="auto"/>
              </w:divBdr>
              <w:divsChild>
                <w:div w:id="1964576212">
                  <w:marLeft w:val="0"/>
                  <w:marRight w:val="0"/>
                  <w:marTop w:val="0"/>
                  <w:marBottom w:val="0"/>
                  <w:divBdr>
                    <w:top w:val="none" w:sz="0" w:space="0" w:color="auto"/>
                    <w:left w:val="none" w:sz="0" w:space="0" w:color="auto"/>
                    <w:bottom w:val="none" w:sz="0" w:space="0" w:color="auto"/>
                    <w:right w:val="none" w:sz="0" w:space="0" w:color="auto"/>
                  </w:divBdr>
                  <w:divsChild>
                    <w:div w:id="95440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16735">
              <w:marLeft w:val="0"/>
              <w:marRight w:val="0"/>
              <w:marTop w:val="0"/>
              <w:marBottom w:val="0"/>
              <w:divBdr>
                <w:top w:val="none" w:sz="0" w:space="0" w:color="auto"/>
                <w:left w:val="none" w:sz="0" w:space="0" w:color="auto"/>
                <w:bottom w:val="none" w:sz="0" w:space="0" w:color="auto"/>
                <w:right w:val="none" w:sz="0" w:space="0" w:color="auto"/>
              </w:divBdr>
            </w:div>
          </w:divsChild>
        </w:div>
        <w:div w:id="1977871">
          <w:marLeft w:val="0"/>
          <w:marRight w:val="0"/>
          <w:marTop w:val="0"/>
          <w:marBottom w:val="0"/>
          <w:divBdr>
            <w:top w:val="none" w:sz="0" w:space="0" w:color="auto"/>
            <w:left w:val="none" w:sz="0" w:space="0" w:color="auto"/>
            <w:bottom w:val="none" w:sz="0" w:space="0" w:color="auto"/>
            <w:right w:val="none" w:sz="0" w:space="0" w:color="auto"/>
          </w:divBdr>
          <w:divsChild>
            <w:div w:id="1923097455">
              <w:marLeft w:val="0"/>
              <w:marRight w:val="0"/>
              <w:marTop w:val="0"/>
              <w:marBottom w:val="0"/>
              <w:divBdr>
                <w:top w:val="none" w:sz="0" w:space="0" w:color="auto"/>
                <w:left w:val="none" w:sz="0" w:space="0" w:color="auto"/>
                <w:bottom w:val="none" w:sz="0" w:space="0" w:color="auto"/>
                <w:right w:val="none" w:sz="0" w:space="0" w:color="auto"/>
              </w:divBdr>
            </w:div>
            <w:div w:id="1256671215">
              <w:marLeft w:val="0"/>
              <w:marRight w:val="0"/>
              <w:marTop w:val="0"/>
              <w:marBottom w:val="0"/>
              <w:divBdr>
                <w:top w:val="none" w:sz="0" w:space="0" w:color="auto"/>
                <w:left w:val="none" w:sz="0" w:space="0" w:color="auto"/>
                <w:bottom w:val="none" w:sz="0" w:space="0" w:color="auto"/>
                <w:right w:val="none" w:sz="0" w:space="0" w:color="auto"/>
              </w:divBdr>
              <w:divsChild>
                <w:div w:id="1357347103">
                  <w:marLeft w:val="0"/>
                  <w:marRight w:val="0"/>
                  <w:marTop w:val="0"/>
                  <w:marBottom w:val="0"/>
                  <w:divBdr>
                    <w:top w:val="none" w:sz="0" w:space="0" w:color="auto"/>
                    <w:left w:val="none" w:sz="0" w:space="0" w:color="auto"/>
                    <w:bottom w:val="none" w:sz="0" w:space="0" w:color="auto"/>
                    <w:right w:val="none" w:sz="0" w:space="0" w:color="auto"/>
                  </w:divBdr>
                  <w:divsChild>
                    <w:div w:id="149842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66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58832">
      <w:bodyDiv w:val="1"/>
      <w:marLeft w:val="0"/>
      <w:marRight w:val="0"/>
      <w:marTop w:val="0"/>
      <w:marBottom w:val="0"/>
      <w:divBdr>
        <w:top w:val="none" w:sz="0" w:space="0" w:color="auto"/>
        <w:left w:val="none" w:sz="0" w:space="0" w:color="auto"/>
        <w:bottom w:val="none" w:sz="0" w:space="0" w:color="auto"/>
        <w:right w:val="none" w:sz="0" w:space="0" w:color="auto"/>
      </w:divBdr>
      <w:divsChild>
        <w:div w:id="230778617">
          <w:marLeft w:val="0"/>
          <w:marRight w:val="0"/>
          <w:marTop w:val="0"/>
          <w:marBottom w:val="0"/>
          <w:divBdr>
            <w:top w:val="none" w:sz="0" w:space="0" w:color="auto"/>
            <w:left w:val="none" w:sz="0" w:space="0" w:color="auto"/>
            <w:bottom w:val="none" w:sz="0" w:space="0" w:color="auto"/>
            <w:right w:val="none" w:sz="0" w:space="0" w:color="auto"/>
          </w:divBdr>
          <w:divsChild>
            <w:div w:id="763308569">
              <w:marLeft w:val="0"/>
              <w:marRight w:val="0"/>
              <w:marTop w:val="0"/>
              <w:marBottom w:val="0"/>
              <w:divBdr>
                <w:top w:val="none" w:sz="0" w:space="0" w:color="auto"/>
                <w:left w:val="none" w:sz="0" w:space="0" w:color="auto"/>
                <w:bottom w:val="none" w:sz="0" w:space="0" w:color="auto"/>
                <w:right w:val="none" w:sz="0" w:space="0" w:color="auto"/>
              </w:divBdr>
              <w:divsChild>
                <w:div w:id="823086277">
                  <w:marLeft w:val="0"/>
                  <w:marRight w:val="0"/>
                  <w:marTop w:val="0"/>
                  <w:marBottom w:val="0"/>
                  <w:divBdr>
                    <w:top w:val="none" w:sz="0" w:space="0" w:color="auto"/>
                    <w:left w:val="none" w:sz="0" w:space="0" w:color="auto"/>
                    <w:bottom w:val="none" w:sz="0" w:space="0" w:color="auto"/>
                    <w:right w:val="none" w:sz="0" w:space="0" w:color="auto"/>
                  </w:divBdr>
                  <w:divsChild>
                    <w:div w:id="311831703">
                      <w:marLeft w:val="0"/>
                      <w:marRight w:val="0"/>
                      <w:marTop w:val="0"/>
                      <w:marBottom w:val="0"/>
                      <w:divBdr>
                        <w:top w:val="none" w:sz="0" w:space="0" w:color="auto"/>
                        <w:left w:val="none" w:sz="0" w:space="0" w:color="auto"/>
                        <w:bottom w:val="none" w:sz="0" w:space="0" w:color="auto"/>
                        <w:right w:val="none" w:sz="0" w:space="0" w:color="auto"/>
                      </w:divBdr>
                      <w:divsChild>
                        <w:div w:id="1744329588">
                          <w:marLeft w:val="0"/>
                          <w:marRight w:val="0"/>
                          <w:marTop w:val="0"/>
                          <w:marBottom w:val="0"/>
                          <w:divBdr>
                            <w:top w:val="none" w:sz="0" w:space="0" w:color="auto"/>
                            <w:left w:val="none" w:sz="0" w:space="0" w:color="auto"/>
                            <w:bottom w:val="none" w:sz="0" w:space="0" w:color="auto"/>
                            <w:right w:val="none" w:sz="0" w:space="0" w:color="auto"/>
                          </w:divBdr>
                          <w:divsChild>
                            <w:div w:id="1935284936">
                              <w:marLeft w:val="0"/>
                              <w:marRight w:val="0"/>
                              <w:marTop w:val="0"/>
                              <w:marBottom w:val="0"/>
                              <w:divBdr>
                                <w:top w:val="none" w:sz="0" w:space="0" w:color="auto"/>
                                <w:left w:val="none" w:sz="0" w:space="0" w:color="auto"/>
                                <w:bottom w:val="none" w:sz="0" w:space="0" w:color="auto"/>
                                <w:right w:val="none" w:sz="0" w:space="0" w:color="auto"/>
                              </w:divBdr>
                              <w:divsChild>
                                <w:div w:id="1369643309">
                                  <w:marLeft w:val="0"/>
                                  <w:marRight w:val="0"/>
                                  <w:marTop w:val="0"/>
                                  <w:marBottom w:val="0"/>
                                  <w:divBdr>
                                    <w:top w:val="none" w:sz="0" w:space="0" w:color="auto"/>
                                    <w:left w:val="none" w:sz="0" w:space="0" w:color="auto"/>
                                    <w:bottom w:val="none" w:sz="0" w:space="0" w:color="auto"/>
                                    <w:right w:val="none" w:sz="0" w:space="0" w:color="auto"/>
                                  </w:divBdr>
                                  <w:divsChild>
                                    <w:div w:id="16274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428144">
          <w:marLeft w:val="0"/>
          <w:marRight w:val="0"/>
          <w:marTop w:val="0"/>
          <w:marBottom w:val="0"/>
          <w:divBdr>
            <w:top w:val="none" w:sz="0" w:space="0" w:color="auto"/>
            <w:left w:val="none" w:sz="0" w:space="0" w:color="auto"/>
            <w:bottom w:val="none" w:sz="0" w:space="0" w:color="auto"/>
            <w:right w:val="none" w:sz="0" w:space="0" w:color="auto"/>
          </w:divBdr>
          <w:divsChild>
            <w:div w:id="439030477">
              <w:marLeft w:val="0"/>
              <w:marRight w:val="0"/>
              <w:marTop w:val="0"/>
              <w:marBottom w:val="0"/>
              <w:divBdr>
                <w:top w:val="none" w:sz="0" w:space="0" w:color="auto"/>
                <w:left w:val="none" w:sz="0" w:space="0" w:color="auto"/>
                <w:bottom w:val="none" w:sz="0" w:space="0" w:color="auto"/>
                <w:right w:val="none" w:sz="0" w:space="0" w:color="auto"/>
              </w:divBdr>
              <w:divsChild>
                <w:div w:id="1443648365">
                  <w:marLeft w:val="0"/>
                  <w:marRight w:val="0"/>
                  <w:marTop w:val="0"/>
                  <w:marBottom w:val="0"/>
                  <w:divBdr>
                    <w:top w:val="none" w:sz="0" w:space="0" w:color="auto"/>
                    <w:left w:val="none" w:sz="0" w:space="0" w:color="auto"/>
                    <w:bottom w:val="none" w:sz="0" w:space="0" w:color="auto"/>
                    <w:right w:val="none" w:sz="0" w:space="0" w:color="auto"/>
                  </w:divBdr>
                  <w:divsChild>
                    <w:div w:id="438181762">
                      <w:marLeft w:val="0"/>
                      <w:marRight w:val="0"/>
                      <w:marTop w:val="0"/>
                      <w:marBottom w:val="0"/>
                      <w:divBdr>
                        <w:top w:val="none" w:sz="0" w:space="0" w:color="auto"/>
                        <w:left w:val="none" w:sz="0" w:space="0" w:color="auto"/>
                        <w:bottom w:val="none" w:sz="0" w:space="0" w:color="auto"/>
                        <w:right w:val="none" w:sz="0" w:space="0" w:color="auto"/>
                      </w:divBdr>
                      <w:divsChild>
                        <w:div w:id="1418598025">
                          <w:marLeft w:val="0"/>
                          <w:marRight w:val="0"/>
                          <w:marTop w:val="0"/>
                          <w:marBottom w:val="0"/>
                          <w:divBdr>
                            <w:top w:val="none" w:sz="0" w:space="0" w:color="auto"/>
                            <w:left w:val="none" w:sz="0" w:space="0" w:color="auto"/>
                            <w:bottom w:val="none" w:sz="0" w:space="0" w:color="auto"/>
                            <w:right w:val="none" w:sz="0" w:space="0" w:color="auto"/>
                          </w:divBdr>
                          <w:divsChild>
                            <w:div w:id="835461405">
                              <w:marLeft w:val="0"/>
                              <w:marRight w:val="0"/>
                              <w:marTop w:val="0"/>
                              <w:marBottom w:val="0"/>
                              <w:divBdr>
                                <w:top w:val="none" w:sz="0" w:space="0" w:color="auto"/>
                                <w:left w:val="none" w:sz="0" w:space="0" w:color="auto"/>
                                <w:bottom w:val="none" w:sz="0" w:space="0" w:color="auto"/>
                                <w:right w:val="none" w:sz="0" w:space="0" w:color="auto"/>
                              </w:divBdr>
                              <w:divsChild>
                                <w:div w:id="65493396">
                                  <w:marLeft w:val="0"/>
                                  <w:marRight w:val="0"/>
                                  <w:marTop w:val="0"/>
                                  <w:marBottom w:val="0"/>
                                  <w:divBdr>
                                    <w:top w:val="none" w:sz="0" w:space="0" w:color="auto"/>
                                    <w:left w:val="none" w:sz="0" w:space="0" w:color="auto"/>
                                    <w:bottom w:val="none" w:sz="0" w:space="0" w:color="auto"/>
                                    <w:right w:val="none" w:sz="0" w:space="0" w:color="auto"/>
                                  </w:divBdr>
                                  <w:divsChild>
                                    <w:div w:id="179899636">
                                      <w:marLeft w:val="0"/>
                                      <w:marRight w:val="0"/>
                                      <w:marTop w:val="0"/>
                                      <w:marBottom w:val="0"/>
                                      <w:divBdr>
                                        <w:top w:val="none" w:sz="0" w:space="0" w:color="auto"/>
                                        <w:left w:val="none" w:sz="0" w:space="0" w:color="auto"/>
                                        <w:bottom w:val="none" w:sz="0" w:space="0" w:color="auto"/>
                                        <w:right w:val="none" w:sz="0" w:space="0" w:color="auto"/>
                                      </w:divBdr>
                                      <w:divsChild>
                                        <w:div w:id="37731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5691672">
          <w:marLeft w:val="0"/>
          <w:marRight w:val="0"/>
          <w:marTop w:val="0"/>
          <w:marBottom w:val="0"/>
          <w:divBdr>
            <w:top w:val="none" w:sz="0" w:space="0" w:color="auto"/>
            <w:left w:val="none" w:sz="0" w:space="0" w:color="auto"/>
            <w:bottom w:val="none" w:sz="0" w:space="0" w:color="auto"/>
            <w:right w:val="none" w:sz="0" w:space="0" w:color="auto"/>
          </w:divBdr>
          <w:divsChild>
            <w:div w:id="1662614155">
              <w:marLeft w:val="0"/>
              <w:marRight w:val="0"/>
              <w:marTop w:val="0"/>
              <w:marBottom w:val="0"/>
              <w:divBdr>
                <w:top w:val="none" w:sz="0" w:space="0" w:color="auto"/>
                <w:left w:val="none" w:sz="0" w:space="0" w:color="auto"/>
                <w:bottom w:val="none" w:sz="0" w:space="0" w:color="auto"/>
                <w:right w:val="none" w:sz="0" w:space="0" w:color="auto"/>
              </w:divBdr>
              <w:divsChild>
                <w:div w:id="44565427">
                  <w:marLeft w:val="0"/>
                  <w:marRight w:val="0"/>
                  <w:marTop w:val="0"/>
                  <w:marBottom w:val="0"/>
                  <w:divBdr>
                    <w:top w:val="none" w:sz="0" w:space="0" w:color="auto"/>
                    <w:left w:val="none" w:sz="0" w:space="0" w:color="auto"/>
                    <w:bottom w:val="none" w:sz="0" w:space="0" w:color="auto"/>
                    <w:right w:val="none" w:sz="0" w:space="0" w:color="auto"/>
                  </w:divBdr>
                  <w:divsChild>
                    <w:div w:id="691494335">
                      <w:marLeft w:val="0"/>
                      <w:marRight w:val="0"/>
                      <w:marTop w:val="0"/>
                      <w:marBottom w:val="0"/>
                      <w:divBdr>
                        <w:top w:val="none" w:sz="0" w:space="0" w:color="auto"/>
                        <w:left w:val="none" w:sz="0" w:space="0" w:color="auto"/>
                        <w:bottom w:val="none" w:sz="0" w:space="0" w:color="auto"/>
                        <w:right w:val="none" w:sz="0" w:space="0" w:color="auto"/>
                      </w:divBdr>
                      <w:divsChild>
                        <w:div w:id="710421448">
                          <w:marLeft w:val="0"/>
                          <w:marRight w:val="0"/>
                          <w:marTop w:val="0"/>
                          <w:marBottom w:val="0"/>
                          <w:divBdr>
                            <w:top w:val="none" w:sz="0" w:space="0" w:color="auto"/>
                            <w:left w:val="none" w:sz="0" w:space="0" w:color="auto"/>
                            <w:bottom w:val="none" w:sz="0" w:space="0" w:color="auto"/>
                            <w:right w:val="none" w:sz="0" w:space="0" w:color="auto"/>
                          </w:divBdr>
                          <w:divsChild>
                            <w:div w:id="631180590">
                              <w:marLeft w:val="0"/>
                              <w:marRight w:val="0"/>
                              <w:marTop w:val="0"/>
                              <w:marBottom w:val="0"/>
                              <w:divBdr>
                                <w:top w:val="none" w:sz="0" w:space="0" w:color="auto"/>
                                <w:left w:val="none" w:sz="0" w:space="0" w:color="auto"/>
                                <w:bottom w:val="none" w:sz="0" w:space="0" w:color="auto"/>
                                <w:right w:val="none" w:sz="0" w:space="0" w:color="auto"/>
                              </w:divBdr>
                              <w:divsChild>
                                <w:div w:id="638924925">
                                  <w:marLeft w:val="0"/>
                                  <w:marRight w:val="0"/>
                                  <w:marTop w:val="0"/>
                                  <w:marBottom w:val="0"/>
                                  <w:divBdr>
                                    <w:top w:val="none" w:sz="0" w:space="0" w:color="auto"/>
                                    <w:left w:val="none" w:sz="0" w:space="0" w:color="auto"/>
                                    <w:bottom w:val="none" w:sz="0" w:space="0" w:color="auto"/>
                                    <w:right w:val="none" w:sz="0" w:space="0" w:color="auto"/>
                                  </w:divBdr>
                                  <w:divsChild>
                                    <w:div w:id="163794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712670">
          <w:marLeft w:val="0"/>
          <w:marRight w:val="0"/>
          <w:marTop w:val="0"/>
          <w:marBottom w:val="0"/>
          <w:divBdr>
            <w:top w:val="none" w:sz="0" w:space="0" w:color="auto"/>
            <w:left w:val="none" w:sz="0" w:space="0" w:color="auto"/>
            <w:bottom w:val="none" w:sz="0" w:space="0" w:color="auto"/>
            <w:right w:val="none" w:sz="0" w:space="0" w:color="auto"/>
          </w:divBdr>
          <w:divsChild>
            <w:div w:id="1114983390">
              <w:marLeft w:val="0"/>
              <w:marRight w:val="0"/>
              <w:marTop w:val="0"/>
              <w:marBottom w:val="0"/>
              <w:divBdr>
                <w:top w:val="none" w:sz="0" w:space="0" w:color="auto"/>
                <w:left w:val="none" w:sz="0" w:space="0" w:color="auto"/>
                <w:bottom w:val="none" w:sz="0" w:space="0" w:color="auto"/>
                <w:right w:val="none" w:sz="0" w:space="0" w:color="auto"/>
              </w:divBdr>
              <w:divsChild>
                <w:div w:id="1370641008">
                  <w:marLeft w:val="0"/>
                  <w:marRight w:val="0"/>
                  <w:marTop w:val="0"/>
                  <w:marBottom w:val="0"/>
                  <w:divBdr>
                    <w:top w:val="none" w:sz="0" w:space="0" w:color="auto"/>
                    <w:left w:val="none" w:sz="0" w:space="0" w:color="auto"/>
                    <w:bottom w:val="none" w:sz="0" w:space="0" w:color="auto"/>
                    <w:right w:val="none" w:sz="0" w:space="0" w:color="auto"/>
                  </w:divBdr>
                  <w:divsChild>
                    <w:div w:id="196820094">
                      <w:marLeft w:val="0"/>
                      <w:marRight w:val="0"/>
                      <w:marTop w:val="0"/>
                      <w:marBottom w:val="0"/>
                      <w:divBdr>
                        <w:top w:val="none" w:sz="0" w:space="0" w:color="auto"/>
                        <w:left w:val="none" w:sz="0" w:space="0" w:color="auto"/>
                        <w:bottom w:val="none" w:sz="0" w:space="0" w:color="auto"/>
                        <w:right w:val="none" w:sz="0" w:space="0" w:color="auto"/>
                      </w:divBdr>
                      <w:divsChild>
                        <w:div w:id="1696224973">
                          <w:marLeft w:val="0"/>
                          <w:marRight w:val="0"/>
                          <w:marTop w:val="0"/>
                          <w:marBottom w:val="0"/>
                          <w:divBdr>
                            <w:top w:val="none" w:sz="0" w:space="0" w:color="auto"/>
                            <w:left w:val="none" w:sz="0" w:space="0" w:color="auto"/>
                            <w:bottom w:val="none" w:sz="0" w:space="0" w:color="auto"/>
                            <w:right w:val="none" w:sz="0" w:space="0" w:color="auto"/>
                          </w:divBdr>
                          <w:divsChild>
                            <w:div w:id="1753695219">
                              <w:marLeft w:val="0"/>
                              <w:marRight w:val="0"/>
                              <w:marTop w:val="0"/>
                              <w:marBottom w:val="0"/>
                              <w:divBdr>
                                <w:top w:val="none" w:sz="0" w:space="0" w:color="auto"/>
                                <w:left w:val="none" w:sz="0" w:space="0" w:color="auto"/>
                                <w:bottom w:val="none" w:sz="0" w:space="0" w:color="auto"/>
                                <w:right w:val="none" w:sz="0" w:space="0" w:color="auto"/>
                              </w:divBdr>
                              <w:divsChild>
                                <w:div w:id="1919098788">
                                  <w:marLeft w:val="0"/>
                                  <w:marRight w:val="0"/>
                                  <w:marTop w:val="0"/>
                                  <w:marBottom w:val="0"/>
                                  <w:divBdr>
                                    <w:top w:val="none" w:sz="0" w:space="0" w:color="auto"/>
                                    <w:left w:val="none" w:sz="0" w:space="0" w:color="auto"/>
                                    <w:bottom w:val="none" w:sz="0" w:space="0" w:color="auto"/>
                                    <w:right w:val="none" w:sz="0" w:space="0" w:color="auto"/>
                                  </w:divBdr>
                                  <w:divsChild>
                                    <w:div w:id="254100558">
                                      <w:marLeft w:val="0"/>
                                      <w:marRight w:val="0"/>
                                      <w:marTop w:val="0"/>
                                      <w:marBottom w:val="0"/>
                                      <w:divBdr>
                                        <w:top w:val="none" w:sz="0" w:space="0" w:color="auto"/>
                                        <w:left w:val="none" w:sz="0" w:space="0" w:color="auto"/>
                                        <w:bottom w:val="none" w:sz="0" w:space="0" w:color="auto"/>
                                        <w:right w:val="none" w:sz="0" w:space="0" w:color="auto"/>
                                      </w:divBdr>
                                      <w:divsChild>
                                        <w:div w:id="23875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1645693">
          <w:marLeft w:val="0"/>
          <w:marRight w:val="0"/>
          <w:marTop w:val="0"/>
          <w:marBottom w:val="0"/>
          <w:divBdr>
            <w:top w:val="none" w:sz="0" w:space="0" w:color="auto"/>
            <w:left w:val="none" w:sz="0" w:space="0" w:color="auto"/>
            <w:bottom w:val="none" w:sz="0" w:space="0" w:color="auto"/>
            <w:right w:val="none" w:sz="0" w:space="0" w:color="auto"/>
          </w:divBdr>
          <w:divsChild>
            <w:div w:id="1030761520">
              <w:marLeft w:val="0"/>
              <w:marRight w:val="0"/>
              <w:marTop w:val="0"/>
              <w:marBottom w:val="0"/>
              <w:divBdr>
                <w:top w:val="none" w:sz="0" w:space="0" w:color="auto"/>
                <w:left w:val="none" w:sz="0" w:space="0" w:color="auto"/>
                <w:bottom w:val="none" w:sz="0" w:space="0" w:color="auto"/>
                <w:right w:val="none" w:sz="0" w:space="0" w:color="auto"/>
              </w:divBdr>
              <w:divsChild>
                <w:div w:id="1418601656">
                  <w:marLeft w:val="0"/>
                  <w:marRight w:val="0"/>
                  <w:marTop w:val="0"/>
                  <w:marBottom w:val="0"/>
                  <w:divBdr>
                    <w:top w:val="none" w:sz="0" w:space="0" w:color="auto"/>
                    <w:left w:val="none" w:sz="0" w:space="0" w:color="auto"/>
                    <w:bottom w:val="none" w:sz="0" w:space="0" w:color="auto"/>
                    <w:right w:val="none" w:sz="0" w:space="0" w:color="auto"/>
                  </w:divBdr>
                  <w:divsChild>
                    <w:div w:id="1026712595">
                      <w:marLeft w:val="0"/>
                      <w:marRight w:val="0"/>
                      <w:marTop w:val="0"/>
                      <w:marBottom w:val="0"/>
                      <w:divBdr>
                        <w:top w:val="none" w:sz="0" w:space="0" w:color="auto"/>
                        <w:left w:val="none" w:sz="0" w:space="0" w:color="auto"/>
                        <w:bottom w:val="none" w:sz="0" w:space="0" w:color="auto"/>
                        <w:right w:val="none" w:sz="0" w:space="0" w:color="auto"/>
                      </w:divBdr>
                      <w:divsChild>
                        <w:div w:id="236479076">
                          <w:marLeft w:val="0"/>
                          <w:marRight w:val="0"/>
                          <w:marTop w:val="0"/>
                          <w:marBottom w:val="0"/>
                          <w:divBdr>
                            <w:top w:val="none" w:sz="0" w:space="0" w:color="auto"/>
                            <w:left w:val="none" w:sz="0" w:space="0" w:color="auto"/>
                            <w:bottom w:val="none" w:sz="0" w:space="0" w:color="auto"/>
                            <w:right w:val="none" w:sz="0" w:space="0" w:color="auto"/>
                          </w:divBdr>
                          <w:divsChild>
                            <w:div w:id="1503423960">
                              <w:marLeft w:val="0"/>
                              <w:marRight w:val="0"/>
                              <w:marTop w:val="0"/>
                              <w:marBottom w:val="0"/>
                              <w:divBdr>
                                <w:top w:val="none" w:sz="0" w:space="0" w:color="auto"/>
                                <w:left w:val="none" w:sz="0" w:space="0" w:color="auto"/>
                                <w:bottom w:val="none" w:sz="0" w:space="0" w:color="auto"/>
                                <w:right w:val="none" w:sz="0" w:space="0" w:color="auto"/>
                              </w:divBdr>
                              <w:divsChild>
                                <w:div w:id="1909261555">
                                  <w:marLeft w:val="0"/>
                                  <w:marRight w:val="0"/>
                                  <w:marTop w:val="0"/>
                                  <w:marBottom w:val="0"/>
                                  <w:divBdr>
                                    <w:top w:val="none" w:sz="0" w:space="0" w:color="auto"/>
                                    <w:left w:val="none" w:sz="0" w:space="0" w:color="auto"/>
                                    <w:bottom w:val="none" w:sz="0" w:space="0" w:color="auto"/>
                                    <w:right w:val="none" w:sz="0" w:space="0" w:color="auto"/>
                                  </w:divBdr>
                                  <w:divsChild>
                                    <w:div w:id="126892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2577293">
      <w:bodyDiv w:val="1"/>
      <w:marLeft w:val="0"/>
      <w:marRight w:val="0"/>
      <w:marTop w:val="0"/>
      <w:marBottom w:val="0"/>
      <w:divBdr>
        <w:top w:val="none" w:sz="0" w:space="0" w:color="auto"/>
        <w:left w:val="none" w:sz="0" w:space="0" w:color="auto"/>
        <w:bottom w:val="none" w:sz="0" w:space="0" w:color="auto"/>
        <w:right w:val="none" w:sz="0" w:space="0" w:color="auto"/>
      </w:divBdr>
    </w:div>
    <w:div w:id="1574124343">
      <w:bodyDiv w:val="1"/>
      <w:marLeft w:val="0"/>
      <w:marRight w:val="0"/>
      <w:marTop w:val="0"/>
      <w:marBottom w:val="0"/>
      <w:divBdr>
        <w:top w:val="none" w:sz="0" w:space="0" w:color="auto"/>
        <w:left w:val="none" w:sz="0" w:space="0" w:color="auto"/>
        <w:bottom w:val="none" w:sz="0" w:space="0" w:color="auto"/>
        <w:right w:val="none" w:sz="0" w:space="0" w:color="auto"/>
      </w:divBdr>
    </w:div>
    <w:div w:id="180908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19</Pages>
  <Words>4429</Words>
  <Characters>25246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1</cp:revision>
  <dcterms:created xsi:type="dcterms:W3CDTF">2025-06-26T13:46:00Z</dcterms:created>
  <dcterms:modified xsi:type="dcterms:W3CDTF">2025-06-26T13:59:00Z</dcterms:modified>
</cp:coreProperties>
</file>