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7D63E"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t>Global Electrophoresis Market (2024–2030)</w:t>
      </w:r>
    </w:p>
    <w:p w14:paraId="6052D672"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1. Introduction and Strategic Context</w:t>
      </w:r>
    </w:p>
    <w:p w14:paraId="64F9D005" w14:textId="764C634B"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w:t>
      </w:r>
      <w:r w:rsidR="00AC2AC6" w:rsidRPr="00954E40">
        <w:rPr>
          <w:rFonts w:ascii="Segoe UI" w:eastAsia="Times New Roman" w:hAnsi="Segoe UI" w:cs="Segoe UI"/>
          <w:b/>
          <w:bCs/>
          <w:color w:val="0D0D0D"/>
          <w:sz w:val="24"/>
          <w:szCs w:val="24"/>
          <w:lang w:eastAsia="en-IN"/>
        </w:rPr>
        <w:t>Global Electrophoresis Market</w:t>
      </w:r>
      <w:r w:rsidR="00AC2AC6" w:rsidRPr="00954E40">
        <w:rPr>
          <w:rFonts w:ascii="Segoe UI" w:eastAsia="Times New Roman" w:hAnsi="Segoe UI" w:cs="Segoe UI"/>
          <w:color w:val="0D0D0D"/>
          <w:sz w:val="24"/>
          <w:szCs w:val="24"/>
          <w:lang w:eastAsia="en-IN"/>
        </w:rPr>
        <w:t> </w:t>
      </w:r>
      <w:r w:rsidRPr="00954E40">
        <w:rPr>
          <w:rFonts w:ascii="Segoe UI" w:eastAsia="Times New Roman" w:hAnsi="Segoe UI" w:cs="Segoe UI"/>
          <w:color w:val="0D0D0D"/>
          <w:sz w:val="24"/>
          <w:szCs w:val="24"/>
          <w:lang w:eastAsia="en-IN"/>
        </w:rPr>
        <w:t xml:space="preserve">will witness a robust </w:t>
      </w:r>
      <w:r w:rsidRPr="00954E40">
        <w:rPr>
          <w:rFonts w:ascii="Segoe UI" w:eastAsia="Times New Roman" w:hAnsi="Segoe UI" w:cs="Segoe UI"/>
          <w:b/>
          <w:bCs/>
          <w:color w:val="0D0D0D"/>
          <w:sz w:val="24"/>
          <w:szCs w:val="24"/>
          <w:lang w:eastAsia="en-IN"/>
        </w:rPr>
        <w:t>CAGR of 6.8%</w:t>
      </w:r>
      <w:r w:rsidRPr="00954E40">
        <w:rPr>
          <w:rFonts w:ascii="Segoe UI" w:eastAsia="Times New Roman" w:hAnsi="Segoe UI" w:cs="Segoe UI"/>
          <w:color w:val="0D0D0D"/>
          <w:sz w:val="24"/>
          <w:szCs w:val="24"/>
          <w:lang w:eastAsia="en-IN"/>
        </w:rPr>
        <w:t>, valued at </w:t>
      </w:r>
      <w:r w:rsidRPr="00954E40">
        <w:rPr>
          <w:rFonts w:ascii="Segoe UI" w:eastAsia="Times New Roman" w:hAnsi="Segoe UI" w:cs="Segoe UI"/>
          <w:b/>
          <w:bCs/>
          <w:color w:val="0D0D0D"/>
          <w:sz w:val="24"/>
          <w:szCs w:val="24"/>
          <w:lang w:eastAsia="en-IN"/>
        </w:rPr>
        <w:t>$</w:t>
      </w:r>
      <w:r w:rsidR="00AC2AC6">
        <w:rPr>
          <w:rFonts w:ascii="Segoe UI" w:eastAsia="Times New Roman" w:hAnsi="Segoe UI" w:cs="Segoe UI"/>
          <w:b/>
          <w:bCs/>
          <w:color w:val="0D0D0D"/>
          <w:sz w:val="24"/>
          <w:szCs w:val="24"/>
          <w:lang w:eastAsia="en-IN"/>
        </w:rPr>
        <w:t>4.2</w:t>
      </w:r>
      <w:r w:rsidRPr="00954E40">
        <w:rPr>
          <w:rFonts w:ascii="Segoe UI" w:eastAsia="Times New Roman" w:hAnsi="Segoe UI" w:cs="Segoe UI"/>
          <w:b/>
          <w:bCs/>
          <w:color w:val="0D0D0D"/>
          <w:sz w:val="24"/>
          <w:szCs w:val="24"/>
          <w:lang w:eastAsia="en-IN"/>
        </w:rPr>
        <w:t xml:space="preserve"> billion in 2024</w:t>
      </w:r>
      <w:r w:rsidRPr="00954E40">
        <w:rPr>
          <w:rFonts w:ascii="Segoe UI" w:eastAsia="Times New Roman" w:hAnsi="Segoe UI" w:cs="Segoe UI"/>
          <w:color w:val="0D0D0D"/>
          <w:sz w:val="24"/>
          <w:szCs w:val="24"/>
          <w:lang w:eastAsia="en-IN"/>
        </w:rPr>
        <w:t>, and is expected to appreciate and reach </w:t>
      </w:r>
      <w:r w:rsidRPr="00954E40">
        <w:rPr>
          <w:rFonts w:ascii="Segoe UI" w:eastAsia="Times New Roman" w:hAnsi="Segoe UI" w:cs="Segoe UI"/>
          <w:b/>
          <w:bCs/>
          <w:color w:val="0D0D0D"/>
          <w:sz w:val="24"/>
          <w:szCs w:val="24"/>
          <w:lang w:eastAsia="en-IN"/>
        </w:rPr>
        <w:t>$</w:t>
      </w:r>
      <w:r w:rsidR="00AC2AC6">
        <w:rPr>
          <w:rFonts w:ascii="Segoe UI" w:eastAsia="Times New Roman" w:hAnsi="Segoe UI" w:cs="Segoe UI"/>
          <w:b/>
          <w:bCs/>
          <w:color w:val="0D0D0D"/>
          <w:sz w:val="24"/>
          <w:szCs w:val="24"/>
          <w:lang w:eastAsia="en-IN"/>
        </w:rPr>
        <w:t>6.23</w:t>
      </w:r>
      <w:r w:rsidRPr="00954E40">
        <w:rPr>
          <w:rFonts w:ascii="Segoe UI" w:eastAsia="Times New Roman" w:hAnsi="Segoe UI" w:cs="Segoe UI"/>
          <w:b/>
          <w:bCs/>
          <w:color w:val="0D0D0D"/>
          <w:sz w:val="24"/>
          <w:szCs w:val="24"/>
          <w:lang w:eastAsia="en-IN"/>
        </w:rPr>
        <w:t xml:space="preserve"> billion by 2030</w:t>
      </w:r>
      <w:r w:rsidRPr="00954E40">
        <w:rPr>
          <w:rFonts w:ascii="Segoe UI" w:eastAsia="Times New Roman" w:hAnsi="Segoe UI" w:cs="Segoe UI"/>
          <w:color w:val="0D0D0D"/>
          <w:sz w:val="24"/>
          <w:szCs w:val="24"/>
          <w:lang w:eastAsia="en-IN"/>
        </w:rPr>
        <w:t>, confirms Strategic Market Research.</w:t>
      </w:r>
    </w:p>
    <w:p w14:paraId="5EAE2C47" w14:textId="77777777" w:rsidR="00954E40" w:rsidRPr="00954E40" w:rsidRDefault="00954E40" w:rsidP="00954E4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Electrophoresis is a core analytical and preparative technique used in genomics, proteomics, drug development, and quality control across the pharmaceutical, biotechnology, and academic research sectors. This market encapsulates a broad range of instruments, consumables, and software platforms designed for the separation and analysis of DNA, RNA, and proteins based on their size and charge under an electric field.</w:t>
      </w:r>
    </w:p>
    <w:p w14:paraId="5AE57F2D" w14:textId="77777777" w:rsidR="00954E40" w:rsidRPr="00954E40" w:rsidRDefault="00954E40" w:rsidP="00954E4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strategic relevance of electrophoresis has intensified between 2024 and 2030 due to several macro forces:</w:t>
      </w:r>
    </w:p>
    <w:p w14:paraId="314CC3F4" w14:textId="77777777" w:rsidR="00954E40" w:rsidRPr="00954E40" w:rsidRDefault="00954E40" w:rsidP="00954E4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Molecular diagnostics expansion</w:t>
      </w:r>
      <w:r w:rsidRPr="00954E40">
        <w:rPr>
          <w:rFonts w:ascii="Segoe UI" w:eastAsia="Times New Roman" w:hAnsi="Segoe UI" w:cs="Segoe UI"/>
          <w:color w:val="0D0D0D"/>
          <w:sz w:val="24"/>
          <w:szCs w:val="24"/>
          <w:lang w:eastAsia="en-IN"/>
        </w:rPr>
        <w:t>: Rising demand for genetic testing, forensic identification, and infectious disease screening is accelerating the use of electrophoretic systems.</w:t>
      </w:r>
    </w:p>
    <w:p w14:paraId="690642FA" w14:textId="77777777" w:rsidR="00954E40" w:rsidRPr="00954E40" w:rsidRDefault="00954E40" w:rsidP="00954E4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Biologics and biosimilars boom</w:t>
      </w:r>
      <w:r w:rsidRPr="00954E40">
        <w:rPr>
          <w:rFonts w:ascii="Segoe UI" w:eastAsia="Times New Roman" w:hAnsi="Segoe UI" w:cs="Segoe UI"/>
          <w:color w:val="0D0D0D"/>
          <w:sz w:val="24"/>
          <w:szCs w:val="24"/>
          <w:lang w:eastAsia="en-IN"/>
        </w:rPr>
        <w:t>: Biopharma companies are increasing their reliance on electrophoresis for purity assessment and process validation.</w:t>
      </w:r>
    </w:p>
    <w:p w14:paraId="30445AC5" w14:textId="77777777" w:rsidR="00954E40" w:rsidRPr="00954E40" w:rsidRDefault="00954E40" w:rsidP="00954E4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Advancements in portable electrophoresis platforms</w:t>
      </w:r>
      <w:r w:rsidRPr="00954E40">
        <w:rPr>
          <w:rFonts w:ascii="Segoe UI" w:eastAsia="Times New Roman" w:hAnsi="Segoe UI" w:cs="Segoe UI"/>
          <w:color w:val="0D0D0D"/>
          <w:sz w:val="24"/>
          <w:szCs w:val="24"/>
          <w:lang w:eastAsia="en-IN"/>
        </w:rPr>
        <w:t>: Miniaturized and point-of-care (POC) electrophoresis devices are making inroads into decentralized healthcare and veterinary diagnostics.</w:t>
      </w:r>
    </w:p>
    <w:p w14:paraId="495B0B43" w14:textId="77777777" w:rsidR="00954E40" w:rsidRPr="00954E40" w:rsidRDefault="00954E40" w:rsidP="00954E4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Regulatory pressure for quality assurance</w:t>
      </w:r>
      <w:r w:rsidRPr="00954E40">
        <w:rPr>
          <w:rFonts w:ascii="Segoe UI" w:eastAsia="Times New Roman" w:hAnsi="Segoe UI" w:cs="Segoe UI"/>
          <w:color w:val="0D0D0D"/>
          <w:sz w:val="24"/>
          <w:szCs w:val="24"/>
          <w:lang w:eastAsia="en-IN"/>
        </w:rPr>
        <w:t xml:space="preserve">: Agencies such as the FDA and EMA </w:t>
      </w:r>
      <w:proofErr w:type="gramStart"/>
      <w:r w:rsidRPr="00954E40">
        <w:rPr>
          <w:rFonts w:ascii="Segoe UI" w:eastAsia="Times New Roman" w:hAnsi="Segoe UI" w:cs="Segoe UI"/>
          <w:color w:val="0D0D0D"/>
          <w:sz w:val="24"/>
          <w:szCs w:val="24"/>
          <w:lang w:eastAsia="en-IN"/>
        </w:rPr>
        <w:t>continue</w:t>
      </w:r>
      <w:proofErr w:type="gramEnd"/>
      <w:r w:rsidRPr="00954E40">
        <w:rPr>
          <w:rFonts w:ascii="Segoe UI" w:eastAsia="Times New Roman" w:hAnsi="Segoe UI" w:cs="Segoe UI"/>
          <w:color w:val="0D0D0D"/>
          <w:sz w:val="24"/>
          <w:szCs w:val="24"/>
          <w:lang w:eastAsia="en-IN"/>
        </w:rPr>
        <w:t xml:space="preserve"> to push for high-resolution methods in drug approval workflows, of which electrophoresis is central.</w:t>
      </w:r>
    </w:p>
    <w:p w14:paraId="44CBDF0F"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market’s foundation lies in the demand for </w:t>
      </w:r>
      <w:r w:rsidRPr="00954E40">
        <w:rPr>
          <w:rFonts w:ascii="Segoe UI" w:eastAsia="Times New Roman" w:hAnsi="Segoe UI" w:cs="Segoe UI"/>
          <w:b/>
          <w:bCs/>
          <w:color w:val="0D0D0D"/>
          <w:sz w:val="24"/>
          <w:szCs w:val="24"/>
          <w:lang w:eastAsia="en-IN"/>
        </w:rPr>
        <w:t>gel electrophoresis</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capillary electrophoresis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microfluidics-based platforms</w:t>
      </w:r>
      <w:r w:rsidRPr="00954E40">
        <w:rPr>
          <w:rFonts w:ascii="Segoe UI" w:eastAsia="Times New Roman" w:hAnsi="Segoe UI" w:cs="Segoe UI"/>
          <w:color w:val="0D0D0D"/>
          <w:sz w:val="24"/>
          <w:szCs w:val="24"/>
          <w:lang w:eastAsia="en-IN"/>
        </w:rPr>
        <w:t>. Emerging hybrid systems that integrate electrophoresis with mass spectrometry and next-generation sequencing tools are set to redefine analytical workflows.</w:t>
      </w:r>
    </w:p>
    <w:p w14:paraId="5C39147F" w14:textId="77777777" w:rsidR="00954E40" w:rsidRPr="00954E40" w:rsidRDefault="00954E40" w:rsidP="00954E4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Key stakeholders in the electrophoresis ecosystem include:</w:t>
      </w:r>
    </w:p>
    <w:p w14:paraId="14D42202" w14:textId="77777777" w:rsidR="00954E40" w:rsidRPr="00954E40" w:rsidRDefault="00954E40" w:rsidP="00954E4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OEMs and instrument manufacturers</w:t>
      </w:r>
      <w:r w:rsidRPr="00954E40">
        <w:rPr>
          <w:rFonts w:ascii="Segoe UI" w:eastAsia="Times New Roman" w:hAnsi="Segoe UI" w:cs="Segoe UI"/>
          <w:color w:val="0D0D0D"/>
          <w:sz w:val="24"/>
          <w:szCs w:val="24"/>
          <w:lang w:eastAsia="en-IN"/>
        </w:rPr>
        <w:t> (e.g., equipment, reagents, imaging systems)</w:t>
      </w:r>
    </w:p>
    <w:p w14:paraId="29296059" w14:textId="77777777" w:rsidR="00954E40" w:rsidRPr="00954E40" w:rsidRDefault="00954E40" w:rsidP="00954E4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Biotech and pharmaceutical companies</w:t>
      </w:r>
    </w:p>
    <w:p w14:paraId="336203F5" w14:textId="77777777" w:rsidR="00954E40" w:rsidRPr="00954E40" w:rsidRDefault="00954E40" w:rsidP="00954E4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Academic and research laboratories</w:t>
      </w:r>
    </w:p>
    <w:p w14:paraId="523EAEBC" w14:textId="77777777" w:rsidR="00954E40" w:rsidRPr="00954E40" w:rsidRDefault="00954E40" w:rsidP="00954E4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Healthcare providers using molecular diagnostics</w:t>
      </w:r>
    </w:p>
    <w:p w14:paraId="49C24F3E" w14:textId="77777777" w:rsidR="00954E40" w:rsidRPr="00954E40" w:rsidRDefault="00954E40" w:rsidP="00954E4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Regulatory bodies and forensic departments</w:t>
      </w:r>
    </w:p>
    <w:p w14:paraId="3E66DB69" w14:textId="77777777" w:rsidR="00954E40" w:rsidRPr="00954E40" w:rsidRDefault="00954E40" w:rsidP="00954E4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Venture capitalists and institutional investors</w:t>
      </w:r>
      <w:r w:rsidRPr="00954E40">
        <w:rPr>
          <w:rFonts w:ascii="Segoe UI" w:eastAsia="Times New Roman" w:hAnsi="Segoe UI" w:cs="Segoe UI"/>
          <w:color w:val="0D0D0D"/>
          <w:sz w:val="24"/>
          <w:szCs w:val="24"/>
          <w:lang w:eastAsia="en-IN"/>
        </w:rPr>
        <w:t> in life sciences</w:t>
      </w:r>
    </w:p>
    <w:p w14:paraId="0AFC157A"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lastRenderedPageBreak/>
        <w:t>As the molecular understanding of diseases deepens and precision medicine accelerates, electrophoresis remains an irreplaceable technique — evolving not just in form but also in strategic significance.</w:t>
      </w:r>
    </w:p>
    <w:p w14:paraId="757C17E1"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t>2. Market Segmentation and Forecast Scope</w:t>
      </w:r>
    </w:p>
    <w:p w14:paraId="34AD18C9"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electrophoresis market can be comprehensively segmented by </w:t>
      </w:r>
      <w:r w:rsidRPr="00954E40">
        <w:rPr>
          <w:rFonts w:ascii="Segoe UI" w:eastAsia="Times New Roman" w:hAnsi="Segoe UI" w:cs="Segoe UI"/>
          <w:b/>
          <w:bCs/>
          <w:color w:val="0D0D0D"/>
          <w:sz w:val="24"/>
          <w:szCs w:val="24"/>
          <w:lang w:eastAsia="en-IN"/>
        </w:rPr>
        <w:t>Product Type</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Application</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End User</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Region</w:t>
      </w:r>
      <w:r w:rsidRPr="00954E40">
        <w:rPr>
          <w:rFonts w:ascii="Segoe UI" w:eastAsia="Times New Roman" w:hAnsi="Segoe UI" w:cs="Segoe UI"/>
          <w:color w:val="0D0D0D"/>
          <w:sz w:val="24"/>
          <w:szCs w:val="24"/>
          <w:lang w:eastAsia="en-IN"/>
        </w:rPr>
        <w:t>. These dimensions reflect the commercial structure and growth drivers of the market from 2024 to 2030.</w:t>
      </w:r>
    </w:p>
    <w:p w14:paraId="6F9CAF35"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34D18B3E">
          <v:rect id="_x0000_i1239" style="width:0;height:0" o:hralign="center" o:hrstd="t" o:hrnoshade="t" o:hr="t" fillcolor="#0d0d0d" stroked="f"/>
        </w:pict>
      </w:r>
    </w:p>
    <w:p w14:paraId="68FA7C70"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By Product Type</w:t>
      </w:r>
    </w:p>
    <w:p w14:paraId="6C84BC03" w14:textId="77777777" w:rsidR="00954E40" w:rsidRPr="00954E40" w:rsidRDefault="00954E40" w:rsidP="00954E4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Gel Electrophoresis</w:t>
      </w:r>
    </w:p>
    <w:p w14:paraId="3B2DAB70" w14:textId="77777777" w:rsidR="00954E40" w:rsidRPr="00954E40" w:rsidRDefault="00954E40" w:rsidP="00954E40">
      <w:pPr>
        <w:numPr>
          <w:ilvl w:val="1"/>
          <w:numId w:val="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Agarose Gel Electrophoresis</w:t>
      </w:r>
    </w:p>
    <w:p w14:paraId="6216B456" w14:textId="77777777" w:rsidR="00954E40" w:rsidRPr="00954E40" w:rsidRDefault="00954E40" w:rsidP="00954E40">
      <w:pPr>
        <w:numPr>
          <w:ilvl w:val="1"/>
          <w:numId w:val="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Polyacrylamide Gel Electrophoresis (PAGE)</w:t>
      </w:r>
    </w:p>
    <w:p w14:paraId="1C11407B" w14:textId="77777777" w:rsidR="00954E40" w:rsidRPr="00954E40" w:rsidRDefault="00954E40" w:rsidP="00954E4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Capillary Electrophoresis</w:t>
      </w:r>
    </w:p>
    <w:p w14:paraId="5CE35E1D" w14:textId="77777777" w:rsidR="00954E40" w:rsidRPr="00954E40" w:rsidRDefault="00954E40" w:rsidP="00954E4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Microfluidics-based Electrophoresis</w:t>
      </w:r>
    </w:p>
    <w:p w14:paraId="199E578D" w14:textId="77777777" w:rsidR="00954E40" w:rsidRPr="00954E40" w:rsidRDefault="00954E40" w:rsidP="00954E4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Reagents and Consumables</w:t>
      </w:r>
    </w:p>
    <w:p w14:paraId="6A918DF8" w14:textId="77777777" w:rsidR="00954E40" w:rsidRPr="00954E40" w:rsidRDefault="00954E40" w:rsidP="00954E4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Software and Imaging Systems</w:t>
      </w:r>
    </w:p>
    <w:p w14:paraId="6D004373"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Among these, </w:t>
      </w:r>
      <w:r w:rsidRPr="00954E40">
        <w:rPr>
          <w:rFonts w:ascii="Segoe UI" w:eastAsia="Times New Roman" w:hAnsi="Segoe UI" w:cs="Segoe UI"/>
          <w:b/>
          <w:bCs/>
          <w:color w:val="0D0D0D"/>
          <w:sz w:val="24"/>
          <w:szCs w:val="24"/>
          <w:lang w:eastAsia="en-IN"/>
        </w:rPr>
        <w:t>Capillary Electrophoresis</w:t>
      </w:r>
      <w:r w:rsidRPr="00954E40">
        <w:rPr>
          <w:rFonts w:ascii="Segoe UI" w:eastAsia="Times New Roman" w:hAnsi="Segoe UI" w:cs="Segoe UI"/>
          <w:color w:val="0D0D0D"/>
          <w:sz w:val="24"/>
          <w:szCs w:val="24"/>
          <w:lang w:eastAsia="en-IN"/>
        </w:rPr>
        <w:t> accounted for approximately </w:t>
      </w:r>
      <w:r w:rsidRPr="00954E40">
        <w:rPr>
          <w:rFonts w:ascii="Segoe UI" w:eastAsia="Times New Roman" w:hAnsi="Segoe UI" w:cs="Segoe UI"/>
          <w:b/>
          <w:bCs/>
          <w:color w:val="0D0D0D"/>
          <w:sz w:val="24"/>
          <w:szCs w:val="24"/>
          <w:lang w:eastAsia="en-IN"/>
        </w:rPr>
        <w:t>34% of the market share in 2024</w:t>
      </w:r>
      <w:r w:rsidRPr="00954E40">
        <w:rPr>
          <w:rFonts w:ascii="Segoe UI" w:eastAsia="Times New Roman" w:hAnsi="Segoe UI" w:cs="Segoe UI"/>
          <w:color w:val="0D0D0D"/>
          <w:sz w:val="24"/>
          <w:szCs w:val="24"/>
          <w:lang w:eastAsia="en-IN"/>
        </w:rPr>
        <w:t>, owing to its high precision, automation compatibility, and integration into pharmaceutical quality control pipelines. However, the </w:t>
      </w:r>
      <w:r w:rsidRPr="00954E40">
        <w:rPr>
          <w:rFonts w:ascii="Segoe UI" w:eastAsia="Times New Roman" w:hAnsi="Segoe UI" w:cs="Segoe UI"/>
          <w:b/>
          <w:bCs/>
          <w:color w:val="0D0D0D"/>
          <w:sz w:val="24"/>
          <w:szCs w:val="24"/>
          <w:lang w:eastAsia="en-IN"/>
        </w:rPr>
        <w:t>Microfluidics-based Electrophoresis</w:t>
      </w:r>
      <w:r w:rsidRPr="00954E40">
        <w:rPr>
          <w:rFonts w:ascii="Segoe UI" w:eastAsia="Times New Roman" w:hAnsi="Segoe UI" w:cs="Segoe UI"/>
          <w:color w:val="0D0D0D"/>
          <w:sz w:val="24"/>
          <w:szCs w:val="24"/>
          <w:lang w:eastAsia="en-IN"/>
        </w:rPr>
        <w:t> segment is expected to witness the </w:t>
      </w:r>
      <w:r w:rsidRPr="00954E40">
        <w:rPr>
          <w:rFonts w:ascii="Segoe UI" w:eastAsia="Times New Roman" w:hAnsi="Segoe UI" w:cs="Segoe UI"/>
          <w:b/>
          <w:bCs/>
          <w:color w:val="0D0D0D"/>
          <w:sz w:val="24"/>
          <w:szCs w:val="24"/>
          <w:lang w:eastAsia="en-IN"/>
        </w:rPr>
        <w:t>fastest growth</w:t>
      </w:r>
      <w:r w:rsidRPr="00954E40">
        <w:rPr>
          <w:rFonts w:ascii="Segoe UI" w:eastAsia="Times New Roman" w:hAnsi="Segoe UI" w:cs="Segoe UI"/>
          <w:color w:val="0D0D0D"/>
          <w:sz w:val="24"/>
          <w:szCs w:val="24"/>
          <w:lang w:eastAsia="en-IN"/>
        </w:rPr>
        <w:t>, driven by its suitability for point-of-care applications and lab-on-a-chip diagnostics.</w:t>
      </w:r>
    </w:p>
    <w:p w14:paraId="3E28833F"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65D79533">
          <v:rect id="_x0000_i1240" style="width:0;height:0" o:hralign="center" o:hrstd="t" o:hrnoshade="t" o:hr="t" fillcolor="#0d0d0d" stroked="f"/>
        </w:pict>
      </w:r>
    </w:p>
    <w:p w14:paraId="333FD417"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By Application</w:t>
      </w:r>
    </w:p>
    <w:p w14:paraId="32B845C8" w14:textId="77777777" w:rsidR="00954E40" w:rsidRPr="00954E40" w:rsidRDefault="00954E40" w:rsidP="00954E4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Research</w:t>
      </w:r>
    </w:p>
    <w:p w14:paraId="6259D1CF" w14:textId="77777777" w:rsidR="00954E40" w:rsidRPr="00954E40" w:rsidRDefault="00954E40" w:rsidP="00954E40">
      <w:pPr>
        <w:numPr>
          <w:ilvl w:val="1"/>
          <w:numId w:val="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Genomics and Proteomics</w:t>
      </w:r>
    </w:p>
    <w:p w14:paraId="2AD2EF55" w14:textId="77777777" w:rsidR="00954E40" w:rsidRPr="00954E40" w:rsidRDefault="00954E40" w:rsidP="00954E4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Clinical Diagnostics</w:t>
      </w:r>
    </w:p>
    <w:p w14:paraId="79345064" w14:textId="77777777" w:rsidR="00954E40" w:rsidRPr="00954E40" w:rsidRDefault="00954E40" w:rsidP="00954E4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Quality Control and Process Validation</w:t>
      </w:r>
    </w:p>
    <w:p w14:paraId="66FCF53A" w14:textId="77777777" w:rsidR="00954E40" w:rsidRPr="00954E40" w:rsidRDefault="00954E40" w:rsidP="00954E4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Forensic and Environmental Testing</w:t>
      </w:r>
    </w:p>
    <w:p w14:paraId="1158974D"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lastRenderedPageBreak/>
        <w:t>Electrophoresis in clinical diagnostics is seeing a spike, especially for hemoglobinopathies, monoclonal gammopathies, and infectious disease detection, contributing to high year-on-year growth in this segment.</w:t>
      </w:r>
    </w:p>
    <w:p w14:paraId="0EB127AA"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1A83B0E7">
          <v:rect id="_x0000_i1241" style="width:0;height:0" o:hralign="center" o:hrstd="t" o:hrnoshade="t" o:hr="t" fillcolor="#0d0d0d" stroked="f"/>
        </w:pict>
      </w:r>
    </w:p>
    <w:p w14:paraId="3D4B4B32"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By End User</w:t>
      </w:r>
    </w:p>
    <w:p w14:paraId="0C909DFA" w14:textId="77777777" w:rsidR="00954E40" w:rsidRPr="00954E40" w:rsidRDefault="00954E40" w:rsidP="00954E4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Academic and Research Institutions</w:t>
      </w:r>
    </w:p>
    <w:p w14:paraId="23092703" w14:textId="77777777" w:rsidR="00954E40" w:rsidRPr="00954E40" w:rsidRDefault="00954E40" w:rsidP="00954E4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Pharmaceutical and Biotechnology Companies</w:t>
      </w:r>
    </w:p>
    <w:p w14:paraId="312A517E" w14:textId="77777777" w:rsidR="00954E40" w:rsidRPr="00954E40" w:rsidRDefault="00954E40" w:rsidP="00954E4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Hospitals and Clinical Laboratories</w:t>
      </w:r>
    </w:p>
    <w:p w14:paraId="3F85197A" w14:textId="77777777" w:rsidR="00954E40" w:rsidRPr="00954E40" w:rsidRDefault="00954E40" w:rsidP="00954E4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Forensic Laboratories</w:t>
      </w:r>
    </w:p>
    <w:p w14:paraId="702F3AD4" w14:textId="77777777" w:rsidR="00954E40" w:rsidRPr="00954E40" w:rsidRDefault="00954E40" w:rsidP="00954E4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Environmental Testing Agencies</w:t>
      </w:r>
    </w:p>
    <w:p w14:paraId="5EF0CB3A"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Academic and research institutions</w:t>
      </w:r>
      <w:r w:rsidRPr="00954E40">
        <w:rPr>
          <w:rFonts w:ascii="Segoe UI" w:eastAsia="Times New Roman" w:hAnsi="Segoe UI" w:cs="Segoe UI"/>
          <w:color w:val="0D0D0D"/>
          <w:sz w:val="24"/>
          <w:szCs w:val="24"/>
          <w:lang w:eastAsia="en-IN"/>
        </w:rPr>
        <w:t> remain dominant end users, accounting for substantial instrument and reagent demand, particularly in developing economies with growing research funding. On the other hand, </w:t>
      </w:r>
      <w:r w:rsidRPr="00954E40">
        <w:rPr>
          <w:rFonts w:ascii="Segoe UI" w:eastAsia="Times New Roman" w:hAnsi="Segoe UI" w:cs="Segoe UI"/>
          <w:b/>
          <w:bCs/>
          <w:color w:val="0D0D0D"/>
          <w:sz w:val="24"/>
          <w:szCs w:val="24"/>
          <w:lang w:eastAsia="en-IN"/>
        </w:rPr>
        <w:t>clinical laboratories</w:t>
      </w:r>
      <w:r w:rsidRPr="00954E40">
        <w:rPr>
          <w:rFonts w:ascii="Segoe UI" w:eastAsia="Times New Roman" w:hAnsi="Segoe UI" w:cs="Segoe UI"/>
          <w:color w:val="0D0D0D"/>
          <w:sz w:val="24"/>
          <w:szCs w:val="24"/>
          <w:lang w:eastAsia="en-IN"/>
        </w:rPr>
        <w:t> are projected to grow steadily due to the rising prevalence of lifestyle and genetic disorders requiring protein analysis.</w:t>
      </w:r>
    </w:p>
    <w:p w14:paraId="56B165C8"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9264C8F">
          <v:rect id="_x0000_i1242" style="width:0;height:0" o:hralign="center" o:hrstd="t" o:hrnoshade="t" o:hr="t" fillcolor="#0d0d0d" stroked="f"/>
        </w:pict>
      </w:r>
    </w:p>
    <w:p w14:paraId="6E9A9134"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By Region</w:t>
      </w:r>
    </w:p>
    <w:p w14:paraId="3AC17924" w14:textId="77777777" w:rsidR="00954E40" w:rsidRPr="00954E40" w:rsidRDefault="00954E40" w:rsidP="00954E4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North America</w:t>
      </w:r>
    </w:p>
    <w:p w14:paraId="2B5140A8" w14:textId="77777777" w:rsidR="00954E40" w:rsidRPr="00954E40" w:rsidRDefault="00954E40" w:rsidP="00954E4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Europe</w:t>
      </w:r>
    </w:p>
    <w:p w14:paraId="672A3A0E" w14:textId="77777777" w:rsidR="00954E40" w:rsidRPr="00954E40" w:rsidRDefault="00954E40" w:rsidP="00954E4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Asia Pacific</w:t>
      </w:r>
    </w:p>
    <w:p w14:paraId="5A0220CC" w14:textId="77777777" w:rsidR="00954E40" w:rsidRPr="00954E40" w:rsidRDefault="00954E40" w:rsidP="00954E4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Latin America</w:t>
      </w:r>
    </w:p>
    <w:p w14:paraId="1EB119AA" w14:textId="77777777" w:rsidR="00954E40" w:rsidRPr="00954E40" w:rsidRDefault="00954E40" w:rsidP="00954E4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Middle East and Africa</w:t>
      </w:r>
    </w:p>
    <w:p w14:paraId="0B324349"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In 2024, </w:t>
      </w:r>
      <w:r w:rsidRPr="00954E40">
        <w:rPr>
          <w:rFonts w:ascii="Segoe UI" w:eastAsia="Times New Roman" w:hAnsi="Segoe UI" w:cs="Segoe UI"/>
          <w:b/>
          <w:bCs/>
          <w:color w:val="0D0D0D"/>
          <w:sz w:val="24"/>
          <w:szCs w:val="24"/>
          <w:lang w:eastAsia="en-IN"/>
        </w:rPr>
        <w:t>North America</w:t>
      </w:r>
      <w:r w:rsidRPr="00954E40">
        <w:rPr>
          <w:rFonts w:ascii="Segoe UI" w:eastAsia="Times New Roman" w:hAnsi="Segoe UI" w:cs="Segoe UI"/>
          <w:color w:val="0D0D0D"/>
          <w:sz w:val="24"/>
          <w:szCs w:val="24"/>
          <w:lang w:eastAsia="en-IN"/>
        </w:rPr>
        <w:t> held the largest share due to strong investments in biotechnology R&amp;D and a mature pharmaceutical industry. However, </w:t>
      </w:r>
      <w:r w:rsidRPr="00954E40">
        <w:rPr>
          <w:rFonts w:ascii="Segoe UI" w:eastAsia="Times New Roman" w:hAnsi="Segoe UI" w:cs="Segoe UI"/>
          <w:b/>
          <w:bCs/>
          <w:color w:val="0D0D0D"/>
          <w:sz w:val="24"/>
          <w:szCs w:val="24"/>
          <w:lang w:eastAsia="en-IN"/>
        </w:rPr>
        <w:t>Asia Pacific</w:t>
      </w:r>
      <w:r w:rsidRPr="00954E40">
        <w:rPr>
          <w:rFonts w:ascii="Segoe UI" w:eastAsia="Times New Roman" w:hAnsi="Segoe UI" w:cs="Segoe UI"/>
          <w:color w:val="0D0D0D"/>
          <w:sz w:val="24"/>
          <w:szCs w:val="24"/>
          <w:lang w:eastAsia="en-IN"/>
        </w:rPr>
        <w:t> is anticipated to grow at the </w:t>
      </w:r>
      <w:r w:rsidRPr="00954E40">
        <w:rPr>
          <w:rFonts w:ascii="Segoe UI" w:eastAsia="Times New Roman" w:hAnsi="Segoe UI" w:cs="Segoe UI"/>
          <w:b/>
          <w:bCs/>
          <w:color w:val="0D0D0D"/>
          <w:sz w:val="24"/>
          <w:szCs w:val="24"/>
          <w:lang w:eastAsia="en-IN"/>
        </w:rPr>
        <w:t>fastest CAGR</w:t>
      </w:r>
      <w:r w:rsidRPr="00954E40">
        <w:rPr>
          <w:rFonts w:ascii="Segoe UI" w:eastAsia="Times New Roman" w:hAnsi="Segoe UI" w:cs="Segoe UI"/>
          <w:color w:val="0D0D0D"/>
          <w:sz w:val="24"/>
          <w:szCs w:val="24"/>
          <w:lang w:eastAsia="en-IN"/>
        </w:rPr>
        <w:t xml:space="preserve">, supported by rising research activity in China and India, expanding diagnostics labs, and </w:t>
      </w:r>
      <w:proofErr w:type="spellStart"/>
      <w:r w:rsidRPr="00954E40">
        <w:rPr>
          <w:rFonts w:ascii="Segoe UI" w:eastAsia="Times New Roman" w:hAnsi="Segoe UI" w:cs="Segoe UI"/>
          <w:color w:val="0D0D0D"/>
          <w:sz w:val="24"/>
          <w:szCs w:val="24"/>
          <w:lang w:eastAsia="en-IN"/>
        </w:rPr>
        <w:t>favorable</w:t>
      </w:r>
      <w:proofErr w:type="spellEnd"/>
      <w:r w:rsidRPr="00954E40">
        <w:rPr>
          <w:rFonts w:ascii="Segoe UI" w:eastAsia="Times New Roman" w:hAnsi="Segoe UI" w:cs="Segoe UI"/>
          <w:color w:val="0D0D0D"/>
          <w:sz w:val="24"/>
          <w:szCs w:val="24"/>
          <w:lang w:eastAsia="en-IN"/>
        </w:rPr>
        <w:t xml:space="preserve"> government initiatives.</w:t>
      </w:r>
    </w:p>
    <w:p w14:paraId="224C07A9"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5D53DE18">
          <v:rect id="_x0000_i1243" style="width:0;height:0" o:hralign="center" o:hrstd="t" o:hrnoshade="t" o:hr="t" fillcolor="#0d0d0d" stroked="f"/>
        </w:pict>
      </w:r>
    </w:p>
    <w:p w14:paraId="59CEA474"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lastRenderedPageBreak/>
        <w:t>This segmentation framework ensures a detailed understanding of electrophoresis adoption across laboratory workflows, geographic zones, and commercial applications.</w:t>
      </w:r>
    </w:p>
    <w:p w14:paraId="0C883449"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t>3. Market Trends and Innovation Landscape</w:t>
      </w:r>
    </w:p>
    <w:p w14:paraId="604A8AC4"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 xml:space="preserve">The electrophoresis market is undergoing transformative innovation, largely </w:t>
      </w:r>
      <w:proofErr w:type="spellStart"/>
      <w:r w:rsidRPr="00954E40">
        <w:rPr>
          <w:rFonts w:ascii="Segoe UI" w:eastAsia="Times New Roman" w:hAnsi="Segoe UI" w:cs="Segoe UI"/>
          <w:color w:val="0D0D0D"/>
          <w:sz w:val="24"/>
          <w:szCs w:val="24"/>
          <w:lang w:eastAsia="en-IN"/>
        </w:rPr>
        <w:t>fueled</w:t>
      </w:r>
      <w:proofErr w:type="spellEnd"/>
      <w:r w:rsidRPr="00954E40">
        <w:rPr>
          <w:rFonts w:ascii="Segoe UI" w:eastAsia="Times New Roman" w:hAnsi="Segoe UI" w:cs="Segoe UI"/>
          <w:color w:val="0D0D0D"/>
          <w:sz w:val="24"/>
          <w:szCs w:val="24"/>
          <w:lang w:eastAsia="en-IN"/>
        </w:rPr>
        <w:t xml:space="preserve"> by the convergence of </w:t>
      </w:r>
      <w:r w:rsidRPr="00954E40">
        <w:rPr>
          <w:rFonts w:ascii="Segoe UI" w:eastAsia="Times New Roman" w:hAnsi="Segoe UI" w:cs="Segoe UI"/>
          <w:b/>
          <w:bCs/>
          <w:color w:val="0D0D0D"/>
          <w:sz w:val="24"/>
          <w:szCs w:val="24"/>
          <w:lang w:eastAsia="en-IN"/>
        </w:rPr>
        <w:t>automation, miniaturization, and data integration</w:t>
      </w:r>
      <w:r w:rsidRPr="00954E40">
        <w:rPr>
          <w:rFonts w:ascii="Segoe UI" w:eastAsia="Times New Roman" w:hAnsi="Segoe UI" w:cs="Segoe UI"/>
          <w:color w:val="0D0D0D"/>
          <w:sz w:val="24"/>
          <w:szCs w:val="24"/>
          <w:lang w:eastAsia="en-IN"/>
        </w:rPr>
        <w:t>. These trends are redefining how scientists, diagnosticians, and quality controllers use electrophoresis technologies across varied sectors.</w:t>
      </w:r>
    </w:p>
    <w:p w14:paraId="26BA6E86"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2CBC2F02">
          <v:rect id="_x0000_i1244" style="width:0;height:0" o:hralign="center" o:hrstd="t" o:hrnoshade="t" o:hr="t" fillcolor="#0d0d0d" stroked="f"/>
        </w:pict>
      </w:r>
    </w:p>
    <w:p w14:paraId="592EE50B"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1. Integration of Microfluidics and Lab-on-a-Chip Platforms</w:t>
      </w:r>
    </w:p>
    <w:p w14:paraId="7715B314"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Microfluidics-based electrophoresis systems are rapidly gaining popularity due to their compactness, rapid analysis times, and low reagent consumption. These platforms are enabling </w:t>
      </w:r>
      <w:r w:rsidRPr="00954E40">
        <w:rPr>
          <w:rFonts w:ascii="Segoe UI" w:eastAsia="Times New Roman" w:hAnsi="Segoe UI" w:cs="Segoe UI"/>
          <w:b/>
          <w:bCs/>
          <w:color w:val="0D0D0D"/>
          <w:sz w:val="24"/>
          <w:szCs w:val="24"/>
          <w:lang w:eastAsia="en-IN"/>
        </w:rPr>
        <w:t>portable, point-of-care applications</w:t>
      </w:r>
      <w:r w:rsidRPr="00954E40">
        <w:rPr>
          <w:rFonts w:ascii="Segoe UI" w:eastAsia="Times New Roman" w:hAnsi="Segoe UI" w:cs="Segoe UI"/>
          <w:color w:val="0D0D0D"/>
          <w:sz w:val="24"/>
          <w:szCs w:val="24"/>
          <w:lang w:eastAsia="en-IN"/>
        </w:rPr>
        <w:t> for genetic and protein analysis, particularly in resource-limited settings.</w:t>
      </w:r>
    </w:p>
    <w:p w14:paraId="16840F89"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t>“Miniaturized electrophoresis platforms are poised to disrupt traditional diagnostics by enabling decentralized molecular testing,”</w:t>
      </w:r>
      <w:r w:rsidRPr="00954E40">
        <w:rPr>
          <w:rFonts w:ascii="Segoe UI" w:eastAsia="Times New Roman" w:hAnsi="Segoe UI" w:cs="Segoe UI"/>
          <w:color w:val="0D0D0D"/>
          <w:sz w:val="24"/>
          <w:szCs w:val="24"/>
          <w:lang w:eastAsia="en-IN"/>
        </w:rPr>
        <w:t> notes an expert in biomedical engineering.</w:t>
      </w:r>
    </w:p>
    <w:p w14:paraId="6354CB9E"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A6423E9">
          <v:rect id="_x0000_i1245" style="width:0;height:0" o:hralign="center" o:hrstd="t" o:hrnoshade="t" o:hr="t" fillcolor="#0d0d0d" stroked="f"/>
        </w:pict>
      </w:r>
    </w:p>
    <w:p w14:paraId="471445DD"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2. Rise of AI-Augmented Gel Imaging and Data Interpretation</w:t>
      </w:r>
    </w:p>
    <w:p w14:paraId="6FC9047A"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Modern electrophoresis systems are increasingly embedded with </w:t>
      </w:r>
      <w:r w:rsidRPr="00954E40">
        <w:rPr>
          <w:rFonts w:ascii="Segoe UI" w:eastAsia="Times New Roman" w:hAnsi="Segoe UI" w:cs="Segoe UI"/>
          <w:b/>
          <w:bCs/>
          <w:color w:val="0D0D0D"/>
          <w:sz w:val="24"/>
          <w:szCs w:val="24"/>
          <w:lang w:eastAsia="en-IN"/>
        </w:rPr>
        <w:t>AI-powered software</w:t>
      </w:r>
      <w:r w:rsidRPr="00954E40">
        <w:rPr>
          <w:rFonts w:ascii="Segoe UI" w:eastAsia="Times New Roman" w:hAnsi="Segoe UI" w:cs="Segoe UI"/>
          <w:color w:val="0D0D0D"/>
          <w:sz w:val="24"/>
          <w:szCs w:val="24"/>
          <w:lang w:eastAsia="en-IN"/>
        </w:rPr>
        <w:t> for automated band detection, intensity quantification, and quality scoring. This is especially beneficial in pharmaceutical quality control, where reproducibility and standardization are critical.</w:t>
      </w:r>
    </w:p>
    <w:p w14:paraId="0DBDAA52"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t>“AI-driven imaging removes the subjectivity of manual interpretation, which is essential for regulatory compliance in GMP environments,”</w:t>
      </w:r>
      <w:r w:rsidRPr="00954E40">
        <w:rPr>
          <w:rFonts w:ascii="Segoe UI" w:eastAsia="Times New Roman" w:hAnsi="Segoe UI" w:cs="Segoe UI"/>
          <w:color w:val="0D0D0D"/>
          <w:sz w:val="24"/>
          <w:szCs w:val="24"/>
          <w:lang w:eastAsia="en-IN"/>
        </w:rPr>
        <w:t> comments a QC director at a leading biopharma company.</w:t>
      </w:r>
    </w:p>
    <w:p w14:paraId="403BB1C7"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7EC286B8">
          <v:rect id="_x0000_i1246" style="width:0;height:0" o:hralign="center" o:hrstd="t" o:hrnoshade="t" o:hr="t" fillcolor="#0d0d0d" stroked="f"/>
        </w:pict>
      </w:r>
    </w:p>
    <w:p w14:paraId="4D1FFCA7"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lastRenderedPageBreak/>
        <w:t>3. Automation and High-Throughput Capabilities</w:t>
      </w:r>
    </w:p>
    <w:p w14:paraId="5F2C78F2"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Electrophoresis is now being scaled for </w:t>
      </w:r>
      <w:r w:rsidRPr="00954E40">
        <w:rPr>
          <w:rFonts w:ascii="Segoe UI" w:eastAsia="Times New Roman" w:hAnsi="Segoe UI" w:cs="Segoe UI"/>
          <w:b/>
          <w:bCs/>
          <w:color w:val="0D0D0D"/>
          <w:sz w:val="24"/>
          <w:szCs w:val="24"/>
          <w:lang w:eastAsia="en-IN"/>
        </w:rPr>
        <w:t>high-throughput analysis</w:t>
      </w:r>
      <w:r w:rsidRPr="00954E40">
        <w:rPr>
          <w:rFonts w:ascii="Segoe UI" w:eastAsia="Times New Roman" w:hAnsi="Segoe UI" w:cs="Segoe UI"/>
          <w:color w:val="0D0D0D"/>
          <w:sz w:val="24"/>
          <w:szCs w:val="24"/>
          <w:lang w:eastAsia="en-IN"/>
        </w:rPr>
        <w:t>, especially in proteomics and drug screening. Automated gel loading, electrophoretic transfer, and robotic sample handling are being integrated into central lab workflows.</w:t>
      </w:r>
    </w:p>
    <w:p w14:paraId="4828B36E"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These innovations are being championed by </w:t>
      </w:r>
      <w:r w:rsidRPr="00954E40">
        <w:rPr>
          <w:rFonts w:ascii="Segoe UI" w:eastAsia="Times New Roman" w:hAnsi="Segoe UI" w:cs="Segoe UI"/>
          <w:b/>
          <w:bCs/>
          <w:color w:val="0D0D0D"/>
          <w:sz w:val="24"/>
          <w:szCs w:val="24"/>
          <w:lang w:eastAsia="en-IN"/>
        </w:rPr>
        <w:t>robotics-enabled electrophoresis stations</w:t>
      </w:r>
      <w:r w:rsidRPr="00954E40">
        <w:rPr>
          <w:rFonts w:ascii="Segoe UI" w:eastAsia="Times New Roman" w:hAnsi="Segoe UI" w:cs="Segoe UI"/>
          <w:color w:val="0D0D0D"/>
          <w:sz w:val="24"/>
          <w:szCs w:val="24"/>
          <w:lang w:eastAsia="en-IN"/>
        </w:rPr>
        <w:t>, which can process dozens to hundreds of samples simultaneously — essential for biotech firms and research consortia.</w:t>
      </w:r>
    </w:p>
    <w:p w14:paraId="5C7862CB"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07B74253">
          <v:rect id="_x0000_i1247" style="width:0;height:0" o:hralign="center" o:hrstd="t" o:hrnoshade="t" o:hr="t" fillcolor="#0d0d0d" stroked="f"/>
        </w:pict>
      </w:r>
    </w:p>
    <w:p w14:paraId="1172EBCD"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4. Cross-Tech Convergence: Mass Spectrometry and NGS</w:t>
      </w:r>
    </w:p>
    <w:p w14:paraId="00CCDA17"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New hybrid systems now couple electrophoresis with </w:t>
      </w:r>
      <w:r w:rsidRPr="00954E40">
        <w:rPr>
          <w:rFonts w:ascii="Segoe UI" w:eastAsia="Times New Roman" w:hAnsi="Segoe UI" w:cs="Segoe UI"/>
          <w:b/>
          <w:bCs/>
          <w:color w:val="0D0D0D"/>
          <w:sz w:val="24"/>
          <w:szCs w:val="24"/>
          <w:lang w:eastAsia="en-IN"/>
        </w:rPr>
        <w:t>mass spectrometry (MS)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next-generation sequencing (NGS)</w:t>
      </w:r>
      <w:r w:rsidRPr="00954E40">
        <w:rPr>
          <w:rFonts w:ascii="Segoe UI" w:eastAsia="Times New Roman" w:hAnsi="Segoe UI" w:cs="Segoe UI"/>
          <w:color w:val="0D0D0D"/>
          <w:sz w:val="24"/>
          <w:szCs w:val="24"/>
          <w:lang w:eastAsia="en-IN"/>
        </w:rPr>
        <w:t> workflows, especially in biomarker discovery and post-translational modification analysis. This is positioning electrophoresis as a </w:t>
      </w:r>
      <w:r w:rsidRPr="00954E40">
        <w:rPr>
          <w:rFonts w:ascii="Segoe UI" w:eastAsia="Times New Roman" w:hAnsi="Segoe UI" w:cs="Segoe UI"/>
          <w:b/>
          <w:bCs/>
          <w:color w:val="0D0D0D"/>
          <w:sz w:val="24"/>
          <w:szCs w:val="24"/>
          <w:lang w:eastAsia="en-IN"/>
        </w:rPr>
        <w:t>front-end purification and separation layer</w:t>
      </w:r>
      <w:r w:rsidRPr="00954E40">
        <w:rPr>
          <w:rFonts w:ascii="Segoe UI" w:eastAsia="Times New Roman" w:hAnsi="Segoe UI" w:cs="Segoe UI"/>
          <w:color w:val="0D0D0D"/>
          <w:sz w:val="24"/>
          <w:szCs w:val="24"/>
          <w:lang w:eastAsia="en-IN"/>
        </w:rPr>
        <w:t> for more complex omics analysis.</w:t>
      </w:r>
    </w:p>
    <w:p w14:paraId="4DD743D3"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1C7818D6">
          <v:rect id="_x0000_i1248" style="width:0;height:0" o:hralign="center" o:hrstd="t" o:hrnoshade="t" o:hr="t" fillcolor="#0d0d0d" stroked="f"/>
        </w:pict>
      </w:r>
    </w:p>
    <w:p w14:paraId="5651DA95"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5. Eco-Friendly Gel Materials and Recyclable Cassettes</w:t>
      </w:r>
    </w:p>
    <w:p w14:paraId="1D3B5EC6"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Sustainability is becoming a priority. Manufacturers are launching </w:t>
      </w:r>
      <w:r w:rsidRPr="00954E40">
        <w:rPr>
          <w:rFonts w:ascii="Segoe UI" w:eastAsia="Times New Roman" w:hAnsi="Segoe UI" w:cs="Segoe UI"/>
          <w:b/>
          <w:bCs/>
          <w:color w:val="0D0D0D"/>
          <w:sz w:val="24"/>
          <w:szCs w:val="24"/>
          <w:lang w:eastAsia="en-IN"/>
        </w:rPr>
        <w:t>biodegradable gel matrices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recyclable electrophoresis cartridges</w:t>
      </w:r>
      <w:r w:rsidRPr="00954E40">
        <w:rPr>
          <w:rFonts w:ascii="Segoe UI" w:eastAsia="Times New Roman" w:hAnsi="Segoe UI" w:cs="Segoe UI"/>
          <w:color w:val="0D0D0D"/>
          <w:sz w:val="24"/>
          <w:szCs w:val="24"/>
          <w:lang w:eastAsia="en-IN"/>
        </w:rPr>
        <w:t> in response to increasing environmental regulations in laboratory settings.</w:t>
      </w:r>
    </w:p>
    <w:p w14:paraId="09AF80D7"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65D8370">
          <v:rect id="_x0000_i1249" style="width:0;height:0" o:hralign="center" o:hrstd="t" o:hrnoshade="t" o:hr="t" fillcolor="#0d0d0d" stroked="f"/>
        </w:pict>
      </w:r>
    </w:p>
    <w:p w14:paraId="2CEE6058"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Innovation Pipeline &amp; Collaboration Highlights</w:t>
      </w:r>
    </w:p>
    <w:p w14:paraId="4FF2D833" w14:textId="77777777" w:rsidR="00954E40" w:rsidRPr="00954E40" w:rsidRDefault="00954E40" w:rsidP="00954E4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Several academic-industry collaborations are underway to develop </w:t>
      </w:r>
      <w:r w:rsidRPr="00954E40">
        <w:rPr>
          <w:rFonts w:ascii="Segoe UI" w:eastAsia="Times New Roman" w:hAnsi="Segoe UI" w:cs="Segoe UI"/>
          <w:b/>
          <w:bCs/>
          <w:color w:val="0D0D0D"/>
          <w:sz w:val="24"/>
          <w:szCs w:val="24"/>
          <w:lang w:eastAsia="en-IN"/>
        </w:rPr>
        <w:t>capillary electrophoresis systems for single-cell proteomics</w:t>
      </w:r>
      <w:r w:rsidRPr="00954E40">
        <w:rPr>
          <w:rFonts w:ascii="Segoe UI" w:eastAsia="Times New Roman" w:hAnsi="Segoe UI" w:cs="Segoe UI"/>
          <w:color w:val="0D0D0D"/>
          <w:sz w:val="24"/>
          <w:szCs w:val="24"/>
          <w:lang w:eastAsia="en-IN"/>
        </w:rPr>
        <w:t>.</w:t>
      </w:r>
    </w:p>
    <w:p w14:paraId="325CFA44" w14:textId="77777777" w:rsidR="00954E40" w:rsidRPr="00954E40" w:rsidRDefault="00954E40" w:rsidP="00954E4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 xml:space="preserve">A leading U.S. firm recently announced a partnership with a Scandinavian AI </w:t>
      </w:r>
      <w:proofErr w:type="spellStart"/>
      <w:r w:rsidRPr="00954E40">
        <w:rPr>
          <w:rFonts w:ascii="Segoe UI" w:eastAsia="Times New Roman" w:hAnsi="Segoe UI" w:cs="Segoe UI"/>
          <w:color w:val="0D0D0D"/>
          <w:sz w:val="24"/>
          <w:szCs w:val="24"/>
          <w:lang w:eastAsia="en-IN"/>
        </w:rPr>
        <w:t>startup</w:t>
      </w:r>
      <w:proofErr w:type="spellEnd"/>
      <w:r w:rsidRPr="00954E40">
        <w:rPr>
          <w:rFonts w:ascii="Segoe UI" w:eastAsia="Times New Roman" w:hAnsi="Segoe UI" w:cs="Segoe UI"/>
          <w:color w:val="0D0D0D"/>
          <w:sz w:val="24"/>
          <w:szCs w:val="24"/>
          <w:lang w:eastAsia="en-IN"/>
        </w:rPr>
        <w:t xml:space="preserve"> to co-develop </w:t>
      </w:r>
      <w:r w:rsidRPr="00954E40">
        <w:rPr>
          <w:rFonts w:ascii="Segoe UI" w:eastAsia="Times New Roman" w:hAnsi="Segoe UI" w:cs="Segoe UI"/>
          <w:b/>
          <w:bCs/>
          <w:color w:val="0D0D0D"/>
          <w:sz w:val="24"/>
          <w:szCs w:val="24"/>
          <w:lang w:eastAsia="en-IN"/>
        </w:rPr>
        <w:t xml:space="preserve">smart electrophoresis </w:t>
      </w:r>
      <w:proofErr w:type="spellStart"/>
      <w:r w:rsidRPr="00954E40">
        <w:rPr>
          <w:rFonts w:ascii="Segoe UI" w:eastAsia="Times New Roman" w:hAnsi="Segoe UI" w:cs="Segoe UI"/>
          <w:b/>
          <w:bCs/>
          <w:color w:val="0D0D0D"/>
          <w:sz w:val="24"/>
          <w:szCs w:val="24"/>
          <w:lang w:eastAsia="en-IN"/>
        </w:rPr>
        <w:t>analyzers</w:t>
      </w:r>
      <w:proofErr w:type="spellEnd"/>
      <w:r w:rsidRPr="00954E40">
        <w:rPr>
          <w:rFonts w:ascii="Segoe UI" w:eastAsia="Times New Roman" w:hAnsi="Segoe UI" w:cs="Segoe UI"/>
          <w:b/>
          <w:bCs/>
          <w:color w:val="0D0D0D"/>
          <w:sz w:val="24"/>
          <w:szCs w:val="24"/>
          <w:lang w:eastAsia="en-IN"/>
        </w:rPr>
        <w:t xml:space="preserve"> with cloud connectivity</w:t>
      </w:r>
      <w:r w:rsidRPr="00954E40">
        <w:rPr>
          <w:rFonts w:ascii="Segoe UI" w:eastAsia="Times New Roman" w:hAnsi="Segoe UI" w:cs="Segoe UI"/>
          <w:color w:val="0D0D0D"/>
          <w:sz w:val="24"/>
          <w:szCs w:val="24"/>
          <w:lang w:eastAsia="en-IN"/>
        </w:rPr>
        <w:t>.</w:t>
      </w:r>
    </w:p>
    <w:p w14:paraId="33F9BF19" w14:textId="77777777" w:rsidR="00954E40" w:rsidRPr="00954E40" w:rsidRDefault="00954E40" w:rsidP="00954E4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lastRenderedPageBreak/>
        <w:t>In 2023, a Japan-based life sciences company filed a patent for an </w:t>
      </w:r>
      <w:r w:rsidRPr="00954E40">
        <w:rPr>
          <w:rFonts w:ascii="Segoe UI" w:eastAsia="Times New Roman" w:hAnsi="Segoe UI" w:cs="Segoe UI"/>
          <w:b/>
          <w:bCs/>
          <w:color w:val="0D0D0D"/>
          <w:sz w:val="24"/>
          <w:szCs w:val="24"/>
          <w:lang w:eastAsia="en-IN"/>
        </w:rPr>
        <w:t>electrophoresis-on-chip platform compatible with wearable diagnostic kits</w:t>
      </w:r>
      <w:r w:rsidRPr="00954E40">
        <w:rPr>
          <w:rFonts w:ascii="Segoe UI" w:eastAsia="Times New Roman" w:hAnsi="Segoe UI" w:cs="Segoe UI"/>
          <w:color w:val="0D0D0D"/>
          <w:sz w:val="24"/>
          <w:szCs w:val="24"/>
          <w:lang w:eastAsia="en-IN"/>
        </w:rPr>
        <w:t>.</w:t>
      </w:r>
    </w:p>
    <w:p w14:paraId="0F24E4FF"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t>These innovation vectors suggest the market is pivoting from traditional bench setups to highly integrated, data-centric systems — aligning with the broader goals of personalized medicine, remote diagnostics, and precision research.</w:t>
      </w:r>
    </w:p>
    <w:p w14:paraId="297C7E6B"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t>4. Competitive Intelligence and Benchmarking</w:t>
      </w:r>
    </w:p>
    <w:p w14:paraId="280A899E"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global electrophoresis market is moderately consolidated, with a mix of </w:t>
      </w:r>
      <w:r w:rsidRPr="00954E40">
        <w:rPr>
          <w:rFonts w:ascii="Segoe UI" w:eastAsia="Times New Roman" w:hAnsi="Segoe UI" w:cs="Segoe UI"/>
          <w:b/>
          <w:bCs/>
          <w:color w:val="0D0D0D"/>
          <w:sz w:val="24"/>
          <w:szCs w:val="24"/>
          <w:lang w:eastAsia="en-IN"/>
        </w:rPr>
        <w:t>established global firms and niche innovators</w:t>
      </w:r>
      <w:r w:rsidRPr="00954E40">
        <w:rPr>
          <w:rFonts w:ascii="Segoe UI" w:eastAsia="Times New Roman" w:hAnsi="Segoe UI" w:cs="Segoe UI"/>
          <w:color w:val="0D0D0D"/>
          <w:sz w:val="24"/>
          <w:szCs w:val="24"/>
          <w:lang w:eastAsia="en-IN"/>
        </w:rPr>
        <w:t>. Companies compete based on instrument innovation, reagent reliability, software sophistication, geographic footprint, and strategic partnerships. Below is a strategic profile of leading competitors shaping this market.</w:t>
      </w:r>
    </w:p>
    <w:p w14:paraId="374E3576"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153CD9A1">
          <v:rect id="_x0000_i1250" style="width:0;height:0" o:hralign="center" o:hrstd="t" o:hrnoshade="t" o:hr="t" fillcolor="#0d0d0d" stroked="f"/>
        </w:pict>
      </w:r>
    </w:p>
    <w:p w14:paraId="4E65B926"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1. Thermo Fisher Scientific</w:t>
      </w:r>
    </w:p>
    <w:p w14:paraId="2F7CB302"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 dominant force in life sciences instrumentation, </w:t>
      </w:r>
      <w:r w:rsidRPr="00954E40">
        <w:rPr>
          <w:rFonts w:ascii="Segoe UI" w:eastAsia="Times New Roman" w:hAnsi="Segoe UI" w:cs="Segoe UI"/>
          <w:b/>
          <w:bCs/>
          <w:color w:val="0D0D0D"/>
          <w:sz w:val="24"/>
          <w:szCs w:val="24"/>
          <w:lang w:eastAsia="en-IN"/>
        </w:rPr>
        <w:t>Thermo Fisher Scientific</w:t>
      </w:r>
      <w:r w:rsidRPr="00954E40">
        <w:rPr>
          <w:rFonts w:ascii="Segoe UI" w:eastAsia="Times New Roman" w:hAnsi="Segoe UI" w:cs="Segoe UI"/>
          <w:color w:val="0D0D0D"/>
          <w:sz w:val="24"/>
          <w:szCs w:val="24"/>
          <w:lang w:eastAsia="en-IN"/>
        </w:rPr>
        <w:t> offers a comprehensive electrophoresis portfolio encompassing gel tanks, imaging systems, and reagents. The company leverages its massive distribution network and deep penetration in both academic and clinical laboratories. It focuses on </w:t>
      </w:r>
      <w:r w:rsidRPr="00954E40">
        <w:rPr>
          <w:rFonts w:ascii="Segoe UI" w:eastAsia="Times New Roman" w:hAnsi="Segoe UI" w:cs="Segoe UI"/>
          <w:b/>
          <w:bCs/>
          <w:color w:val="0D0D0D"/>
          <w:sz w:val="24"/>
          <w:szCs w:val="24"/>
          <w:lang w:eastAsia="en-IN"/>
        </w:rPr>
        <w:t>bundled solutions</w:t>
      </w:r>
      <w:r w:rsidRPr="00954E40">
        <w:rPr>
          <w:rFonts w:ascii="Segoe UI" w:eastAsia="Times New Roman" w:hAnsi="Segoe UI" w:cs="Segoe UI"/>
          <w:color w:val="0D0D0D"/>
          <w:sz w:val="24"/>
          <w:szCs w:val="24"/>
          <w:lang w:eastAsia="en-IN"/>
        </w:rPr>
        <w:t> and has strategically integrated </w:t>
      </w:r>
      <w:r w:rsidRPr="00954E40">
        <w:rPr>
          <w:rFonts w:ascii="Segoe UI" w:eastAsia="Times New Roman" w:hAnsi="Segoe UI" w:cs="Segoe UI"/>
          <w:b/>
          <w:bCs/>
          <w:color w:val="0D0D0D"/>
          <w:sz w:val="24"/>
          <w:szCs w:val="24"/>
          <w:lang w:eastAsia="en-IN"/>
        </w:rPr>
        <w:t>cloud analytics</w:t>
      </w:r>
      <w:r w:rsidRPr="00954E40">
        <w:rPr>
          <w:rFonts w:ascii="Segoe UI" w:eastAsia="Times New Roman" w:hAnsi="Segoe UI" w:cs="Segoe UI"/>
          <w:color w:val="0D0D0D"/>
          <w:sz w:val="24"/>
          <w:szCs w:val="24"/>
          <w:lang w:eastAsia="en-IN"/>
        </w:rPr>
        <w:t> across its instrumentation.</w:t>
      </w:r>
    </w:p>
    <w:p w14:paraId="5DEC2326"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5A75A0F2">
          <v:rect id="_x0000_i1251" style="width:0;height:0" o:hralign="center" o:hrstd="t" o:hrnoshade="t" o:hr="t" fillcolor="#0d0d0d" stroked="f"/>
        </w:pict>
      </w:r>
    </w:p>
    <w:p w14:paraId="470D5753"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2. Bio-Rad Laboratories</w:t>
      </w:r>
    </w:p>
    <w:p w14:paraId="65DBE1EB"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Bio-Rad</w:t>
      </w:r>
      <w:r w:rsidRPr="00954E40">
        <w:rPr>
          <w:rFonts w:ascii="Segoe UI" w:eastAsia="Times New Roman" w:hAnsi="Segoe UI" w:cs="Segoe UI"/>
          <w:color w:val="0D0D0D"/>
          <w:sz w:val="24"/>
          <w:szCs w:val="24"/>
          <w:lang w:eastAsia="en-IN"/>
        </w:rPr>
        <w:t> is a pioneer in gel electrophoresis and western blotting platforms. Its products are renowned for their </w:t>
      </w:r>
      <w:r w:rsidRPr="00954E40">
        <w:rPr>
          <w:rFonts w:ascii="Segoe UI" w:eastAsia="Times New Roman" w:hAnsi="Segoe UI" w:cs="Segoe UI"/>
          <w:b/>
          <w:bCs/>
          <w:color w:val="0D0D0D"/>
          <w:sz w:val="24"/>
          <w:szCs w:val="24"/>
          <w:lang w:eastAsia="en-IN"/>
        </w:rPr>
        <w:t>robust quality control and reproducibility</w:t>
      </w:r>
      <w:r w:rsidRPr="00954E40">
        <w:rPr>
          <w:rFonts w:ascii="Segoe UI" w:eastAsia="Times New Roman" w:hAnsi="Segoe UI" w:cs="Segoe UI"/>
          <w:color w:val="0D0D0D"/>
          <w:sz w:val="24"/>
          <w:szCs w:val="24"/>
          <w:lang w:eastAsia="en-IN"/>
        </w:rPr>
        <w:t xml:space="preserve">. The company’s innovation strategy </w:t>
      </w:r>
      <w:proofErr w:type="spellStart"/>
      <w:r w:rsidRPr="00954E40">
        <w:rPr>
          <w:rFonts w:ascii="Segoe UI" w:eastAsia="Times New Roman" w:hAnsi="Segoe UI" w:cs="Segoe UI"/>
          <w:color w:val="0D0D0D"/>
          <w:sz w:val="24"/>
          <w:szCs w:val="24"/>
          <w:lang w:eastAsia="en-IN"/>
        </w:rPr>
        <w:t>centers</w:t>
      </w:r>
      <w:proofErr w:type="spellEnd"/>
      <w:r w:rsidRPr="00954E40">
        <w:rPr>
          <w:rFonts w:ascii="Segoe UI" w:eastAsia="Times New Roman" w:hAnsi="Segoe UI" w:cs="Segoe UI"/>
          <w:color w:val="0D0D0D"/>
          <w:sz w:val="24"/>
          <w:szCs w:val="24"/>
          <w:lang w:eastAsia="en-IN"/>
        </w:rPr>
        <w:t xml:space="preserve"> on </w:t>
      </w:r>
      <w:r w:rsidRPr="00954E40">
        <w:rPr>
          <w:rFonts w:ascii="Segoe UI" w:eastAsia="Times New Roman" w:hAnsi="Segoe UI" w:cs="Segoe UI"/>
          <w:b/>
          <w:bCs/>
          <w:color w:val="0D0D0D"/>
          <w:sz w:val="24"/>
          <w:szCs w:val="24"/>
          <w:lang w:eastAsia="en-IN"/>
        </w:rPr>
        <w:t>digital image acquisition, AI-aided band quantification</w:t>
      </w:r>
      <w:r w:rsidRPr="00954E40">
        <w:rPr>
          <w:rFonts w:ascii="Segoe UI" w:eastAsia="Times New Roman" w:hAnsi="Segoe UI" w:cs="Segoe UI"/>
          <w:color w:val="0D0D0D"/>
          <w:sz w:val="24"/>
          <w:szCs w:val="24"/>
          <w:lang w:eastAsia="en-IN"/>
        </w:rPr>
        <w:t>, and application-specific electrophoresis kits. Bio-Rad remains a preferred vendor in academic and proteomic research ecosystems.</w:t>
      </w:r>
    </w:p>
    <w:p w14:paraId="3F76DB3F"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6DAC4B3D">
          <v:rect id="_x0000_i1252" style="width:0;height:0" o:hralign="center" o:hrstd="t" o:hrnoshade="t" o:hr="t" fillcolor="#0d0d0d" stroked="f"/>
        </w:pict>
      </w:r>
    </w:p>
    <w:p w14:paraId="4DC5E8C9"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lastRenderedPageBreak/>
        <w:t>3. Agilent Technologies</w:t>
      </w:r>
    </w:p>
    <w:p w14:paraId="3C804C40"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Agilent</w:t>
      </w:r>
      <w:r w:rsidRPr="00954E40">
        <w:rPr>
          <w:rFonts w:ascii="Segoe UI" w:eastAsia="Times New Roman" w:hAnsi="Segoe UI" w:cs="Segoe UI"/>
          <w:color w:val="0D0D0D"/>
          <w:sz w:val="24"/>
          <w:szCs w:val="24"/>
          <w:lang w:eastAsia="en-IN"/>
        </w:rPr>
        <w:t> specializes in </w:t>
      </w:r>
      <w:r w:rsidRPr="00954E40">
        <w:rPr>
          <w:rFonts w:ascii="Segoe UI" w:eastAsia="Times New Roman" w:hAnsi="Segoe UI" w:cs="Segoe UI"/>
          <w:b/>
          <w:bCs/>
          <w:color w:val="0D0D0D"/>
          <w:sz w:val="24"/>
          <w:szCs w:val="24"/>
          <w:lang w:eastAsia="en-IN"/>
        </w:rPr>
        <w:t>capillary electrophoresis systems</w:t>
      </w:r>
      <w:r w:rsidRPr="00954E40">
        <w:rPr>
          <w:rFonts w:ascii="Segoe UI" w:eastAsia="Times New Roman" w:hAnsi="Segoe UI" w:cs="Segoe UI"/>
          <w:color w:val="0D0D0D"/>
          <w:sz w:val="24"/>
          <w:szCs w:val="24"/>
          <w:lang w:eastAsia="en-IN"/>
        </w:rPr>
        <w:t>, particularly those used in pharmaceutical QA/QC and DNA/RNA analysis. With a strong reputation in precision instrumentation and compliance-ready platforms, Agilent focuses heavily on </w:t>
      </w:r>
      <w:r w:rsidRPr="00954E40">
        <w:rPr>
          <w:rFonts w:ascii="Segoe UI" w:eastAsia="Times New Roman" w:hAnsi="Segoe UI" w:cs="Segoe UI"/>
          <w:b/>
          <w:bCs/>
          <w:color w:val="0D0D0D"/>
          <w:sz w:val="24"/>
          <w:szCs w:val="24"/>
          <w:lang w:eastAsia="en-IN"/>
        </w:rPr>
        <w:t>regulatory markets</w:t>
      </w:r>
      <w:r w:rsidRPr="00954E40">
        <w:rPr>
          <w:rFonts w:ascii="Segoe UI" w:eastAsia="Times New Roman" w:hAnsi="Segoe UI" w:cs="Segoe UI"/>
          <w:color w:val="0D0D0D"/>
          <w:sz w:val="24"/>
          <w:szCs w:val="24"/>
          <w:lang w:eastAsia="en-IN"/>
        </w:rPr>
        <w:t> including GMP-compliant pharma labs and FDA-audited sites.</w:t>
      </w:r>
    </w:p>
    <w:p w14:paraId="20F9F5F0"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05CF4F83">
          <v:rect id="_x0000_i1253" style="width:0;height:0" o:hralign="center" o:hrstd="t" o:hrnoshade="t" o:hr="t" fillcolor="#0d0d0d" stroked="f"/>
        </w:pict>
      </w:r>
    </w:p>
    <w:p w14:paraId="305CC4FE"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 xml:space="preserve">4. GE Healthcare Life Sciences (now </w:t>
      </w:r>
      <w:proofErr w:type="spellStart"/>
      <w:r w:rsidRPr="00954E40">
        <w:rPr>
          <w:rFonts w:ascii="Segoe UI" w:eastAsia="Times New Roman" w:hAnsi="Segoe UI" w:cs="Segoe UI"/>
          <w:b/>
          <w:bCs/>
          <w:color w:val="0D0D0D"/>
          <w:sz w:val="30"/>
          <w:szCs w:val="30"/>
          <w:lang w:eastAsia="en-IN"/>
        </w:rPr>
        <w:t>Cytiva</w:t>
      </w:r>
      <w:proofErr w:type="spellEnd"/>
      <w:r w:rsidRPr="00954E40">
        <w:rPr>
          <w:rFonts w:ascii="Segoe UI" w:eastAsia="Times New Roman" w:hAnsi="Segoe UI" w:cs="Segoe UI"/>
          <w:b/>
          <w:bCs/>
          <w:color w:val="0D0D0D"/>
          <w:sz w:val="30"/>
          <w:szCs w:val="30"/>
          <w:lang w:eastAsia="en-IN"/>
        </w:rPr>
        <w:t>)</w:t>
      </w:r>
    </w:p>
    <w:p w14:paraId="71FDFEB7"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954E40">
        <w:rPr>
          <w:rFonts w:ascii="Segoe UI" w:eastAsia="Times New Roman" w:hAnsi="Segoe UI" w:cs="Segoe UI"/>
          <w:b/>
          <w:bCs/>
          <w:color w:val="0D0D0D"/>
          <w:sz w:val="24"/>
          <w:szCs w:val="24"/>
          <w:lang w:eastAsia="en-IN"/>
        </w:rPr>
        <w:t>Cytiva</w:t>
      </w:r>
      <w:proofErr w:type="spellEnd"/>
      <w:r w:rsidRPr="00954E40">
        <w:rPr>
          <w:rFonts w:ascii="Segoe UI" w:eastAsia="Times New Roman" w:hAnsi="Segoe UI" w:cs="Segoe UI"/>
          <w:color w:val="0D0D0D"/>
          <w:sz w:val="24"/>
          <w:szCs w:val="24"/>
          <w:lang w:eastAsia="en-IN"/>
        </w:rPr>
        <w:t>, a brand under </w:t>
      </w:r>
      <w:r w:rsidRPr="00954E40">
        <w:rPr>
          <w:rFonts w:ascii="Segoe UI" w:eastAsia="Times New Roman" w:hAnsi="Segoe UI" w:cs="Segoe UI"/>
          <w:b/>
          <w:bCs/>
          <w:color w:val="0D0D0D"/>
          <w:sz w:val="24"/>
          <w:szCs w:val="24"/>
          <w:lang w:eastAsia="en-IN"/>
        </w:rPr>
        <w:t>Danaher Corporation</w:t>
      </w:r>
      <w:r w:rsidRPr="00954E40">
        <w:rPr>
          <w:rFonts w:ascii="Segoe UI" w:eastAsia="Times New Roman" w:hAnsi="Segoe UI" w:cs="Segoe UI"/>
          <w:color w:val="0D0D0D"/>
          <w:sz w:val="24"/>
          <w:szCs w:val="24"/>
          <w:lang w:eastAsia="en-IN"/>
        </w:rPr>
        <w:t>, integrates electrophoresis into its bioprocessing solutions. It is known for </w:t>
      </w:r>
      <w:r w:rsidRPr="00954E40">
        <w:rPr>
          <w:rFonts w:ascii="Segoe UI" w:eastAsia="Times New Roman" w:hAnsi="Segoe UI" w:cs="Segoe UI"/>
          <w:b/>
          <w:bCs/>
          <w:color w:val="0D0D0D"/>
          <w:sz w:val="24"/>
          <w:szCs w:val="24"/>
          <w:lang w:eastAsia="en-IN"/>
        </w:rPr>
        <w:t>pre-cast gel systems</w:t>
      </w:r>
      <w:r w:rsidRPr="00954E40">
        <w:rPr>
          <w:rFonts w:ascii="Segoe UI" w:eastAsia="Times New Roman" w:hAnsi="Segoe UI" w:cs="Segoe UI"/>
          <w:color w:val="0D0D0D"/>
          <w:sz w:val="24"/>
          <w:szCs w:val="24"/>
          <w:lang w:eastAsia="en-IN"/>
        </w:rPr>
        <w:t xml:space="preserve">, electrophoretic blotting units, and protein purity analysis platforms. </w:t>
      </w:r>
      <w:proofErr w:type="spellStart"/>
      <w:r w:rsidRPr="00954E40">
        <w:rPr>
          <w:rFonts w:ascii="Segoe UI" w:eastAsia="Times New Roman" w:hAnsi="Segoe UI" w:cs="Segoe UI"/>
          <w:color w:val="0D0D0D"/>
          <w:sz w:val="24"/>
          <w:szCs w:val="24"/>
          <w:lang w:eastAsia="en-IN"/>
        </w:rPr>
        <w:t>Cytiva</w:t>
      </w:r>
      <w:proofErr w:type="spellEnd"/>
      <w:r w:rsidRPr="00954E40">
        <w:rPr>
          <w:rFonts w:ascii="Segoe UI" w:eastAsia="Times New Roman" w:hAnsi="Segoe UI" w:cs="Segoe UI"/>
          <w:color w:val="0D0D0D"/>
          <w:sz w:val="24"/>
          <w:szCs w:val="24"/>
          <w:lang w:eastAsia="en-IN"/>
        </w:rPr>
        <w:t xml:space="preserve"> differentiates by combining electrophoresis with </w:t>
      </w:r>
      <w:r w:rsidRPr="00954E40">
        <w:rPr>
          <w:rFonts w:ascii="Segoe UI" w:eastAsia="Times New Roman" w:hAnsi="Segoe UI" w:cs="Segoe UI"/>
          <w:b/>
          <w:bCs/>
          <w:color w:val="0D0D0D"/>
          <w:sz w:val="24"/>
          <w:szCs w:val="24"/>
          <w:lang w:eastAsia="en-IN"/>
        </w:rPr>
        <w:t>upstream and downstream biomanufacturing tools</w:t>
      </w:r>
      <w:r w:rsidRPr="00954E40">
        <w:rPr>
          <w:rFonts w:ascii="Segoe UI" w:eastAsia="Times New Roman" w:hAnsi="Segoe UI" w:cs="Segoe UI"/>
          <w:color w:val="0D0D0D"/>
          <w:sz w:val="24"/>
          <w:szCs w:val="24"/>
          <w:lang w:eastAsia="en-IN"/>
        </w:rPr>
        <w:t>, creating full-stack solutions for biologics development.</w:t>
      </w:r>
    </w:p>
    <w:p w14:paraId="3821A665"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7D29FAE0">
          <v:rect id="_x0000_i1254" style="width:0;height:0" o:hralign="center" o:hrstd="t" o:hrnoshade="t" o:hr="t" fillcolor="#0d0d0d" stroked="f"/>
        </w:pict>
      </w:r>
    </w:p>
    <w:p w14:paraId="7DF94A87"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5. QIAGEN</w:t>
      </w:r>
    </w:p>
    <w:p w14:paraId="5FAD1514"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QIAGEN</w:t>
      </w:r>
      <w:r w:rsidRPr="00954E40">
        <w:rPr>
          <w:rFonts w:ascii="Segoe UI" w:eastAsia="Times New Roman" w:hAnsi="Segoe UI" w:cs="Segoe UI"/>
          <w:color w:val="0D0D0D"/>
          <w:sz w:val="24"/>
          <w:szCs w:val="24"/>
          <w:lang w:eastAsia="en-IN"/>
        </w:rPr>
        <w:t> brings innovation at the intersection of molecular diagnostics and electrophoresis. Its platforms are often designed for </w:t>
      </w:r>
      <w:r w:rsidRPr="00954E40">
        <w:rPr>
          <w:rFonts w:ascii="Segoe UI" w:eastAsia="Times New Roman" w:hAnsi="Segoe UI" w:cs="Segoe UI"/>
          <w:b/>
          <w:bCs/>
          <w:color w:val="0D0D0D"/>
          <w:sz w:val="24"/>
          <w:szCs w:val="24"/>
          <w:lang w:eastAsia="en-IN"/>
        </w:rPr>
        <w:t>PCR product validation</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pathogen detection</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clinical molecular workflows</w:t>
      </w:r>
      <w:r w:rsidRPr="00954E40">
        <w:rPr>
          <w:rFonts w:ascii="Segoe UI" w:eastAsia="Times New Roman" w:hAnsi="Segoe UI" w:cs="Segoe UI"/>
          <w:color w:val="0D0D0D"/>
          <w:sz w:val="24"/>
          <w:szCs w:val="24"/>
          <w:lang w:eastAsia="en-IN"/>
        </w:rPr>
        <w:t>. QIAGEN targets diagnostic laboratories, with compact, pre-programmed systems that emphasize ease-of-use and regulatory clearance.</w:t>
      </w:r>
    </w:p>
    <w:p w14:paraId="0E0E79CF"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E8A5C9C">
          <v:rect id="_x0000_i1255" style="width:0;height:0" o:hralign="center" o:hrstd="t" o:hrnoshade="t" o:hr="t" fillcolor="#0d0d0d" stroked="f"/>
        </w:pict>
      </w:r>
    </w:p>
    <w:p w14:paraId="5C63AFFF"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6. Lonza Group</w:t>
      </w:r>
    </w:p>
    <w:p w14:paraId="7763B382"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Lonza</w:t>
      </w:r>
      <w:r w:rsidRPr="00954E40">
        <w:rPr>
          <w:rFonts w:ascii="Segoe UI" w:eastAsia="Times New Roman" w:hAnsi="Segoe UI" w:cs="Segoe UI"/>
          <w:color w:val="0D0D0D"/>
          <w:sz w:val="24"/>
          <w:szCs w:val="24"/>
          <w:lang w:eastAsia="en-IN"/>
        </w:rPr>
        <w:t> serves niche sectors, especially </w:t>
      </w:r>
      <w:r w:rsidRPr="00954E40">
        <w:rPr>
          <w:rFonts w:ascii="Segoe UI" w:eastAsia="Times New Roman" w:hAnsi="Segoe UI" w:cs="Segoe UI"/>
          <w:b/>
          <w:bCs/>
          <w:color w:val="0D0D0D"/>
          <w:sz w:val="24"/>
          <w:szCs w:val="24"/>
          <w:lang w:eastAsia="en-IN"/>
        </w:rPr>
        <w:t>cell therapy and biosimilar manufacturing</w:t>
      </w:r>
      <w:r w:rsidRPr="00954E40">
        <w:rPr>
          <w:rFonts w:ascii="Segoe UI" w:eastAsia="Times New Roman" w:hAnsi="Segoe UI" w:cs="Segoe UI"/>
          <w:color w:val="0D0D0D"/>
          <w:sz w:val="24"/>
          <w:szCs w:val="24"/>
          <w:lang w:eastAsia="en-IN"/>
        </w:rPr>
        <w:t>. It supplies electrophoresis tools primarily for </w:t>
      </w:r>
      <w:r w:rsidRPr="00954E40">
        <w:rPr>
          <w:rFonts w:ascii="Segoe UI" w:eastAsia="Times New Roman" w:hAnsi="Segoe UI" w:cs="Segoe UI"/>
          <w:b/>
          <w:bCs/>
          <w:color w:val="0D0D0D"/>
          <w:sz w:val="24"/>
          <w:szCs w:val="24"/>
          <w:lang w:eastAsia="en-IN"/>
        </w:rPr>
        <w:t>quality validation and contamination detection</w:t>
      </w:r>
      <w:r w:rsidRPr="00954E40">
        <w:rPr>
          <w:rFonts w:ascii="Segoe UI" w:eastAsia="Times New Roman" w:hAnsi="Segoe UI" w:cs="Segoe UI"/>
          <w:color w:val="0D0D0D"/>
          <w:sz w:val="24"/>
          <w:szCs w:val="24"/>
          <w:lang w:eastAsia="en-IN"/>
        </w:rPr>
        <w:t> in advanced therapy medicinal products (ATMPs). Its competitive edge lies in </w:t>
      </w:r>
      <w:r w:rsidRPr="00954E40">
        <w:rPr>
          <w:rFonts w:ascii="Segoe UI" w:eastAsia="Times New Roman" w:hAnsi="Segoe UI" w:cs="Segoe UI"/>
          <w:b/>
          <w:bCs/>
          <w:color w:val="0D0D0D"/>
          <w:sz w:val="24"/>
          <w:szCs w:val="24"/>
          <w:lang w:eastAsia="en-IN"/>
        </w:rPr>
        <w:t>custom reagent kits and workflow integration</w:t>
      </w:r>
      <w:r w:rsidRPr="00954E40">
        <w:rPr>
          <w:rFonts w:ascii="Segoe UI" w:eastAsia="Times New Roman" w:hAnsi="Segoe UI" w:cs="Segoe UI"/>
          <w:color w:val="0D0D0D"/>
          <w:sz w:val="24"/>
          <w:szCs w:val="24"/>
          <w:lang w:eastAsia="en-IN"/>
        </w:rPr>
        <w:t> into GMP suites.</w:t>
      </w:r>
    </w:p>
    <w:p w14:paraId="46EA7551"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lastRenderedPageBreak/>
        <w:pict w14:anchorId="2D0FA29E">
          <v:rect id="_x0000_i1256" style="width:0;height:0" o:hralign="center" o:hrstd="t" o:hrnoshade="t" o:hr="t" fillcolor="#0d0d0d" stroked="f"/>
        </w:pict>
      </w:r>
    </w:p>
    <w:p w14:paraId="2BA37E44"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 xml:space="preserve">7. </w:t>
      </w:r>
      <w:proofErr w:type="spellStart"/>
      <w:r w:rsidRPr="00954E40">
        <w:rPr>
          <w:rFonts w:ascii="Segoe UI" w:eastAsia="Times New Roman" w:hAnsi="Segoe UI" w:cs="Segoe UI"/>
          <w:b/>
          <w:bCs/>
          <w:color w:val="0D0D0D"/>
          <w:sz w:val="30"/>
          <w:szCs w:val="30"/>
          <w:lang w:eastAsia="en-IN"/>
        </w:rPr>
        <w:t>Analytik</w:t>
      </w:r>
      <w:proofErr w:type="spellEnd"/>
      <w:r w:rsidRPr="00954E40">
        <w:rPr>
          <w:rFonts w:ascii="Segoe UI" w:eastAsia="Times New Roman" w:hAnsi="Segoe UI" w:cs="Segoe UI"/>
          <w:b/>
          <w:bCs/>
          <w:color w:val="0D0D0D"/>
          <w:sz w:val="30"/>
          <w:szCs w:val="30"/>
          <w:lang w:eastAsia="en-IN"/>
        </w:rPr>
        <w:t xml:space="preserve"> Jena</w:t>
      </w:r>
    </w:p>
    <w:p w14:paraId="3A2FC860"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 rising European player, </w:t>
      </w:r>
      <w:proofErr w:type="spellStart"/>
      <w:r w:rsidRPr="00954E40">
        <w:rPr>
          <w:rFonts w:ascii="Segoe UI" w:eastAsia="Times New Roman" w:hAnsi="Segoe UI" w:cs="Segoe UI"/>
          <w:b/>
          <w:bCs/>
          <w:color w:val="0D0D0D"/>
          <w:sz w:val="24"/>
          <w:szCs w:val="24"/>
          <w:lang w:eastAsia="en-IN"/>
        </w:rPr>
        <w:t>Analytik</w:t>
      </w:r>
      <w:proofErr w:type="spellEnd"/>
      <w:r w:rsidRPr="00954E40">
        <w:rPr>
          <w:rFonts w:ascii="Segoe UI" w:eastAsia="Times New Roman" w:hAnsi="Segoe UI" w:cs="Segoe UI"/>
          <w:b/>
          <w:bCs/>
          <w:color w:val="0D0D0D"/>
          <w:sz w:val="24"/>
          <w:szCs w:val="24"/>
          <w:lang w:eastAsia="en-IN"/>
        </w:rPr>
        <w:t xml:space="preserve"> Jena</w:t>
      </w:r>
      <w:r w:rsidRPr="00954E40">
        <w:rPr>
          <w:rFonts w:ascii="Segoe UI" w:eastAsia="Times New Roman" w:hAnsi="Segoe UI" w:cs="Segoe UI"/>
          <w:color w:val="0D0D0D"/>
          <w:sz w:val="24"/>
          <w:szCs w:val="24"/>
          <w:lang w:eastAsia="en-IN"/>
        </w:rPr>
        <w:t> focuses on electrophoresis systems for </w:t>
      </w:r>
      <w:r w:rsidRPr="00954E40">
        <w:rPr>
          <w:rFonts w:ascii="Segoe UI" w:eastAsia="Times New Roman" w:hAnsi="Segoe UI" w:cs="Segoe UI"/>
          <w:b/>
          <w:bCs/>
          <w:color w:val="0D0D0D"/>
          <w:sz w:val="24"/>
          <w:szCs w:val="24"/>
          <w:lang w:eastAsia="en-IN"/>
        </w:rPr>
        <w:t>routine and high-end research</w:t>
      </w:r>
      <w:r w:rsidRPr="00954E40">
        <w:rPr>
          <w:rFonts w:ascii="Segoe UI" w:eastAsia="Times New Roman" w:hAnsi="Segoe UI" w:cs="Segoe UI"/>
          <w:color w:val="0D0D0D"/>
          <w:sz w:val="24"/>
          <w:szCs w:val="24"/>
          <w:lang w:eastAsia="en-IN"/>
        </w:rPr>
        <w:t>, including DNA fragment analysis and RNA integrity checks. The company is investing in </w:t>
      </w:r>
      <w:r w:rsidRPr="00954E40">
        <w:rPr>
          <w:rFonts w:ascii="Segoe UI" w:eastAsia="Times New Roman" w:hAnsi="Segoe UI" w:cs="Segoe UI"/>
          <w:b/>
          <w:bCs/>
          <w:color w:val="0D0D0D"/>
          <w:sz w:val="24"/>
          <w:szCs w:val="24"/>
          <w:lang w:eastAsia="en-IN"/>
        </w:rPr>
        <w:t>instrument automation and flexible electrophoresis configurations</w:t>
      </w:r>
      <w:r w:rsidRPr="00954E40">
        <w:rPr>
          <w:rFonts w:ascii="Segoe UI" w:eastAsia="Times New Roman" w:hAnsi="Segoe UI" w:cs="Segoe UI"/>
          <w:color w:val="0D0D0D"/>
          <w:sz w:val="24"/>
          <w:szCs w:val="24"/>
          <w:lang w:eastAsia="en-IN"/>
        </w:rPr>
        <w:t> to serve mid-size labs.</w:t>
      </w:r>
    </w:p>
    <w:p w14:paraId="5626E443"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BDE47FC">
          <v:rect id="_x0000_i1257" style="width:0;height:0" o:hralign="center" o:hrstd="t" o:hrnoshade="t" o:hr="t" fillcolor="#0d0d0d" stroked="f"/>
        </w:pict>
      </w:r>
    </w:p>
    <w:p w14:paraId="2D0FD2EE"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t>The competitive landscape is evolving toward platforms that are not just instruments — but complete ecosystems combining reagents, software, and service layers. Firms that enable cross-functional workflows and digital transformation will dominate future market share.</w:t>
      </w:r>
    </w:p>
    <w:p w14:paraId="5C2890C6"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t>5. Regional Landscape and Adoption Outlook</w:t>
      </w:r>
    </w:p>
    <w:p w14:paraId="1B46D865"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adoption of electrophoresis technology varies widely across regions, influenced by R&amp;D investment, healthcare infrastructure, biopharma maturity, and academic intensity. While </w:t>
      </w:r>
      <w:r w:rsidRPr="00954E40">
        <w:rPr>
          <w:rFonts w:ascii="Segoe UI" w:eastAsia="Times New Roman" w:hAnsi="Segoe UI" w:cs="Segoe UI"/>
          <w:b/>
          <w:bCs/>
          <w:color w:val="0D0D0D"/>
          <w:sz w:val="24"/>
          <w:szCs w:val="24"/>
          <w:lang w:eastAsia="en-IN"/>
        </w:rPr>
        <w:t>North America</w:t>
      </w:r>
      <w:r w:rsidRPr="00954E40">
        <w:rPr>
          <w:rFonts w:ascii="Segoe UI" w:eastAsia="Times New Roman" w:hAnsi="Segoe UI" w:cs="Segoe UI"/>
          <w:color w:val="0D0D0D"/>
          <w:sz w:val="24"/>
          <w:szCs w:val="24"/>
          <w:lang w:eastAsia="en-IN"/>
        </w:rPr>
        <w:t xml:space="preserve"> remains the </w:t>
      </w:r>
      <w:proofErr w:type="spellStart"/>
      <w:r w:rsidRPr="00954E40">
        <w:rPr>
          <w:rFonts w:ascii="Segoe UI" w:eastAsia="Times New Roman" w:hAnsi="Segoe UI" w:cs="Segoe UI"/>
          <w:color w:val="0D0D0D"/>
          <w:sz w:val="24"/>
          <w:szCs w:val="24"/>
          <w:lang w:eastAsia="en-IN"/>
        </w:rPr>
        <w:t>epicenter</w:t>
      </w:r>
      <w:proofErr w:type="spellEnd"/>
      <w:r w:rsidRPr="00954E40">
        <w:rPr>
          <w:rFonts w:ascii="Segoe UI" w:eastAsia="Times New Roman" w:hAnsi="Segoe UI" w:cs="Segoe UI"/>
          <w:color w:val="0D0D0D"/>
          <w:sz w:val="24"/>
          <w:szCs w:val="24"/>
          <w:lang w:eastAsia="en-IN"/>
        </w:rPr>
        <w:t xml:space="preserve"> of electrophoresis innovation and usage, </w:t>
      </w:r>
      <w:r w:rsidRPr="00954E40">
        <w:rPr>
          <w:rFonts w:ascii="Segoe UI" w:eastAsia="Times New Roman" w:hAnsi="Segoe UI" w:cs="Segoe UI"/>
          <w:b/>
          <w:bCs/>
          <w:color w:val="0D0D0D"/>
          <w:sz w:val="24"/>
          <w:szCs w:val="24"/>
          <w:lang w:eastAsia="en-IN"/>
        </w:rPr>
        <w:t>Asia Pacific</w:t>
      </w:r>
      <w:r w:rsidRPr="00954E40">
        <w:rPr>
          <w:rFonts w:ascii="Segoe UI" w:eastAsia="Times New Roman" w:hAnsi="Segoe UI" w:cs="Segoe UI"/>
          <w:color w:val="0D0D0D"/>
          <w:sz w:val="24"/>
          <w:szCs w:val="24"/>
          <w:lang w:eastAsia="en-IN"/>
        </w:rPr>
        <w:t> is emerging as a dynamic growth engine through rising research spending and diagnostics expansion.</w:t>
      </w:r>
    </w:p>
    <w:p w14:paraId="07E853B7"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5F5882A3">
          <v:rect id="_x0000_i1258" style="width:0;height:0" o:hralign="center" o:hrstd="t" o:hrnoshade="t" o:hr="t" fillcolor="#0d0d0d" stroked="f"/>
        </w:pict>
      </w:r>
    </w:p>
    <w:p w14:paraId="76E04FB8"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North America</w:t>
      </w:r>
    </w:p>
    <w:p w14:paraId="165F478C"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North America</w:t>
      </w:r>
      <w:r w:rsidRPr="00954E40">
        <w:rPr>
          <w:rFonts w:ascii="Segoe UI" w:eastAsia="Times New Roman" w:hAnsi="Segoe UI" w:cs="Segoe UI"/>
          <w:color w:val="0D0D0D"/>
          <w:sz w:val="24"/>
          <w:szCs w:val="24"/>
          <w:lang w:eastAsia="en-IN"/>
        </w:rPr>
        <w:t> held the largest revenue share in 2024, driven by strong funding for genomics and proteomics research, early adoption of advanced electrophoresis platforms, and the dominance of key players headquartered in the U.S.</w:t>
      </w:r>
    </w:p>
    <w:p w14:paraId="60488985" w14:textId="77777777" w:rsidR="00954E40" w:rsidRPr="00954E40" w:rsidRDefault="00954E40" w:rsidP="00954E40">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w:t>
      </w:r>
      <w:r w:rsidRPr="00954E40">
        <w:rPr>
          <w:rFonts w:ascii="Segoe UI" w:eastAsia="Times New Roman" w:hAnsi="Segoe UI" w:cs="Segoe UI"/>
          <w:b/>
          <w:bCs/>
          <w:color w:val="0D0D0D"/>
          <w:sz w:val="24"/>
          <w:szCs w:val="24"/>
          <w:lang w:eastAsia="en-IN"/>
        </w:rPr>
        <w:t>United States</w:t>
      </w:r>
      <w:r w:rsidRPr="00954E40">
        <w:rPr>
          <w:rFonts w:ascii="Segoe UI" w:eastAsia="Times New Roman" w:hAnsi="Segoe UI" w:cs="Segoe UI"/>
          <w:color w:val="0D0D0D"/>
          <w:sz w:val="24"/>
          <w:szCs w:val="24"/>
          <w:lang w:eastAsia="en-IN"/>
        </w:rPr>
        <w:t> continues to lead in adoption, backed by National Institutes of Health (NIH) grants, high throughput labs, and pharmaceutical R&amp;D pipelines that require extensive purity profiling.</w:t>
      </w:r>
    </w:p>
    <w:p w14:paraId="59D08DFA" w14:textId="77777777" w:rsidR="00954E40" w:rsidRPr="00954E40" w:rsidRDefault="00954E40" w:rsidP="00954E40">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Canada</w:t>
      </w:r>
      <w:r w:rsidRPr="00954E40">
        <w:rPr>
          <w:rFonts w:ascii="Segoe UI" w:eastAsia="Times New Roman" w:hAnsi="Segoe UI" w:cs="Segoe UI"/>
          <w:color w:val="0D0D0D"/>
          <w:sz w:val="24"/>
          <w:szCs w:val="24"/>
          <w:lang w:eastAsia="en-IN"/>
        </w:rPr>
        <w:t> is seeing growing usage in academic research labs and environmental testing agencies, supported by federal innovation programs.</w:t>
      </w:r>
    </w:p>
    <w:p w14:paraId="30E3A7C8"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lastRenderedPageBreak/>
        <w:t>“North American labs now demand integrated platforms where electrophoresis is no longer standalone but linked to LIMS and analytical suites,”</w:t>
      </w:r>
      <w:r w:rsidRPr="00954E40">
        <w:rPr>
          <w:rFonts w:ascii="Segoe UI" w:eastAsia="Times New Roman" w:hAnsi="Segoe UI" w:cs="Segoe UI"/>
          <w:color w:val="0D0D0D"/>
          <w:sz w:val="24"/>
          <w:szCs w:val="24"/>
          <w:lang w:eastAsia="en-IN"/>
        </w:rPr>
        <w:t> observes a senior systems integrator.</w:t>
      </w:r>
    </w:p>
    <w:p w14:paraId="28A87614"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61988B9E">
          <v:rect id="_x0000_i1259" style="width:0;height:0" o:hralign="center" o:hrstd="t" o:hrnoshade="t" o:hr="t" fillcolor="#0d0d0d" stroked="f"/>
        </w:pict>
      </w:r>
    </w:p>
    <w:p w14:paraId="61C6AF9C"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Europe</w:t>
      </w:r>
    </w:p>
    <w:p w14:paraId="1E4BE56A"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Europe maintains a </w:t>
      </w:r>
      <w:r w:rsidRPr="00954E40">
        <w:rPr>
          <w:rFonts w:ascii="Segoe UI" w:eastAsia="Times New Roman" w:hAnsi="Segoe UI" w:cs="Segoe UI"/>
          <w:b/>
          <w:bCs/>
          <w:color w:val="0D0D0D"/>
          <w:sz w:val="24"/>
          <w:szCs w:val="24"/>
          <w:lang w:eastAsia="en-IN"/>
        </w:rPr>
        <w:t>mature and stable adoption pattern</w:t>
      </w:r>
      <w:r w:rsidRPr="00954E40">
        <w:rPr>
          <w:rFonts w:ascii="Segoe UI" w:eastAsia="Times New Roman" w:hAnsi="Segoe UI" w:cs="Segoe UI"/>
          <w:color w:val="0D0D0D"/>
          <w:sz w:val="24"/>
          <w:szCs w:val="24"/>
          <w:lang w:eastAsia="en-IN"/>
        </w:rPr>
        <w:t>, with strong uptake in academic institutions, clinical labs, and forensic science departments.</w:t>
      </w:r>
    </w:p>
    <w:p w14:paraId="60ACE301" w14:textId="77777777" w:rsidR="00954E40" w:rsidRPr="00954E40" w:rsidRDefault="00954E40" w:rsidP="00954E40">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Germany</w:t>
      </w:r>
      <w:r w:rsidRPr="00954E40">
        <w:rPr>
          <w:rFonts w:ascii="Segoe UI" w:eastAsia="Times New Roman" w:hAnsi="Segoe UI" w:cs="Segoe UI"/>
          <w:color w:val="0D0D0D"/>
          <w:sz w:val="24"/>
          <w:szCs w:val="24"/>
          <w:lang w:eastAsia="en-IN"/>
        </w:rPr>
        <w:t> and the </w:t>
      </w:r>
      <w:r w:rsidRPr="00954E40">
        <w:rPr>
          <w:rFonts w:ascii="Segoe UI" w:eastAsia="Times New Roman" w:hAnsi="Segoe UI" w:cs="Segoe UI"/>
          <w:b/>
          <w:bCs/>
          <w:color w:val="0D0D0D"/>
          <w:sz w:val="24"/>
          <w:szCs w:val="24"/>
          <w:lang w:eastAsia="en-IN"/>
        </w:rPr>
        <w:t>UK</w:t>
      </w:r>
      <w:r w:rsidRPr="00954E40">
        <w:rPr>
          <w:rFonts w:ascii="Segoe UI" w:eastAsia="Times New Roman" w:hAnsi="Segoe UI" w:cs="Segoe UI"/>
          <w:color w:val="0D0D0D"/>
          <w:sz w:val="24"/>
          <w:szCs w:val="24"/>
          <w:lang w:eastAsia="en-IN"/>
        </w:rPr>
        <w:t> are major contributors, supported by strong biotech funding and advanced laboratory infrastructure.</w:t>
      </w:r>
    </w:p>
    <w:p w14:paraId="638D92D9" w14:textId="77777777" w:rsidR="00954E40" w:rsidRPr="00954E40" w:rsidRDefault="00954E40" w:rsidP="00954E40">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France</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Scandinavia</w:t>
      </w:r>
      <w:r w:rsidRPr="00954E40">
        <w:rPr>
          <w:rFonts w:ascii="Segoe UI" w:eastAsia="Times New Roman" w:hAnsi="Segoe UI" w:cs="Segoe UI"/>
          <w:color w:val="0D0D0D"/>
          <w:sz w:val="24"/>
          <w:szCs w:val="24"/>
          <w:lang w:eastAsia="en-IN"/>
        </w:rPr>
        <w:t> are increasing investment in clinical electrophoresis, particularly in rare disease diagnostics and protein analysis.</w:t>
      </w:r>
    </w:p>
    <w:p w14:paraId="494787D7"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European labs are also increasingly influenced by </w:t>
      </w:r>
      <w:r w:rsidRPr="00954E40">
        <w:rPr>
          <w:rFonts w:ascii="Segoe UI" w:eastAsia="Times New Roman" w:hAnsi="Segoe UI" w:cs="Segoe UI"/>
          <w:b/>
          <w:bCs/>
          <w:color w:val="0D0D0D"/>
          <w:sz w:val="24"/>
          <w:szCs w:val="24"/>
          <w:lang w:eastAsia="en-IN"/>
        </w:rPr>
        <w:t>EU sustainability mandates</w:t>
      </w:r>
      <w:r w:rsidRPr="00954E40">
        <w:rPr>
          <w:rFonts w:ascii="Segoe UI" w:eastAsia="Times New Roman" w:hAnsi="Segoe UI" w:cs="Segoe UI"/>
          <w:color w:val="0D0D0D"/>
          <w:sz w:val="24"/>
          <w:szCs w:val="24"/>
          <w:lang w:eastAsia="en-IN"/>
        </w:rPr>
        <w:t>, leading to a shift toward </w:t>
      </w:r>
      <w:r w:rsidRPr="00954E40">
        <w:rPr>
          <w:rFonts w:ascii="Segoe UI" w:eastAsia="Times New Roman" w:hAnsi="Segoe UI" w:cs="Segoe UI"/>
          <w:b/>
          <w:bCs/>
          <w:color w:val="0D0D0D"/>
          <w:sz w:val="24"/>
          <w:szCs w:val="24"/>
          <w:lang w:eastAsia="en-IN"/>
        </w:rPr>
        <w:t>eco-friendly electrophoresis materials</w:t>
      </w:r>
      <w:r w:rsidRPr="00954E40">
        <w:rPr>
          <w:rFonts w:ascii="Segoe UI" w:eastAsia="Times New Roman" w:hAnsi="Segoe UI" w:cs="Segoe UI"/>
          <w:color w:val="0D0D0D"/>
          <w:sz w:val="24"/>
          <w:szCs w:val="24"/>
          <w:lang w:eastAsia="en-IN"/>
        </w:rPr>
        <w:t> and reusable systems.</w:t>
      </w:r>
    </w:p>
    <w:p w14:paraId="58332A5B"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34311586">
          <v:rect id="_x0000_i1260" style="width:0;height:0" o:hralign="center" o:hrstd="t" o:hrnoshade="t" o:hr="t" fillcolor="#0d0d0d" stroked="f"/>
        </w:pict>
      </w:r>
    </w:p>
    <w:p w14:paraId="3DECCA70"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Asia Pacific</w:t>
      </w:r>
    </w:p>
    <w:p w14:paraId="401EFB50"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Asia Pacific is the </w:t>
      </w:r>
      <w:r w:rsidRPr="00954E40">
        <w:rPr>
          <w:rFonts w:ascii="Segoe UI" w:eastAsia="Times New Roman" w:hAnsi="Segoe UI" w:cs="Segoe UI"/>
          <w:b/>
          <w:bCs/>
          <w:color w:val="0D0D0D"/>
          <w:sz w:val="24"/>
          <w:szCs w:val="24"/>
          <w:lang w:eastAsia="en-IN"/>
        </w:rPr>
        <w:t>fastest-growing region</w:t>
      </w:r>
      <w:r w:rsidRPr="00954E40">
        <w:rPr>
          <w:rFonts w:ascii="Segoe UI" w:eastAsia="Times New Roman" w:hAnsi="Segoe UI" w:cs="Segoe UI"/>
          <w:color w:val="0D0D0D"/>
          <w:sz w:val="24"/>
          <w:szCs w:val="24"/>
          <w:lang w:eastAsia="en-IN"/>
        </w:rPr>
        <w:t xml:space="preserve">, </w:t>
      </w:r>
      <w:proofErr w:type="spellStart"/>
      <w:r w:rsidRPr="00954E40">
        <w:rPr>
          <w:rFonts w:ascii="Segoe UI" w:eastAsia="Times New Roman" w:hAnsi="Segoe UI" w:cs="Segoe UI"/>
          <w:color w:val="0D0D0D"/>
          <w:sz w:val="24"/>
          <w:szCs w:val="24"/>
          <w:lang w:eastAsia="en-IN"/>
        </w:rPr>
        <w:t>fueled</w:t>
      </w:r>
      <w:proofErr w:type="spellEnd"/>
      <w:r w:rsidRPr="00954E40">
        <w:rPr>
          <w:rFonts w:ascii="Segoe UI" w:eastAsia="Times New Roman" w:hAnsi="Segoe UI" w:cs="Segoe UI"/>
          <w:color w:val="0D0D0D"/>
          <w:sz w:val="24"/>
          <w:szCs w:val="24"/>
          <w:lang w:eastAsia="en-IN"/>
        </w:rPr>
        <w:t xml:space="preserve"> by government-backed R&amp;D initiatives, expansion of diagnostic labs, and booming biotechnology sectors in </w:t>
      </w:r>
      <w:r w:rsidRPr="00954E40">
        <w:rPr>
          <w:rFonts w:ascii="Segoe UI" w:eastAsia="Times New Roman" w:hAnsi="Segoe UI" w:cs="Segoe UI"/>
          <w:b/>
          <w:bCs/>
          <w:color w:val="0D0D0D"/>
          <w:sz w:val="24"/>
          <w:szCs w:val="24"/>
          <w:lang w:eastAsia="en-IN"/>
        </w:rPr>
        <w:t>China</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India</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South Korea</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Japan</w:t>
      </w:r>
      <w:r w:rsidRPr="00954E40">
        <w:rPr>
          <w:rFonts w:ascii="Segoe UI" w:eastAsia="Times New Roman" w:hAnsi="Segoe UI" w:cs="Segoe UI"/>
          <w:color w:val="0D0D0D"/>
          <w:sz w:val="24"/>
          <w:szCs w:val="24"/>
          <w:lang w:eastAsia="en-IN"/>
        </w:rPr>
        <w:t>.</w:t>
      </w:r>
    </w:p>
    <w:p w14:paraId="7F9BF09E" w14:textId="77777777" w:rsidR="00954E40" w:rsidRPr="00954E40" w:rsidRDefault="00954E40" w:rsidP="00954E40">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China</w:t>
      </w:r>
      <w:r w:rsidRPr="00954E40">
        <w:rPr>
          <w:rFonts w:ascii="Segoe UI" w:eastAsia="Times New Roman" w:hAnsi="Segoe UI" w:cs="Segoe UI"/>
          <w:color w:val="0D0D0D"/>
          <w:sz w:val="24"/>
          <w:szCs w:val="24"/>
          <w:lang w:eastAsia="en-IN"/>
        </w:rPr>
        <w:t> is rapidly deploying capillary electrophoresis in both pharma QA and food safety testing, with growing local manufacturing support.</w:t>
      </w:r>
    </w:p>
    <w:p w14:paraId="1C6AE552" w14:textId="77777777" w:rsidR="00954E40" w:rsidRPr="00954E40" w:rsidRDefault="00954E40" w:rsidP="00954E40">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India</w:t>
      </w:r>
      <w:r w:rsidRPr="00954E40">
        <w:rPr>
          <w:rFonts w:ascii="Segoe UI" w:eastAsia="Times New Roman" w:hAnsi="Segoe UI" w:cs="Segoe UI"/>
          <w:color w:val="0D0D0D"/>
          <w:sz w:val="24"/>
          <w:szCs w:val="24"/>
          <w:lang w:eastAsia="en-IN"/>
        </w:rPr>
        <w:t> has surged in electrophoresis adoption through its expansive academic and forensic science networks, supplemented by rising molecular diagnostics demand.</w:t>
      </w:r>
    </w:p>
    <w:p w14:paraId="4BEC4172" w14:textId="77777777" w:rsidR="00954E40" w:rsidRPr="00954E40" w:rsidRDefault="00954E40" w:rsidP="00954E40">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Japan</w:t>
      </w:r>
      <w:r w:rsidRPr="00954E40">
        <w:rPr>
          <w:rFonts w:ascii="Segoe UI" w:eastAsia="Times New Roman" w:hAnsi="Segoe UI" w:cs="Segoe UI"/>
          <w:color w:val="0D0D0D"/>
          <w:sz w:val="24"/>
          <w:szCs w:val="24"/>
          <w:lang w:eastAsia="en-IN"/>
        </w:rPr>
        <w:t> continues to lead in miniaturized systems development and automation-based platforms.</w:t>
      </w:r>
    </w:p>
    <w:p w14:paraId="41979745"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t>“In India and Southeast Asia, electrophoresis is being embedded into diagnostic algorithms for hemoglobinopathies and tuberculosis, making it a public health tool,”</w:t>
      </w:r>
      <w:r w:rsidRPr="00954E40">
        <w:rPr>
          <w:rFonts w:ascii="Segoe UI" w:eastAsia="Times New Roman" w:hAnsi="Segoe UI" w:cs="Segoe UI"/>
          <w:color w:val="0D0D0D"/>
          <w:sz w:val="24"/>
          <w:szCs w:val="24"/>
          <w:lang w:eastAsia="en-IN"/>
        </w:rPr>
        <w:t> notes a clinical pathologist in Mumbai.</w:t>
      </w:r>
    </w:p>
    <w:p w14:paraId="6F92F846"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lastRenderedPageBreak/>
        <w:pict w14:anchorId="5A138973">
          <v:rect id="_x0000_i1261" style="width:0;height:0" o:hralign="center" o:hrstd="t" o:hrnoshade="t" o:hr="t" fillcolor="#0d0d0d" stroked="f"/>
        </w:pict>
      </w:r>
    </w:p>
    <w:p w14:paraId="744B76D5"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Latin America</w:t>
      </w:r>
    </w:p>
    <w:p w14:paraId="0E1ACEAE"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Adoption in </w:t>
      </w:r>
      <w:r w:rsidRPr="00954E40">
        <w:rPr>
          <w:rFonts w:ascii="Segoe UI" w:eastAsia="Times New Roman" w:hAnsi="Segoe UI" w:cs="Segoe UI"/>
          <w:b/>
          <w:bCs/>
          <w:color w:val="0D0D0D"/>
          <w:sz w:val="24"/>
          <w:szCs w:val="24"/>
          <w:lang w:eastAsia="en-IN"/>
        </w:rPr>
        <w:t>Latin America</w:t>
      </w:r>
      <w:r w:rsidRPr="00954E40">
        <w:rPr>
          <w:rFonts w:ascii="Segoe UI" w:eastAsia="Times New Roman" w:hAnsi="Segoe UI" w:cs="Segoe UI"/>
          <w:color w:val="0D0D0D"/>
          <w:sz w:val="24"/>
          <w:szCs w:val="24"/>
          <w:lang w:eastAsia="en-IN"/>
        </w:rPr>
        <w:t> remains moderate, with </w:t>
      </w:r>
      <w:r w:rsidRPr="00954E40">
        <w:rPr>
          <w:rFonts w:ascii="Segoe UI" w:eastAsia="Times New Roman" w:hAnsi="Segoe UI" w:cs="Segoe UI"/>
          <w:b/>
          <w:bCs/>
          <w:color w:val="0D0D0D"/>
          <w:sz w:val="24"/>
          <w:szCs w:val="24"/>
          <w:lang w:eastAsia="en-IN"/>
        </w:rPr>
        <w:t>Brazil</w:t>
      </w:r>
      <w:r w:rsidRPr="00954E40">
        <w:rPr>
          <w:rFonts w:ascii="Segoe UI" w:eastAsia="Times New Roman" w:hAnsi="Segoe UI" w:cs="Segoe UI"/>
          <w:color w:val="0D0D0D"/>
          <w:sz w:val="24"/>
          <w:szCs w:val="24"/>
          <w:lang w:eastAsia="en-IN"/>
        </w:rPr>
        <w:t> leading in both research and diagnostic applications. Government healthcare reforms and academic investments are improving electrophoresis accessibility, particularly in public sector labs.</w:t>
      </w:r>
    </w:p>
    <w:p w14:paraId="3577A215"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Challenges remain in distribution logistics and affordability, but initiatives in </w:t>
      </w:r>
      <w:r w:rsidRPr="00954E40">
        <w:rPr>
          <w:rFonts w:ascii="Segoe UI" w:eastAsia="Times New Roman" w:hAnsi="Segoe UI" w:cs="Segoe UI"/>
          <w:b/>
          <w:bCs/>
          <w:color w:val="0D0D0D"/>
          <w:sz w:val="24"/>
          <w:szCs w:val="24"/>
          <w:lang w:eastAsia="en-IN"/>
        </w:rPr>
        <w:t>personalized medicine and agricultural biotech</w:t>
      </w:r>
      <w:r w:rsidRPr="00954E40">
        <w:rPr>
          <w:rFonts w:ascii="Segoe UI" w:eastAsia="Times New Roman" w:hAnsi="Segoe UI" w:cs="Segoe UI"/>
          <w:color w:val="0D0D0D"/>
          <w:sz w:val="24"/>
          <w:szCs w:val="24"/>
          <w:lang w:eastAsia="en-IN"/>
        </w:rPr>
        <w:t> are opening new avenues.</w:t>
      </w:r>
    </w:p>
    <w:p w14:paraId="4991D44C"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3A8CDD77">
          <v:rect id="_x0000_i1262" style="width:0;height:0" o:hralign="center" o:hrstd="t" o:hrnoshade="t" o:hr="t" fillcolor="#0d0d0d" stroked="f"/>
        </w:pict>
      </w:r>
    </w:p>
    <w:p w14:paraId="7A8A4B30"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Middle East and Africa (MEA)</w:t>
      </w:r>
    </w:p>
    <w:p w14:paraId="267359A4"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w:t>
      </w:r>
      <w:r w:rsidRPr="00954E40">
        <w:rPr>
          <w:rFonts w:ascii="Segoe UI" w:eastAsia="Times New Roman" w:hAnsi="Segoe UI" w:cs="Segoe UI"/>
          <w:b/>
          <w:bCs/>
          <w:color w:val="0D0D0D"/>
          <w:sz w:val="24"/>
          <w:szCs w:val="24"/>
          <w:lang w:eastAsia="en-IN"/>
        </w:rPr>
        <w:t>MEA region</w:t>
      </w:r>
      <w:r w:rsidRPr="00954E40">
        <w:rPr>
          <w:rFonts w:ascii="Segoe UI" w:eastAsia="Times New Roman" w:hAnsi="Segoe UI" w:cs="Segoe UI"/>
          <w:color w:val="0D0D0D"/>
          <w:sz w:val="24"/>
          <w:szCs w:val="24"/>
          <w:lang w:eastAsia="en-IN"/>
        </w:rPr>
        <w:t> is still emerging, with </w:t>
      </w:r>
      <w:r w:rsidRPr="00954E40">
        <w:rPr>
          <w:rFonts w:ascii="Segoe UI" w:eastAsia="Times New Roman" w:hAnsi="Segoe UI" w:cs="Segoe UI"/>
          <w:b/>
          <w:bCs/>
          <w:color w:val="0D0D0D"/>
          <w:sz w:val="24"/>
          <w:szCs w:val="24"/>
          <w:lang w:eastAsia="en-IN"/>
        </w:rPr>
        <w:t>South Africa</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Saudi Arabia</w:t>
      </w:r>
      <w:r w:rsidRPr="00954E40">
        <w:rPr>
          <w:rFonts w:ascii="Segoe UI" w:eastAsia="Times New Roman" w:hAnsi="Segoe UI" w:cs="Segoe UI"/>
          <w:color w:val="0D0D0D"/>
          <w:sz w:val="24"/>
          <w:szCs w:val="24"/>
          <w:lang w:eastAsia="en-IN"/>
        </w:rPr>
        <w:t>, and the </w:t>
      </w:r>
      <w:r w:rsidRPr="00954E40">
        <w:rPr>
          <w:rFonts w:ascii="Segoe UI" w:eastAsia="Times New Roman" w:hAnsi="Segoe UI" w:cs="Segoe UI"/>
          <w:b/>
          <w:bCs/>
          <w:color w:val="0D0D0D"/>
          <w:sz w:val="24"/>
          <w:szCs w:val="24"/>
          <w:lang w:eastAsia="en-IN"/>
        </w:rPr>
        <w:t>UAE</w:t>
      </w:r>
      <w:r w:rsidRPr="00954E40">
        <w:rPr>
          <w:rFonts w:ascii="Segoe UI" w:eastAsia="Times New Roman" w:hAnsi="Segoe UI" w:cs="Segoe UI"/>
          <w:color w:val="0D0D0D"/>
          <w:sz w:val="24"/>
          <w:szCs w:val="24"/>
          <w:lang w:eastAsia="en-IN"/>
        </w:rPr>
        <w:t xml:space="preserve"> being the most active adopters. Growth is concentrated in centralized reference labs, university research facilities, and medical education </w:t>
      </w:r>
      <w:proofErr w:type="spellStart"/>
      <w:r w:rsidRPr="00954E40">
        <w:rPr>
          <w:rFonts w:ascii="Segoe UI" w:eastAsia="Times New Roman" w:hAnsi="Segoe UI" w:cs="Segoe UI"/>
          <w:color w:val="0D0D0D"/>
          <w:sz w:val="24"/>
          <w:szCs w:val="24"/>
          <w:lang w:eastAsia="en-IN"/>
        </w:rPr>
        <w:t>centers</w:t>
      </w:r>
      <w:proofErr w:type="spellEnd"/>
      <w:r w:rsidRPr="00954E40">
        <w:rPr>
          <w:rFonts w:ascii="Segoe UI" w:eastAsia="Times New Roman" w:hAnsi="Segoe UI" w:cs="Segoe UI"/>
          <w:color w:val="0D0D0D"/>
          <w:sz w:val="24"/>
          <w:szCs w:val="24"/>
          <w:lang w:eastAsia="en-IN"/>
        </w:rPr>
        <w:t>.</w:t>
      </w:r>
    </w:p>
    <w:p w14:paraId="32429CF4" w14:textId="77777777" w:rsidR="00954E40" w:rsidRPr="00954E40" w:rsidRDefault="00954E40" w:rsidP="00954E4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However, lack of technical expertise and limited reagent supply chains restrict broader diffusion.</w:t>
      </w:r>
    </w:p>
    <w:p w14:paraId="408C1535"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t>“There’s strong latent demand in North Africa and the Gulf for molecular testing, but electrophoresis training and support infrastructure still lags,”</w:t>
      </w:r>
      <w:r w:rsidRPr="00954E40">
        <w:rPr>
          <w:rFonts w:ascii="Segoe UI" w:eastAsia="Times New Roman" w:hAnsi="Segoe UI" w:cs="Segoe UI"/>
          <w:color w:val="0D0D0D"/>
          <w:sz w:val="24"/>
          <w:szCs w:val="24"/>
          <w:lang w:eastAsia="en-IN"/>
        </w:rPr>
        <w:t> states a regional distributor.</w:t>
      </w:r>
    </w:p>
    <w:p w14:paraId="5916608E"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918EC28">
          <v:rect id="_x0000_i1263" style="width:0;height:0" o:hralign="center" o:hrstd="t" o:hrnoshade="t" o:hr="t" fillcolor="#0d0d0d" stroked="f"/>
        </w:pict>
      </w:r>
    </w:p>
    <w:p w14:paraId="4A82FA4E"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White Space Opportunities</w:t>
      </w:r>
      <w:r w:rsidRPr="00954E40">
        <w:rPr>
          <w:rFonts w:ascii="Segoe UI" w:eastAsia="Times New Roman" w:hAnsi="Segoe UI" w:cs="Segoe UI"/>
          <w:color w:val="0D0D0D"/>
          <w:sz w:val="24"/>
          <w:szCs w:val="24"/>
          <w:lang w:eastAsia="en-IN"/>
        </w:rPr>
        <w:t>:</w:t>
      </w:r>
    </w:p>
    <w:p w14:paraId="1DC9708F" w14:textId="77777777" w:rsidR="00954E40" w:rsidRPr="00954E40" w:rsidRDefault="00954E40" w:rsidP="00954E40">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Central Africa, parts of Southeast Asia, and rural Latin America</w:t>
      </w:r>
      <w:r w:rsidRPr="00954E40">
        <w:rPr>
          <w:rFonts w:ascii="Segoe UI" w:eastAsia="Times New Roman" w:hAnsi="Segoe UI" w:cs="Segoe UI"/>
          <w:color w:val="0D0D0D"/>
          <w:sz w:val="24"/>
          <w:szCs w:val="24"/>
          <w:lang w:eastAsia="en-IN"/>
        </w:rPr>
        <w:t> present underserved markets where mobile or decentralized electrophoresis could gain traction.</w:t>
      </w:r>
    </w:p>
    <w:p w14:paraId="53EFD8D8" w14:textId="77777777" w:rsidR="00954E40" w:rsidRPr="00954E40" w:rsidRDefault="00954E40" w:rsidP="00954E40">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Investments in </w:t>
      </w:r>
      <w:r w:rsidRPr="00954E40">
        <w:rPr>
          <w:rFonts w:ascii="Segoe UI" w:eastAsia="Times New Roman" w:hAnsi="Segoe UI" w:cs="Segoe UI"/>
          <w:b/>
          <w:bCs/>
          <w:color w:val="0D0D0D"/>
          <w:sz w:val="24"/>
          <w:szCs w:val="24"/>
          <w:lang w:eastAsia="en-IN"/>
        </w:rPr>
        <w:t>telemedicine-integrated diagnostics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reagent-free systems</w:t>
      </w:r>
      <w:r w:rsidRPr="00954E40">
        <w:rPr>
          <w:rFonts w:ascii="Segoe UI" w:eastAsia="Times New Roman" w:hAnsi="Segoe UI" w:cs="Segoe UI"/>
          <w:color w:val="0D0D0D"/>
          <w:sz w:val="24"/>
          <w:szCs w:val="24"/>
          <w:lang w:eastAsia="en-IN"/>
        </w:rPr>
        <w:t xml:space="preserve"> could </w:t>
      </w:r>
      <w:proofErr w:type="spellStart"/>
      <w:r w:rsidRPr="00954E40">
        <w:rPr>
          <w:rFonts w:ascii="Segoe UI" w:eastAsia="Times New Roman" w:hAnsi="Segoe UI" w:cs="Segoe UI"/>
          <w:color w:val="0D0D0D"/>
          <w:sz w:val="24"/>
          <w:szCs w:val="24"/>
          <w:lang w:eastAsia="en-IN"/>
        </w:rPr>
        <w:t>catalyze</w:t>
      </w:r>
      <w:proofErr w:type="spellEnd"/>
      <w:r w:rsidRPr="00954E40">
        <w:rPr>
          <w:rFonts w:ascii="Segoe UI" w:eastAsia="Times New Roman" w:hAnsi="Segoe UI" w:cs="Segoe UI"/>
          <w:color w:val="0D0D0D"/>
          <w:sz w:val="24"/>
          <w:szCs w:val="24"/>
          <w:lang w:eastAsia="en-IN"/>
        </w:rPr>
        <w:t xml:space="preserve"> growth in low-resource settings.</w:t>
      </w:r>
    </w:p>
    <w:p w14:paraId="38116B09"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t>6. End-User Dynamics and Use Case</w:t>
      </w:r>
    </w:p>
    <w:p w14:paraId="0F44164F" w14:textId="77777777" w:rsidR="00954E40" w:rsidRPr="00954E40" w:rsidRDefault="00954E40" w:rsidP="00954E4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lastRenderedPageBreak/>
        <w:t>Electrophoresis technologies serve a wide spectrum of end users across research, clinical diagnostics, quality assurance, and forensic applications. Each category has distinct workflow demands, adoption barriers, and technological expectations. Understanding these dynamics is crucial for identifying growth pockets and tailoring product development.</w:t>
      </w:r>
    </w:p>
    <w:p w14:paraId="4218869A"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1C671894">
          <v:rect id="_x0000_i1264" style="width:0;height:0" o:hralign="center" o:hrstd="t" o:hrnoshade="t" o:hr="t" fillcolor="#0d0d0d" stroked="f"/>
        </w:pict>
      </w:r>
    </w:p>
    <w:p w14:paraId="41F09ABC"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Academic and Research Institutions</w:t>
      </w:r>
    </w:p>
    <w:p w14:paraId="466D0180"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This segment forms the </w:t>
      </w:r>
      <w:r w:rsidRPr="00954E40">
        <w:rPr>
          <w:rFonts w:ascii="Segoe UI" w:eastAsia="Times New Roman" w:hAnsi="Segoe UI" w:cs="Segoe UI"/>
          <w:b/>
          <w:bCs/>
          <w:color w:val="0D0D0D"/>
          <w:sz w:val="24"/>
          <w:szCs w:val="24"/>
          <w:lang w:eastAsia="en-IN"/>
        </w:rPr>
        <w:t>backbone of electrophoresis demand</w:t>
      </w:r>
      <w:r w:rsidRPr="00954E40">
        <w:rPr>
          <w:rFonts w:ascii="Segoe UI" w:eastAsia="Times New Roman" w:hAnsi="Segoe UI" w:cs="Segoe UI"/>
          <w:color w:val="0D0D0D"/>
          <w:sz w:val="24"/>
          <w:szCs w:val="24"/>
          <w:lang w:eastAsia="en-IN"/>
        </w:rPr>
        <w:t>, especially for basic molecular biology and proteomics research. Gel electrophoresis remains prevalent due to its low cost and instructional value, though capillary and microfluidic systems are gaining ground in top-tier labs.</w:t>
      </w:r>
    </w:p>
    <w:p w14:paraId="5EDF7838" w14:textId="77777777" w:rsidR="00954E40" w:rsidRPr="00954E40" w:rsidRDefault="00954E40" w:rsidP="00954E40">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Adoption is driven by </w:t>
      </w:r>
      <w:r w:rsidRPr="00954E40">
        <w:rPr>
          <w:rFonts w:ascii="Segoe UI" w:eastAsia="Times New Roman" w:hAnsi="Segoe UI" w:cs="Segoe UI"/>
          <w:b/>
          <w:bCs/>
          <w:color w:val="0D0D0D"/>
          <w:sz w:val="24"/>
          <w:szCs w:val="24"/>
          <w:lang w:eastAsia="en-IN"/>
        </w:rPr>
        <w:t>grant-funded projects</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PhD programs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multinational research collaborations</w:t>
      </w:r>
      <w:r w:rsidRPr="00954E40">
        <w:rPr>
          <w:rFonts w:ascii="Segoe UI" w:eastAsia="Times New Roman" w:hAnsi="Segoe UI" w:cs="Segoe UI"/>
          <w:color w:val="0D0D0D"/>
          <w:sz w:val="24"/>
          <w:szCs w:val="24"/>
          <w:lang w:eastAsia="en-IN"/>
        </w:rPr>
        <w:t>.</w:t>
      </w:r>
    </w:p>
    <w:p w14:paraId="3E13EBB0" w14:textId="77777777" w:rsidR="00954E40" w:rsidRPr="00954E40" w:rsidRDefault="00954E40" w:rsidP="00954E40">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There is increasing interest in </w:t>
      </w:r>
      <w:r w:rsidRPr="00954E40">
        <w:rPr>
          <w:rFonts w:ascii="Segoe UI" w:eastAsia="Times New Roman" w:hAnsi="Segoe UI" w:cs="Segoe UI"/>
          <w:b/>
          <w:bCs/>
          <w:color w:val="0D0D0D"/>
          <w:sz w:val="24"/>
          <w:szCs w:val="24"/>
          <w:lang w:eastAsia="en-IN"/>
        </w:rPr>
        <w:t>automated gel imaging and cloud-based result sharing</w:t>
      </w:r>
      <w:r w:rsidRPr="00954E40">
        <w:rPr>
          <w:rFonts w:ascii="Segoe UI" w:eastAsia="Times New Roman" w:hAnsi="Segoe UI" w:cs="Segoe UI"/>
          <w:color w:val="0D0D0D"/>
          <w:sz w:val="24"/>
          <w:szCs w:val="24"/>
          <w:lang w:eastAsia="en-IN"/>
        </w:rPr>
        <w:t>, especially among international research groups.</w:t>
      </w:r>
    </w:p>
    <w:p w14:paraId="1D4595A2"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3A2697BE">
          <v:rect id="_x0000_i1265" style="width:0;height:0" o:hralign="center" o:hrstd="t" o:hrnoshade="t" o:hr="t" fillcolor="#0d0d0d" stroked="f"/>
        </w:pict>
      </w:r>
    </w:p>
    <w:p w14:paraId="118A2166"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Pharmaceutical and Biotechnology Companies</w:t>
      </w:r>
    </w:p>
    <w:p w14:paraId="7B300CB5"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Electrophoresis is embedded in </w:t>
      </w:r>
      <w:r w:rsidRPr="00954E40">
        <w:rPr>
          <w:rFonts w:ascii="Segoe UI" w:eastAsia="Times New Roman" w:hAnsi="Segoe UI" w:cs="Segoe UI"/>
          <w:b/>
          <w:bCs/>
          <w:color w:val="0D0D0D"/>
          <w:sz w:val="24"/>
          <w:szCs w:val="24"/>
          <w:lang w:eastAsia="en-IN"/>
        </w:rPr>
        <w:t>drug development, biosimilar characterization, and quality control pipelines</w:t>
      </w:r>
      <w:r w:rsidRPr="00954E40">
        <w:rPr>
          <w:rFonts w:ascii="Segoe UI" w:eastAsia="Times New Roman" w:hAnsi="Segoe UI" w:cs="Segoe UI"/>
          <w:color w:val="0D0D0D"/>
          <w:sz w:val="24"/>
          <w:szCs w:val="24"/>
          <w:lang w:eastAsia="en-IN"/>
        </w:rPr>
        <w:t>. Capillary electrophoresis is heavily used in GMP environments for its precision, scalability, and regulatory compliance.</w:t>
      </w:r>
    </w:p>
    <w:p w14:paraId="7D6486F8" w14:textId="77777777" w:rsidR="00954E40" w:rsidRPr="00954E40" w:rsidRDefault="00954E40" w:rsidP="00954E40">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These users demand </w:t>
      </w:r>
      <w:r w:rsidRPr="00954E40">
        <w:rPr>
          <w:rFonts w:ascii="Segoe UI" w:eastAsia="Times New Roman" w:hAnsi="Segoe UI" w:cs="Segoe UI"/>
          <w:b/>
          <w:bCs/>
          <w:color w:val="0D0D0D"/>
          <w:sz w:val="24"/>
          <w:szCs w:val="24"/>
          <w:lang w:eastAsia="en-IN"/>
        </w:rPr>
        <w:t>validated, 21 CFR Part 11-compliant systems</w:t>
      </w:r>
      <w:r w:rsidRPr="00954E40">
        <w:rPr>
          <w:rFonts w:ascii="Segoe UI" w:eastAsia="Times New Roman" w:hAnsi="Segoe UI" w:cs="Segoe UI"/>
          <w:color w:val="0D0D0D"/>
          <w:sz w:val="24"/>
          <w:szCs w:val="24"/>
          <w:lang w:eastAsia="en-IN"/>
        </w:rPr>
        <w:t> with full traceability and integration with LIMS.</w:t>
      </w:r>
    </w:p>
    <w:p w14:paraId="149AC4D1" w14:textId="77777777" w:rsidR="00954E40" w:rsidRPr="00954E40" w:rsidRDefault="00954E40" w:rsidP="00954E40">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Demand is high for </w:t>
      </w:r>
      <w:r w:rsidRPr="00954E40">
        <w:rPr>
          <w:rFonts w:ascii="Segoe UI" w:eastAsia="Times New Roman" w:hAnsi="Segoe UI" w:cs="Segoe UI"/>
          <w:b/>
          <w:bCs/>
          <w:color w:val="0D0D0D"/>
          <w:sz w:val="24"/>
          <w:szCs w:val="24"/>
          <w:lang w:eastAsia="en-IN"/>
        </w:rPr>
        <w:t>multi-capillary platforms</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high-throughput gel cassettes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validated reagent kits</w:t>
      </w:r>
      <w:r w:rsidRPr="00954E40">
        <w:rPr>
          <w:rFonts w:ascii="Segoe UI" w:eastAsia="Times New Roman" w:hAnsi="Segoe UI" w:cs="Segoe UI"/>
          <w:color w:val="0D0D0D"/>
          <w:sz w:val="24"/>
          <w:szCs w:val="24"/>
          <w:lang w:eastAsia="en-IN"/>
        </w:rPr>
        <w:t> tailored for therapeutic protein analysis.</w:t>
      </w:r>
    </w:p>
    <w:p w14:paraId="107D4EFC"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759833C7">
          <v:rect id="_x0000_i1266" style="width:0;height:0" o:hralign="center" o:hrstd="t" o:hrnoshade="t" o:hr="t" fillcolor="#0d0d0d" stroked="f"/>
        </w:pict>
      </w:r>
    </w:p>
    <w:p w14:paraId="324BD0D8"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lastRenderedPageBreak/>
        <w:t>Hospitals and Clinical Laboratories</w:t>
      </w:r>
    </w:p>
    <w:p w14:paraId="2197CA42"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Clinical labs use electrophoresis primarily for </w:t>
      </w:r>
      <w:r w:rsidRPr="00954E40">
        <w:rPr>
          <w:rFonts w:ascii="Segoe UI" w:eastAsia="Times New Roman" w:hAnsi="Segoe UI" w:cs="Segoe UI"/>
          <w:b/>
          <w:bCs/>
          <w:color w:val="0D0D0D"/>
          <w:sz w:val="24"/>
          <w:szCs w:val="24"/>
          <w:lang w:eastAsia="en-IN"/>
        </w:rPr>
        <w:t>protein-based diagnostics</w:t>
      </w:r>
      <w:r w:rsidRPr="00954E40">
        <w:rPr>
          <w:rFonts w:ascii="Segoe UI" w:eastAsia="Times New Roman" w:hAnsi="Segoe UI" w:cs="Segoe UI"/>
          <w:color w:val="0D0D0D"/>
          <w:sz w:val="24"/>
          <w:szCs w:val="24"/>
          <w:lang w:eastAsia="en-IN"/>
        </w:rPr>
        <w:t>, including serum protein electrophoresis (SPEP), immunofixation, and hemoglobinopathy screening.</w:t>
      </w:r>
    </w:p>
    <w:p w14:paraId="57370D02" w14:textId="77777777" w:rsidR="00954E40" w:rsidRPr="00954E40" w:rsidRDefault="00954E40" w:rsidP="00954E4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Hospitals prefer </w:t>
      </w:r>
      <w:r w:rsidRPr="00954E40">
        <w:rPr>
          <w:rFonts w:ascii="Segoe UI" w:eastAsia="Times New Roman" w:hAnsi="Segoe UI" w:cs="Segoe UI"/>
          <w:b/>
          <w:bCs/>
          <w:color w:val="0D0D0D"/>
          <w:sz w:val="24"/>
          <w:szCs w:val="24"/>
          <w:lang w:eastAsia="en-IN"/>
        </w:rPr>
        <w:t>compact, semi-automated platforms</w:t>
      </w:r>
      <w:r w:rsidRPr="00954E40">
        <w:rPr>
          <w:rFonts w:ascii="Segoe UI" w:eastAsia="Times New Roman" w:hAnsi="Segoe UI" w:cs="Segoe UI"/>
          <w:color w:val="0D0D0D"/>
          <w:sz w:val="24"/>
          <w:szCs w:val="24"/>
          <w:lang w:eastAsia="en-IN"/>
        </w:rPr>
        <w:t> with plug-and-play workflows.</w:t>
      </w:r>
    </w:p>
    <w:p w14:paraId="75FAE70E" w14:textId="77777777" w:rsidR="00954E40" w:rsidRPr="00954E40" w:rsidRDefault="00954E40" w:rsidP="00954E4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focus is on </w:t>
      </w:r>
      <w:r w:rsidRPr="00954E40">
        <w:rPr>
          <w:rFonts w:ascii="Segoe UI" w:eastAsia="Times New Roman" w:hAnsi="Segoe UI" w:cs="Segoe UI"/>
          <w:b/>
          <w:bCs/>
          <w:color w:val="0D0D0D"/>
          <w:sz w:val="24"/>
          <w:szCs w:val="24"/>
          <w:lang w:eastAsia="en-IN"/>
        </w:rPr>
        <w:t>reliability, speed, and cost-effectiveness</w:t>
      </w:r>
      <w:r w:rsidRPr="00954E40">
        <w:rPr>
          <w:rFonts w:ascii="Segoe UI" w:eastAsia="Times New Roman" w:hAnsi="Segoe UI" w:cs="Segoe UI"/>
          <w:color w:val="0D0D0D"/>
          <w:sz w:val="24"/>
          <w:szCs w:val="24"/>
          <w:lang w:eastAsia="en-IN"/>
        </w:rPr>
        <w:t xml:space="preserve">, especially in </w:t>
      </w:r>
      <w:proofErr w:type="spellStart"/>
      <w:r w:rsidRPr="00954E40">
        <w:rPr>
          <w:rFonts w:ascii="Segoe UI" w:eastAsia="Times New Roman" w:hAnsi="Segoe UI" w:cs="Segoe UI"/>
          <w:color w:val="0D0D0D"/>
          <w:sz w:val="24"/>
          <w:szCs w:val="24"/>
          <w:lang w:eastAsia="en-IN"/>
        </w:rPr>
        <w:t>hematology</w:t>
      </w:r>
      <w:proofErr w:type="spellEnd"/>
      <w:r w:rsidRPr="00954E40">
        <w:rPr>
          <w:rFonts w:ascii="Segoe UI" w:eastAsia="Times New Roman" w:hAnsi="Segoe UI" w:cs="Segoe UI"/>
          <w:color w:val="0D0D0D"/>
          <w:sz w:val="24"/>
          <w:szCs w:val="24"/>
          <w:lang w:eastAsia="en-IN"/>
        </w:rPr>
        <w:t xml:space="preserve"> and metabolic testing departments.</w:t>
      </w:r>
    </w:p>
    <w:p w14:paraId="357F026B"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6B075EBD">
          <v:rect id="_x0000_i1267" style="width:0;height:0" o:hralign="center" o:hrstd="t" o:hrnoshade="t" o:hr="t" fillcolor="#0d0d0d" stroked="f"/>
        </w:pict>
      </w:r>
    </w:p>
    <w:p w14:paraId="648C7FF0"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Forensic Laboratories</w:t>
      </w:r>
    </w:p>
    <w:p w14:paraId="7D14F572"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Forensics departments utilize electrophoresis for </w:t>
      </w:r>
      <w:r w:rsidRPr="00954E40">
        <w:rPr>
          <w:rFonts w:ascii="Segoe UI" w:eastAsia="Times New Roman" w:hAnsi="Segoe UI" w:cs="Segoe UI"/>
          <w:b/>
          <w:bCs/>
          <w:color w:val="0D0D0D"/>
          <w:sz w:val="24"/>
          <w:szCs w:val="24"/>
          <w:lang w:eastAsia="en-IN"/>
        </w:rPr>
        <w:t>DNA profiling</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crime scene analysis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paternity testing</w:t>
      </w:r>
      <w:r w:rsidRPr="00954E40">
        <w:rPr>
          <w:rFonts w:ascii="Segoe UI" w:eastAsia="Times New Roman" w:hAnsi="Segoe UI" w:cs="Segoe UI"/>
          <w:color w:val="0D0D0D"/>
          <w:sz w:val="24"/>
          <w:szCs w:val="24"/>
          <w:lang w:eastAsia="en-IN"/>
        </w:rPr>
        <w:t>. These labs demand high specificity, legal admissibility of results, and tight chain-of-custody integration.</w:t>
      </w:r>
    </w:p>
    <w:p w14:paraId="28191FC2" w14:textId="77777777" w:rsidR="00954E40" w:rsidRPr="00954E40" w:rsidRDefault="00954E40" w:rsidP="00954E40">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Emerging tools include </w:t>
      </w:r>
      <w:r w:rsidRPr="00954E40">
        <w:rPr>
          <w:rFonts w:ascii="Segoe UI" w:eastAsia="Times New Roman" w:hAnsi="Segoe UI" w:cs="Segoe UI"/>
          <w:b/>
          <w:bCs/>
          <w:color w:val="0D0D0D"/>
          <w:sz w:val="24"/>
          <w:szCs w:val="24"/>
          <w:lang w:eastAsia="en-IN"/>
        </w:rPr>
        <w:t>portable gel systems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hybrid electrophoresis-PCR units</w:t>
      </w:r>
      <w:r w:rsidRPr="00954E40">
        <w:rPr>
          <w:rFonts w:ascii="Segoe UI" w:eastAsia="Times New Roman" w:hAnsi="Segoe UI" w:cs="Segoe UI"/>
          <w:color w:val="0D0D0D"/>
          <w:sz w:val="24"/>
          <w:szCs w:val="24"/>
          <w:lang w:eastAsia="en-IN"/>
        </w:rPr>
        <w:t> for field use.</w:t>
      </w:r>
    </w:p>
    <w:p w14:paraId="66E42D5E"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14CA65D5">
          <v:rect id="_x0000_i1268" style="width:0;height:0" o:hralign="center" o:hrstd="t" o:hrnoshade="t" o:hr="t" fillcolor="#0d0d0d" stroked="f"/>
        </w:pict>
      </w:r>
    </w:p>
    <w:p w14:paraId="5AAD4B75"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Environmental Testing and Food Safety Labs</w:t>
      </w:r>
    </w:p>
    <w:p w14:paraId="4534BF50"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Electrophoresis supports </w:t>
      </w:r>
      <w:r w:rsidRPr="00954E40">
        <w:rPr>
          <w:rFonts w:ascii="Segoe UI" w:eastAsia="Times New Roman" w:hAnsi="Segoe UI" w:cs="Segoe UI"/>
          <w:b/>
          <w:bCs/>
          <w:color w:val="0D0D0D"/>
          <w:sz w:val="24"/>
          <w:szCs w:val="24"/>
          <w:lang w:eastAsia="en-IN"/>
        </w:rPr>
        <w:t>contaminant identification</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pathogen detection</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biomarker tracking</w:t>
      </w:r>
      <w:r w:rsidRPr="00954E40">
        <w:rPr>
          <w:rFonts w:ascii="Segoe UI" w:eastAsia="Times New Roman" w:hAnsi="Segoe UI" w:cs="Segoe UI"/>
          <w:color w:val="0D0D0D"/>
          <w:sz w:val="24"/>
          <w:szCs w:val="24"/>
          <w:lang w:eastAsia="en-IN"/>
        </w:rPr>
        <w:t> in water, soil, and food matrices. This niche segment prefers </w:t>
      </w:r>
      <w:r w:rsidRPr="00954E40">
        <w:rPr>
          <w:rFonts w:ascii="Segoe UI" w:eastAsia="Times New Roman" w:hAnsi="Segoe UI" w:cs="Segoe UI"/>
          <w:b/>
          <w:bCs/>
          <w:color w:val="0D0D0D"/>
          <w:sz w:val="24"/>
          <w:szCs w:val="24"/>
          <w:lang w:eastAsia="en-IN"/>
        </w:rPr>
        <w:t>rugged and customizable systems</w:t>
      </w:r>
      <w:r w:rsidRPr="00954E40">
        <w:rPr>
          <w:rFonts w:ascii="Segoe UI" w:eastAsia="Times New Roman" w:hAnsi="Segoe UI" w:cs="Segoe UI"/>
          <w:color w:val="0D0D0D"/>
          <w:sz w:val="24"/>
          <w:szCs w:val="24"/>
          <w:lang w:eastAsia="en-IN"/>
        </w:rPr>
        <w:t>, especially in public health institutions.</w:t>
      </w:r>
    </w:p>
    <w:p w14:paraId="139C4AEA"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33B168E2">
          <v:rect id="_x0000_i1269" style="width:0;height:0" o:hralign="center" o:hrstd="t" o:hrnoshade="t" o:hr="t" fillcolor="#0d0d0d" stroked="f"/>
        </w:pict>
      </w:r>
    </w:p>
    <w:p w14:paraId="6DF2A73B" w14:textId="77777777" w:rsidR="00954E40" w:rsidRPr="00954E40" w:rsidRDefault="00954E40" w:rsidP="00954E4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954E40">
        <w:rPr>
          <w:rFonts w:ascii="Segoe UI Emoji" w:eastAsia="Times New Roman" w:hAnsi="Segoe UI Emoji" w:cs="Segoe UI Emoji"/>
          <w:b/>
          <w:bCs/>
          <w:color w:val="0D0D0D"/>
          <w:sz w:val="30"/>
          <w:szCs w:val="30"/>
          <w:lang w:eastAsia="en-IN"/>
        </w:rPr>
        <w:t>✅</w:t>
      </w:r>
      <w:r w:rsidRPr="00954E40">
        <w:rPr>
          <w:rFonts w:ascii="Segoe UI" w:eastAsia="Times New Roman" w:hAnsi="Segoe UI" w:cs="Segoe UI"/>
          <w:b/>
          <w:bCs/>
          <w:color w:val="0D0D0D"/>
          <w:sz w:val="30"/>
          <w:szCs w:val="30"/>
          <w:lang w:eastAsia="en-IN"/>
        </w:rPr>
        <w:t xml:space="preserve"> Realistic Use Case: South Korea Tertiary Hospital</w:t>
      </w:r>
    </w:p>
    <w:p w14:paraId="1106736E"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lastRenderedPageBreak/>
        <w:t>A leading tertiary hospital in Seoul implemented a microfluidic capillary electrophoresis platform in its hematopathology unit to screen patients for thalassemia and multiple myeloma.</w:t>
      </w:r>
    </w:p>
    <w:p w14:paraId="3F86F324" w14:textId="77777777" w:rsidR="00954E40" w:rsidRPr="00954E40" w:rsidRDefault="00954E40" w:rsidP="00954E4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system reduced analysis time from </w:t>
      </w:r>
      <w:r w:rsidRPr="00954E40">
        <w:rPr>
          <w:rFonts w:ascii="Segoe UI" w:eastAsia="Times New Roman" w:hAnsi="Segoe UI" w:cs="Segoe UI"/>
          <w:b/>
          <w:bCs/>
          <w:color w:val="0D0D0D"/>
          <w:sz w:val="24"/>
          <w:szCs w:val="24"/>
          <w:lang w:eastAsia="en-IN"/>
        </w:rPr>
        <w:t>45 minutes to under 15 minutes per sample</w:t>
      </w:r>
      <w:r w:rsidRPr="00954E40">
        <w:rPr>
          <w:rFonts w:ascii="Segoe UI" w:eastAsia="Times New Roman" w:hAnsi="Segoe UI" w:cs="Segoe UI"/>
          <w:color w:val="0D0D0D"/>
          <w:sz w:val="24"/>
          <w:szCs w:val="24"/>
          <w:lang w:eastAsia="en-IN"/>
        </w:rPr>
        <w:t>.</w:t>
      </w:r>
    </w:p>
    <w:p w14:paraId="372A7E0D" w14:textId="77777777" w:rsidR="00954E40" w:rsidRPr="00954E40" w:rsidRDefault="00954E40" w:rsidP="00954E4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automated cassette loading improved staff throughput by </w:t>
      </w:r>
      <w:r w:rsidRPr="00954E40">
        <w:rPr>
          <w:rFonts w:ascii="Segoe UI" w:eastAsia="Times New Roman" w:hAnsi="Segoe UI" w:cs="Segoe UI"/>
          <w:b/>
          <w:bCs/>
          <w:color w:val="0D0D0D"/>
          <w:sz w:val="24"/>
          <w:szCs w:val="24"/>
          <w:lang w:eastAsia="en-IN"/>
        </w:rPr>
        <w:t>28%</w:t>
      </w:r>
      <w:r w:rsidRPr="00954E40">
        <w:rPr>
          <w:rFonts w:ascii="Segoe UI" w:eastAsia="Times New Roman" w:hAnsi="Segoe UI" w:cs="Segoe UI"/>
          <w:color w:val="0D0D0D"/>
          <w:sz w:val="24"/>
          <w:szCs w:val="24"/>
          <w:lang w:eastAsia="en-IN"/>
        </w:rPr>
        <w:t>, while software-linked flagging helped identify </w:t>
      </w:r>
      <w:r w:rsidRPr="00954E40">
        <w:rPr>
          <w:rFonts w:ascii="Segoe UI" w:eastAsia="Times New Roman" w:hAnsi="Segoe UI" w:cs="Segoe UI"/>
          <w:b/>
          <w:bCs/>
          <w:color w:val="0D0D0D"/>
          <w:sz w:val="24"/>
          <w:szCs w:val="24"/>
          <w:lang w:eastAsia="en-IN"/>
        </w:rPr>
        <w:t>low-abundance M-spikes</w:t>
      </w:r>
      <w:r w:rsidRPr="00954E40">
        <w:rPr>
          <w:rFonts w:ascii="Segoe UI" w:eastAsia="Times New Roman" w:hAnsi="Segoe UI" w:cs="Segoe UI"/>
          <w:color w:val="0D0D0D"/>
          <w:sz w:val="24"/>
          <w:szCs w:val="24"/>
          <w:lang w:eastAsia="en-IN"/>
        </w:rPr>
        <w:t> critical to early diagnosis.</w:t>
      </w:r>
    </w:p>
    <w:p w14:paraId="7432879F" w14:textId="77777777" w:rsidR="00954E40" w:rsidRPr="00954E40" w:rsidRDefault="00954E40" w:rsidP="00954E4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platform integrated seamlessly with the hospital’s LIS (Laboratory Information System), enhancing result turnaround times and physician reporting.</w:t>
      </w:r>
    </w:p>
    <w:p w14:paraId="5189C2DD"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i/>
          <w:iCs/>
          <w:color w:val="0D0D0D"/>
          <w:sz w:val="24"/>
          <w:szCs w:val="24"/>
          <w:lang w:eastAsia="en-IN"/>
        </w:rPr>
        <w:t>This case highlights the value of electrophoresis in clinical precision, workflow automation, and diagnostic acceleration — particularly in advanced healthcare settings.</w:t>
      </w:r>
    </w:p>
    <w:p w14:paraId="5937D0CE"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t>7. Recent Developments + Opportunities &amp; Restraints</w:t>
      </w:r>
    </w:p>
    <w:p w14:paraId="4D525137"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Emoji" w:eastAsia="Times New Roman" w:hAnsi="Segoe UI Emoji" w:cs="Segoe UI Emoji"/>
          <w:b/>
          <w:bCs/>
          <w:color w:val="0D0D0D"/>
          <w:sz w:val="30"/>
          <w:szCs w:val="30"/>
          <w:lang w:eastAsia="en-IN"/>
        </w:rPr>
        <w:t>🆕</w:t>
      </w:r>
      <w:r w:rsidRPr="00954E40">
        <w:rPr>
          <w:rFonts w:ascii="Segoe UI" w:eastAsia="Times New Roman" w:hAnsi="Segoe UI" w:cs="Segoe UI"/>
          <w:b/>
          <w:bCs/>
          <w:color w:val="0D0D0D"/>
          <w:sz w:val="30"/>
          <w:szCs w:val="30"/>
          <w:lang w:eastAsia="en-IN"/>
        </w:rPr>
        <w:t> Recent Developments (Last 2 Years)</w:t>
      </w:r>
    </w:p>
    <w:p w14:paraId="6A0297C6" w14:textId="2443D6EE" w:rsidR="00954E40" w:rsidRPr="00954E40" w:rsidRDefault="00954E40" w:rsidP="00954E4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Thermo Fisher Scientific</w:t>
      </w:r>
      <w:r w:rsidRPr="00954E40">
        <w:rPr>
          <w:rFonts w:ascii="Segoe UI" w:eastAsia="Times New Roman" w:hAnsi="Segoe UI" w:cs="Segoe UI"/>
          <w:color w:val="0D0D0D"/>
          <w:sz w:val="24"/>
          <w:szCs w:val="24"/>
          <w:lang w:eastAsia="en-IN"/>
        </w:rPr>
        <w:t> launched a next-generation gel electrophoresis system integrated with AI-assisted imaging for enhanced protein resolution in QC applications.</w:t>
      </w:r>
      <w:r w:rsidRPr="00954E40">
        <w:rPr>
          <w:rFonts w:ascii="Segoe UI" w:eastAsia="Times New Roman" w:hAnsi="Segoe UI" w:cs="Segoe UI"/>
          <w:color w:val="0D0D0D"/>
          <w:sz w:val="24"/>
          <w:szCs w:val="24"/>
          <w:lang w:eastAsia="en-IN"/>
        </w:rPr>
        <w:br/>
      </w:r>
    </w:p>
    <w:p w14:paraId="00857D3F" w14:textId="21D33343" w:rsidR="00954E40" w:rsidRPr="00954E40" w:rsidRDefault="00954E40" w:rsidP="00954E4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Bio-Rad Laboratories</w:t>
      </w:r>
      <w:r w:rsidRPr="00954E40">
        <w:rPr>
          <w:rFonts w:ascii="Segoe UI" w:eastAsia="Times New Roman" w:hAnsi="Segoe UI" w:cs="Segoe UI"/>
          <w:color w:val="0D0D0D"/>
          <w:sz w:val="24"/>
          <w:szCs w:val="24"/>
          <w:lang w:eastAsia="en-IN"/>
        </w:rPr>
        <w:t> introduced a sustainability-focused gel cassette line made of 100% recyclable materials, aligning with institutional green lab initiatives.</w:t>
      </w:r>
      <w:r w:rsidRPr="00954E40">
        <w:rPr>
          <w:rFonts w:ascii="Segoe UI" w:eastAsia="Times New Roman" w:hAnsi="Segoe UI" w:cs="Segoe UI"/>
          <w:color w:val="0D0D0D"/>
          <w:sz w:val="24"/>
          <w:szCs w:val="24"/>
          <w:lang w:eastAsia="en-IN"/>
        </w:rPr>
        <w:br/>
      </w:r>
    </w:p>
    <w:p w14:paraId="1C228619" w14:textId="4F099B91" w:rsidR="00954E40" w:rsidRPr="00954E40" w:rsidRDefault="00954E40" w:rsidP="00954E4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Agilent Technologies</w:t>
      </w:r>
      <w:r w:rsidRPr="00954E40">
        <w:rPr>
          <w:rFonts w:ascii="Segoe UI" w:eastAsia="Times New Roman" w:hAnsi="Segoe UI" w:cs="Segoe UI"/>
          <w:color w:val="0D0D0D"/>
          <w:sz w:val="24"/>
          <w:szCs w:val="24"/>
          <w:lang w:eastAsia="en-IN"/>
        </w:rPr>
        <w:t xml:space="preserve"> unveiled a compact, capillary-based DNA fragment </w:t>
      </w:r>
      <w:proofErr w:type="spellStart"/>
      <w:r w:rsidRPr="00954E40">
        <w:rPr>
          <w:rFonts w:ascii="Segoe UI" w:eastAsia="Times New Roman" w:hAnsi="Segoe UI" w:cs="Segoe UI"/>
          <w:color w:val="0D0D0D"/>
          <w:sz w:val="24"/>
          <w:szCs w:val="24"/>
          <w:lang w:eastAsia="en-IN"/>
        </w:rPr>
        <w:t>analyzer</w:t>
      </w:r>
      <w:proofErr w:type="spellEnd"/>
      <w:r w:rsidRPr="00954E40">
        <w:rPr>
          <w:rFonts w:ascii="Segoe UI" w:eastAsia="Times New Roman" w:hAnsi="Segoe UI" w:cs="Segoe UI"/>
          <w:color w:val="0D0D0D"/>
          <w:sz w:val="24"/>
          <w:szCs w:val="24"/>
          <w:lang w:eastAsia="en-IN"/>
        </w:rPr>
        <w:t xml:space="preserve"> optimized for high-throughput sequencing prep workflows.</w:t>
      </w:r>
      <w:r w:rsidRPr="00954E40">
        <w:rPr>
          <w:rFonts w:ascii="Segoe UI" w:eastAsia="Times New Roman" w:hAnsi="Segoe UI" w:cs="Segoe UI"/>
          <w:color w:val="0D0D0D"/>
          <w:sz w:val="24"/>
          <w:szCs w:val="24"/>
          <w:lang w:eastAsia="en-IN"/>
        </w:rPr>
        <w:br/>
      </w:r>
    </w:p>
    <w:p w14:paraId="737F2700" w14:textId="7FB8758E" w:rsidR="00954E40" w:rsidRPr="00954E40" w:rsidRDefault="00954E40" w:rsidP="00954E40">
      <w:pPr>
        <w:numPr>
          <w:ilvl w:val="0"/>
          <w:numId w:val="17"/>
        </w:numPr>
        <w:shd w:val="clear" w:color="auto" w:fill="FFFFFF"/>
        <w:spacing w:after="0" w:line="240" w:lineRule="auto"/>
        <w:rPr>
          <w:rFonts w:ascii="Segoe UI" w:eastAsia="Times New Roman" w:hAnsi="Segoe UI" w:cs="Segoe UI"/>
          <w:color w:val="0D0D0D"/>
          <w:sz w:val="24"/>
          <w:szCs w:val="24"/>
          <w:lang w:eastAsia="en-IN"/>
        </w:rPr>
      </w:pPr>
      <w:proofErr w:type="spellStart"/>
      <w:r w:rsidRPr="00954E40">
        <w:rPr>
          <w:rFonts w:ascii="Segoe UI" w:eastAsia="Times New Roman" w:hAnsi="Segoe UI" w:cs="Segoe UI"/>
          <w:b/>
          <w:bCs/>
          <w:color w:val="0D0D0D"/>
          <w:sz w:val="24"/>
          <w:szCs w:val="24"/>
          <w:lang w:eastAsia="en-IN"/>
        </w:rPr>
        <w:t>Cytiva</w:t>
      </w:r>
      <w:proofErr w:type="spellEnd"/>
      <w:r w:rsidRPr="00954E40">
        <w:rPr>
          <w:rFonts w:ascii="Segoe UI" w:eastAsia="Times New Roman" w:hAnsi="Segoe UI" w:cs="Segoe UI"/>
          <w:color w:val="0D0D0D"/>
          <w:sz w:val="24"/>
          <w:szCs w:val="24"/>
          <w:lang w:eastAsia="en-IN"/>
        </w:rPr>
        <w:t> (Danaher) partnered with a European biotech firm to co-develop electrophoresis-integrated biomanufacturing platforms for monoclonal antibody validation.</w:t>
      </w:r>
      <w:r w:rsidRPr="00954E40">
        <w:rPr>
          <w:rFonts w:ascii="Segoe UI" w:eastAsia="Times New Roman" w:hAnsi="Segoe UI" w:cs="Segoe UI"/>
          <w:color w:val="0D0D0D"/>
          <w:sz w:val="24"/>
          <w:szCs w:val="24"/>
          <w:lang w:eastAsia="en-IN"/>
        </w:rPr>
        <w:br/>
      </w:r>
    </w:p>
    <w:p w14:paraId="70081FFF" w14:textId="6C8F55B9" w:rsidR="00954E40" w:rsidRPr="00954E40" w:rsidRDefault="00954E40" w:rsidP="00954E4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QIAGEN</w:t>
      </w:r>
      <w:r w:rsidRPr="00954E40">
        <w:rPr>
          <w:rFonts w:ascii="Segoe UI" w:eastAsia="Times New Roman" w:hAnsi="Segoe UI" w:cs="Segoe UI"/>
          <w:color w:val="0D0D0D"/>
          <w:sz w:val="24"/>
          <w:szCs w:val="24"/>
          <w:lang w:eastAsia="en-IN"/>
        </w:rPr>
        <w:t> filed a patent for a multi-channel electrophoresis chip designed for simultaneous detection of pathogens in clinical samples.</w:t>
      </w:r>
      <w:r w:rsidRPr="00954E40">
        <w:rPr>
          <w:rFonts w:ascii="Segoe UI" w:eastAsia="Times New Roman" w:hAnsi="Segoe UI" w:cs="Segoe UI"/>
          <w:color w:val="0D0D0D"/>
          <w:sz w:val="24"/>
          <w:szCs w:val="24"/>
          <w:lang w:eastAsia="en-IN"/>
        </w:rPr>
        <w:br/>
      </w:r>
    </w:p>
    <w:p w14:paraId="02C07EF0"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255228BC">
          <v:rect id="_x0000_i1270" style="width:0;height:0" o:hralign="center" o:hrstd="t" o:hrnoshade="t" o:hr="t" fillcolor="#0d0d0d" stroked="f"/>
        </w:pict>
      </w:r>
    </w:p>
    <w:p w14:paraId="2DD2760F"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Emoji" w:eastAsia="Times New Roman" w:hAnsi="Segoe UI Emoji" w:cs="Segoe UI Emoji"/>
          <w:b/>
          <w:bCs/>
          <w:color w:val="0D0D0D"/>
          <w:sz w:val="36"/>
          <w:szCs w:val="36"/>
          <w:lang w:eastAsia="en-IN"/>
        </w:rPr>
        <w:lastRenderedPageBreak/>
        <w:t>🔁</w:t>
      </w:r>
      <w:r w:rsidRPr="00954E40">
        <w:rPr>
          <w:rFonts w:ascii="Segoe UI" w:eastAsia="Times New Roman" w:hAnsi="Segoe UI" w:cs="Segoe UI"/>
          <w:b/>
          <w:bCs/>
          <w:color w:val="0D0D0D"/>
          <w:sz w:val="36"/>
          <w:szCs w:val="36"/>
          <w:lang w:eastAsia="en-IN"/>
        </w:rPr>
        <w:t> Opportunities</w:t>
      </w:r>
    </w:p>
    <w:p w14:paraId="7E07F21E"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1. Expansion into Point-of-Care and Decentralized Testing</w:t>
      </w:r>
    </w:p>
    <w:p w14:paraId="11E0637C"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 rise of portable, battery-operated electrophoresis systems presents new frontiers in </w:t>
      </w:r>
      <w:r w:rsidRPr="00954E40">
        <w:rPr>
          <w:rFonts w:ascii="Segoe UI" w:eastAsia="Times New Roman" w:hAnsi="Segoe UI" w:cs="Segoe UI"/>
          <w:b/>
          <w:bCs/>
          <w:color w:val="0D0D0D"/>
          <w:sz w:val="24"/>
          <w:szCs w:val="24"/>
          <w:lang w:eastAsia="en-IN"/>
        </w:rPr>
        <w:t>field diagnostics, veterinary care, and remote clinical settings</w:t>
      </w:r>
      <w:r w:rsidRPr="00954E40">
        <w:rPr>
          <w:rFonts w:ascii="Segoe UI" w:eastAsia="Times New Roman" w:hAnsi="Segoe UI" w:cs="Segoe UI"/>
          <w:color w:val="0D0D0D"/>
          <w:sz w:val="24"/>
          <w:szCs w:val="24"/>
          <w:lang w:eastAsia="en-IN"/>
        </w:rPr>
        <w:t>. This is particularly relevant for infectious disease screening in rural zones and mobile labs.</w:t>
      </w:r>
    </w:p>
    <w:p w14:paraId="685545D1"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2. AI-Powered Workflow Automation</w:t>
      </w:r>
    </w:p>
    <w:p w14:paraId="2A643E7D"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Embedding AI into </w:t>
      </w:r>
      <w:r w:rsidRPr="00954E40">
        <w:rPr>
          <w:rFonts w:ascii="Segoe UI" w:eastAsia="Times New Roman" w:hAnsi="Segoe UI" w:cs="Segoe UI"/>
          <w:b/>
          <w:bCs/>
          <w:color w:val="0D0D0D"/>
          <w:sz w:val="24"/>
          <w:szCs w:val="24"/>
          <w:lang w:eastAsia="en-IN"/>
        </w:rPr>
        <w:t>image analysis, result interpretation, and reagent management</w:t>
      </w:r>
      <w:r w:rsidRPr="00954E40">
        <w:rPr>
          <w:rFonts w:ascii="Segoe UI" w:eastAsia="Times New Roman" w:hAnsi="Segoe UI" w:cs="Segoe UI"/>
          <w:color w:val="0D0D0D"/>
          <w:sz w:val="24"/>
          <w:szCs w:val="24"/>
          <w:lang w:eastAsia="en-IN"/>
        </w:rPr>
        <w:t xml:space="preserve"> enhances reproducibility and throughput — essential for regulated industries. </w:t>
      </w:r>
      <w:proofErr w:type="spellStart"/>
      <w:r w:rsidRPr="00954E40">
        <w:rPr>
          <w:rFonts w:ascii="Segoe UI" w:eastAsia="Times New Roman" w:hAnsi="Segoe UI" w:cs="Segoe UI"/>
          <w:color w:val="0D0D0D"/>
          <w:sz w:val="24"/>
          <w:szCs w:val="24"/>
          <w:lang w:eastAsia="en-IN"/>
        </w:rPr>
        <w:t>Startups</w:t>
      </w:r>
      <w:proofErr w:type="spellEnd"/>
      <w:r w:rsidRPr="00954E40">
        <w:rPr>
          <w:rFonts w:ascii="Segoe UI" w:eastAsia="Times New Roman" w:hAnsi="Segoe UI" w:cs="Segoe UI"/>
          <w:color w:val="0D0D0D"/>
          <w:sz w:val="24"/>
          <w:szCs w:val="24"/>
          <w:lang w:eastAsia="en-IN"/>
        </w:rPr>
        <w:t xml:space="preserve"> offering plug-in AI modules for legacy systems represent a niche growth area.</w:t>
      </w:r>
    </w:p>
    <w:p w14:paraId="62BE19E6"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3. Growing Role in Biologics and Gene Therapy</w:t>
      </w:r>
    </w:p>
    <w:p w14:paraId="31F47A40"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With biologics comprising a growing share of global pharma pipelines, electrophoresis will play a critical role in </w:t>
      </w:r>
      <w:r w:rsidRPr="00954E40">
        <w:rPr>
          <w:rFonts w:ascii="Segoe UI" w:eastAsia="Times New Roman" w:hAnsi="Segoe UI" w:cs="Segoe UI"/>
          <w:b/>
          <w:bCs/>
          <w:color w:val="0D0D0D"/>
          <w:sz w:val="24"/>
          <w:szCs w:val="24"/>
          <w:lang w:eastAsia="en-IN"/>
        </w:rPr>
        <w:t>glycoprotein profiling, plasmid verification, and vector purity checks</w:t>
      </w:r>
      <w:r w:rsidRPr="00954E40">
        <w:rPr>
          <w:rFonts w:ascii="Segoe UI" w:eastAsia="Times New Roman" w:hAnsi="Segoe UI" w:cs="Segoe UI"/>
          <w:color w:val="0D0D0D"/>
          <w:sz w:val="24"/>
          <w:szCs w:val="24"/>
          <w:lang w:eastAsia="en-IN"/>
        </w:rPr>
        <w:t>. Companies that offer </w:t>
      </w:r>
      <w:r w:rsidRPr="00954E40">
        <w:rPr>
          <w:rFonts w:ascii="Segoe UI" w:eastAsia="Times New Roman" w:hAnsi="Segoe UI" w:cs="Segoe UI"/>
          <w:b/>
          <w:bCs/>
          <w:color w:val="0D0D0D"/>
          <w:sz w:val="24"/>
          <w:szCs w:val="24"/>
          <w:lang w:eastAsia="en-IN"/>
        </w:rPr>
        <w:t>modular, GMP-aligned platforms</w:t>
      </w:r>
      <w:r w:rsidRPr="00954E40">
        <w:rPr>
          <w:rFonts w:ascii="Segoe UI" w:eastAsia="Times New Roman" w:hAnsi="Segoe UI" w:cs="Segoe UI"/>
          <w:color w:val="0D0D0D"/>
          <w:sz w:val="24"/>
          <w:szCs w:val="24"/>
          <w:lang w:eastAsia="en-IN"/>
        </w:rPr>
        <w:t> stand to gain.</w:t>
      </w:r>
    </w:p>
    <w:p w14:paraId="0B02C018"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5BF1758F">
          <v:rect id="_x0000_i1271" style="width:0;height:0" o:hralign="center" o:hrstd="t" o:hrnoshade="t" o:hr="t" fillcolor="#0d0d0d" stroked="f"/>
        </w:pict>
      </w:r>
    </w:p>
    <w:p w14:paraId="03902034"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Emoji" w:eastAsia="Times New Roman" w:hAnsi="Segoe UI Emoji" w:cs="Segoe UI Emoji"/>
          <w:b/>
          <w:bCs/>
          <w:color w:val="0D0D0D"/>
          <w:sz w:val="36"/>
          <w:szCs w:val="36"/>
          <w:lang w:eastAsia="en-IN"/>
        </w:rPr>
        <w:t>❌</w:t>
      </w:r>
      <w:r w:rsidRPr="00954E40">
        <w:rPr>
          <w:rFonts w:ascii="Segoe UI" w:eastAsia="Times New Roman" w:hAnsi="Segoe UI" w:cs="Segoe UI"/>
          <w:b/>
          <w:bCs/>
          <w:color w:val="0D0D0D"/>
          <w:sz w:val="36"/>
          <w:szCs w:val="36"/>
          <w:lang w:eastAsia="en-IN"/>
        </w:rPr>
        <w:t> Restraints</w:t>
      </w:r>
    </w:p>
    <w:p w14:paraId="4B30294E"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1. High Equipment and Maintenance Costs</w:t>
      </w:r>
    </w:p>
    <w:p w14:paraId="11AD7AF1"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Advanced systems, particularly capillary and automated electrophoresis platforms, come with steep acquisition and upkeep costs. This deters adoption in </w:t>
      </w:r>
      <w:r w:rsidRPr="00954E40">
        <w:rPr>
          <w:rFonts w:ascii="Segoe UI" w:eastAsia="Times New Roman" w:hAnsi="Segoe UI" w:cs="Segoe UI"/>
          <w:b/>
          <w:bCs/>
          <w:color w:val="0D0D0D"/>
          <w:sz w:val="24"/>
          <w:szCs w:val="24"/>
          <w:lang w:eastAsia="en-IN"/>
        </w:rPr>
        <w:t>emerging markets and mid-scale labs</w:t>
      </w:r>
      <w:r w:rsidRPr="00954E40">
        <w:rPr>
          <w:rFonts w:ascii="Segoe UI" w:eastAsia="Times New Roman" w:hAnsi="Segoe UI" w:cs="Segoe UI"/>
          <w:color w:val="0D0D0D"/>
          <w:sz w:val="24"/>
          <w:szCs w:val="24"/>
          <w:lang w:eastAsia="en-IN"/>
        </w:rPr>
        <w:t> without grant support or infrastructure subsidies.</w:t>
      </w:r>
    </w:p>
    <w:p w14:paraId="47522EB7"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2. Shortage of Skilled Personnel</w:t>
      </w:r>
    </w:p>
    <w:p w14:paraId="36D7010A"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Many emerging regions lack technicians trained in </w:t>
      </w:r>
      <w:r w:rsidRPr="00954E40">
        <w:rPr>
          <w:rFonts w:ascii="Segoe UI" w:eastAsia="Times New Roman" w:hAnsi="Segoe UI" w:cs="Segoe UI"/>
          <w:b/>
          <w:bCs/>
          <w:color w:val="0D0D0D"/>
          <w:sz w:val="24"/>
          <w:szCs w:val="24"/>
          <w:lang w:eastAsia="en-IN"/>
        </w:rPr>
        <w:t>gel interpretation, system calibration, and validation protocols</w:t>
      </w:r>
      <w:r w:rsidRPr="00954E40">
        <w:rPr>
          <w:rFonts w:ascii="Segoe UI" w:eastAsia="Times New Roman" w:hAnsi="Segoe UI" w:cs="Segoe UI"/>
          <w:color w:val="0D0D0D"/>
          <w:sz w:val="24"/>
          <w:szCs w:val="24"/>
          <w:lang w:eastAsia="en-IN"/>
        </w:rPr>
        <w:t>. This inhibits widespread deployment and increases dependence on vendor-led training and support contracts.</w:t>
      </w:r>
    </w:p>
    <w:p w14:paraId="2947DD88" w14:textId="59992860" w:rsidR="00954E40" w:rsidRDefault="00954E40">
      <w:r>
        <w:br w:type="page"/>
      </w:r>
    </w:p>
    <w:p w14:paraId="14D0553B"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lastRenderedPageBreak/>
        <w:t>8. Report Summary, FAQs, and SEO Schema</w:t>
      </w:r>
    </w:p>
    <w:p w14:paraId="17626A30"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A.1. Report Title Format</w:t>
      </w:r>
    </w:p>
    <w:p w14:paraId="35907E4B"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 xml:space="preserve">Electrophoresis Market </w:t>
      </w:r>
      <w:proofErr w:type="gramStart"/>
      <w:r w:rsidRPr="00954E40">
        <w:rPr>
          <w:rFonts w:ascii="Segoe UI" w:eastAsia="Times New Roman" w:hAnsi="Segoe UI" w:cs="Segoe UI"/>
          <w:b/>
          <w:bCs/>
          <w:color w:val="0D0D0D"/>
          <w:sz w:val="24"/>
          <w:szCs w:val="24"/>
          <w:lang w:eastAsia="en-IN"/>
        </w:rPr>
        <w:t>By</w:t>
      </w:r>
      <w:proofErr w:type="gramEnd"/>
      <w:r w:rsidRPr="00954E40">
        <w:rPr>
          <w:rFonts w:ascii="Segoe UI" w:eastAsia="Times New Roman" w:hAnsi="Segoe UI" w:cs="Segoe UI"/>
          <w:b/>
          <w:bCs/>
          <w:color w:val="0D0D0D"/>
          <w:sz w:val="24"/>
          <w:szCs w:val="24"/>
          <w:lang w:eastAsia="en-IN"/>
        </w:rPr>
        <w:t xml:space="preserve"> Product Type (Gel Electrophoresis, Capillary Electrophoresis, Microfluidics-Based Systems, Reagents &amp; Consumables, Software &amp; Imaging); By Application (Research, Clinical Diagnostics, QA/QC, Forensic &amp; Environmental Testing); By End User (Academic Institutes, Pharma &amp; Biotech Firms, Clinical Labs, Forensic Labs, Environmental Agencies); By Geography, Segment Revenue Estimation, Forecast, 2024–2030.</w:t>
      </w:r>
    </w:p>
    <w:p w14:paraId="0349C856"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AE1A648">
          <v:rect id="_x0000_i1272" style="width:0;height:0" o:hralign="center" o:hrstd="t" o:hrnoshade="t" o:hr="t" fillcolor="#0d0d0d" stroked="f"/>
        </w:pict>
      </w:r>
    </w:p>
    <w:p w14:paraId="40972A7D"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A.2. Market Name Format</w:t>
      </w:r>
    </w:p>
    <w:p w14:paraId="0245CD71"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electrophoresis market</w:t>
      </w:r>
    </w:p>
    <w:p w14:paraId="4AE70BDE"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DB50387">
          <v:rect id="_x0000_i1273" style="width:0;height:0" o:hralign="center" o:hrstd="t" o:hrnoshade="t" o:hr="t" fillcolor="#0d0d0d" stroked="f"/>
        </w:pict>
      </w:r>
    </w:p>
    <w:p w14:paraId="1CBF16C0"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A.3. Market Size Format</w:t>
      </w:r>
    </w:p>
    <w:p w14:paraId="69D878B9" w14:textId="70607834"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Electrophoresis Market Size ($</w:t>
      </w:r>
      <w:r w:rsidR="00AC2AC6">
        <w:rPr>
          <w:rFonts w:ascii="Segoe UI" w:eastAsia="Times New Roman" w:hAnsi="Segoe UI" w:cs="Segoe UI"/>
          <w:b/>
          <w:bCs/>
          <w:color w:val="0D0D0D"/>
          <w:sz w:val="24"/>
          <w:szCs w:val="24"/>
          <w:lang w:eastAsia="en-IN"/>
        </w:rPr>
        <w:t>6.23</w:t>
      </w:r>
      <w:r w:rsidRPr="00954E40">
        <w:rPr>
          <w:rFonts w:ascii="Segoe UI" w:eastAsia="Times New Roman" w:hAnsi="Segoe UI" w:cs="Segoe UI"/>
          <w:b/>
          <w:bCs/>
          <w:color w:val="0D0D0D"/>
          <w:sz w:val="24"/>
          <w:szCs w:val="24"/>
          <w:lang w:eastAsia="en-IN"/>
        </w:rPr>
        <w:t xml:space="preserve"> Billion) 2030</w:t>
      </w:r>
    </w:p>
    <w:p w14:paraId="309C3B28"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3455370C">
          <v:rect id="_x0000_i1274" style="width:0;height:0" o:hralign="center" o:hrstd="t" o:hrnoshade="t" o:hr="t" fillcolor="#0d0d0d" stroked="f"/>
        </w:pict>
      </w:r>
    </w:p>
    <w:p w14:paraId="74964139"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1"/>
        <w:gridCol w:w="6609"/>
      </w:tblGrid>
      <w:tr w:rsidR="00954E40" w:rsidRPr="00954E40" w14:paraId="3DBA27D4" w14:textId="77777777" w:rsidTr="00954E4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35123CA" w14:textId="77777777" w:rsidR="00954E40" w:rsidRPr="00954E40" w:rsidRDefault="00954E40" w:rsidP="00954E40">
            <w:pPr>
              <w:spacing w:after="0" w:line="240" w:lineRule="atLeast"/>
              <w:jc w:val="center"/>
              <w:rPr>
                <w:rFonts w:ascii="Times New Roman" w:eastAsia="Times New Roman" w:hAnsi="Times New Roman" w:cs="Times New Roman"/>
                <w:b/>
                <w:bCs/>
                <w:color w:val="0D0D0D"/>
                <w:sz w:val="21"/>
                <w:szCs w:val="21"/>
                <w:lang w:eastAsia="en-IN"/>
              </w:rPr>
            </w:pPr>
            <w:r w:rsidRPr="00954E40">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D6CE6F" w14:textId="77777777" w:rsidR="00954E40" w:rsidRPr="00954E40" w:rsidRDefault="00954E40" w:rsidP="00954E40">
            <w:pPr>
              <w:spacing w:after="0" w:line="240" w:lineRule="atLeast"/>
              <w:jc w:val="center"/>
              <w:rPr>
                <w:rFonts w:ascii="Times New Roman" w:eastAsia="Times New Roman" w:hAnsi="Times New Roman" w:cs="Times New Roman"/>
                <w:b/>
                <w:bCs/>
                <w:color w:val="0D0D0D"/>
                <w:sz w:val="21"/>
                <w:szCs w:val="21"/>
                <w:lang w:eastAsia="en-IN"/>
              </w:rPr>
            </w:pPr>
            <w:r w:rsidRPr="00954E40">
              <w:rPr>
                <w:rFonts w:ascii="Times New Roman" w:eastAsia="Times New Roman" w:hAnsi="Times New Roman" w:cs="Times New Roman"/>
                <w:b/>
                <w:bCs/>
                <w:color w:val="0D0D0D"/>
                <w:sz w:val="21"/>
                <w:szCs w:val="21"/>
                <w:lang w:eastAsia="en-IN"/>
              </w:rPr>
              <w:t>Details</w:t>
            </w:r>
          </w:p>
        </w:tc>
      </w:tr>
      <w:tr w:rsidR="00954E40" w:rsidRPr="00954E40" w14:paraId="0432A3DD"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96D000"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B65DA1"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2024 – 2030</w:t>
            </w:r>
          </w:p>
        </w:tc>
      </w:tr>
      <w:tr w:rsidR="00954E40" w:rsidRPr="00954E40" w14:paraId="18CD1715"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C4F582"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0B33C0" w14:textId="2A21AD2F"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b/>
                <w:bCs/>
                <w:color w:val="0D0D0D"/>
                <w:sz w:val="21"/>
                <w:szCs w:val="21"/>
                <w:lang w:eastAsia="en-IN"/>
              </w:rPr>
              <w:t xml:space="preserve">USD </w:t>
            </w:r>
            <w:r w:rsidR="00AC2AC6">
              <w:rPr>
                <w:rFonts w:ascii="Times New Roman" w:eastAsia="Times New Roman" w:hAnsi="Times New Roman" w:cs="Times New Roman"/>
                <w:b/>
                <w:bCs/>
                <w:color w:val="0D0D0D"/>
                <w:sz w:val="21"/>
                <w:szCs w:val="21"/>
                <w:lang w:eastAsia="en-IN"/>
              </w:rPr>
              <w:t>4.2</w:t>
            </w:r>
            <w:r w:rsidRPr="00954E40">
              <w:rPr>
                <w:rFonts w:ascii="Times New Roman" w:eastAsia="Times New Roman" w:hAnsi="Times New Roman" w:cs="Times New Roman"/>
                <w:b/>
                <w:bCs/>
                <w:color w:val="0D0D0D"/>
                <w:sz w:val="21"/>
                <w:szCs w:val="21"/>
                <w:lang w:eastAsia="en-IN"/>
              </w:rPr>
              <w:t xml:space="preserve"> Billion</w:t>
            </w:r>
          </w:p>
        </w:tc>
      </w:tr>
      <w:tr w:rsidR="00954E40" w:rsidRPr="00954E40" w14:paraId="50151A93"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FB3B4D"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1EB510" w14:textId="04194144"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b/>
                <w:bCs/>
                <w:color w:val="0D0D0D"/>
                <w:sz w:val="21"/>
                <w:szCs w:val="21"/>
                <w:lang w:eastAsia="en-IN"/>
              </w:rPr>
              <w:t xml:space="preserve">USD </w:t>
            </w:r>
            <w:r w:rsidR="00AC2AC6">
              <w:rPr>
                <w:rFonts w:ascii="Times New Roman" w:eastAsia="Times New Roman" w:hAnsi="Times New Roman" w:cs="Times New Roman"/>
                <w:b/>
                <w:bCs/>
                <w:color w:val="0D0D0D"/>
                <w:sz w:val="21"/>
                <w:szCs w:val="21"/>
                <w:lang w:eastAsia="en-IN"/>
              </w:rPr>
              <w:t>6.23</w:t>
            </w:r>
            <w:r w:rsidRPr="00954E40">
              <w:rPr>
                <w:rFonts w:ascii="Times New Roman" w:eastAsia="Times New Roman" w:hAnsi="Times New Roman" w:cs="Times New Roman"/>
                <w:b/>
                <w:bCs/>
                <w:color w:val="0D0D0D"/>
                <w:sz w:val="21"/>
                <w:szCs w:val="21"/>
                <w:lang w:eastAsia="en-IN"/>
              </w:rPr>
              <w:t xml:space="preserve"> Billion</w:t>
            </w:r>
          </w:p>
        </w:tc>
      </w:tr>
      <w:tr w:rsidR="00954E40" w:rsidRPr="00954E40" w14:paraId="21E21D05"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A96B98"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Overall Growth Rate (CAGR)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91792B"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b/>
                <w:bCs/>
                <w:color w:val="0D0D0D"/>
                <w:sz w:val="21"/>
                <w:szCs w:val="21"/>
                <w:lang w:eastAsia="en-IN"/>
              </w:rPr>
              <w:t>6.8% (2024 – 2030)</w:t>
            </w:r>
          </w:p>
        </w:tc>
      </w:tr>
      <w:tr w:rsidR="00954E40" w:rsidRPr="00954E40" w14:paraId="56A8F65E"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A801DB6"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lastRenderedPageBreak/>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00B83E"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2023</w:t>
            </w:r>
          </w:p>
        </w:tc>
      </w:tr>
      <w:tr w:rsidR="00954E40" w:rsidRPr="00954E40" w14:paraId="6170C132"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B0057CE"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3543A4"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2017 – 2021</w:t>
            </w:r>
          </w:p>
        </w:tc>
      </w:tr>
      <w:tr w:rsidR="00954E40" w:rsidRPr="00954E40" w14:paraId="313430F9"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B0741B"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62FA97"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USD Million, CAGR (2024 – 2030)</w:t>
            </w:r>
          </w:p>
        </w:tc>
      </w:tr>
      <w:tr w:rsidR="00954E40" w:rsidRPr="00954E40" w14:paraId="7287E00D"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478A30"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8D2316"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By Product Type, By Application, By End User, By Geography</w:t>
            </w:r>
          </w:p>
        </w:tc>
      </w:tr>
      <w:tr w:rsidR="00954E40" w:rsidRPr="00954E40" w14:paraId="44BE4C5A"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AB437D"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48FA7D"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Gel Electrophoresis, Capillary Electrophoresis, Microfluidics-Based, Reagents, Software</w:t>
            </w:r>
          </w:p>
        </w:tc>
      </w:tr>
      <w:tr w:rsidR="00954E40" w:rsidRPr="00954E40" w14:paraId="6BBD3F5A"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83E25A"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8F7662"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Research, Clinical Diagnostics, QA/QC, Forensic, Environmental Testing</w:t>
            </w:r>
          </w:p>
        </w:tc>
      </w:tr>
      <w:tr w:rsidR="00954E40" w:rsidRPr="00954E40" w14:paraId="135ACC33"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3450E9"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10E62B"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Academic Institutions, Pharma/Biotech, Clinical Labs, Forensic Labs, Environmental Agencies</w:t>
            </w:r>
          </w:p>
        </w:tc>
      </w:tr>
      <w:tr w:rsidR="00954E40" w:rsidRPr="00954E40" w14:paraId="2D563704"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D588C6F"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1031DF"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North America, Europe, Asia-Pacific, Latin America, Middle East &amp; Africa</w:t>
            </w:r>
          </w:p>
        </w:tc>
      </w:tr>
      <w:tr w:rsidR="00954E40" w:rsidRPr="00954E40" w14:paraId="4957496E"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8969B8"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A9ACCF"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U.S., UK, Germany, China, India, Japan, Brazil, etc.</w:t>
            </w:r>
          </w:p>
        </w:tc>
      </w:tr>
      <w:tr w:rsidR="00954E40" w:rsidRPr="00954E40" w14:paraId="7E323324" w14:textId="77777777" w:rsidTr="00954E4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A8DEB2"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74356B"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Technological innovation, growth in molecular diagnostics, expansion of biologics</w:t>
            </w:r>
          </w:p>
        </w:tc>
      </w:tr>
      <w:tr w:rsidR="00954E40" w:rsidRPr="00954E40" w14:paraId="1778A7ED" w14:textId="77777777" w:rsidTr="00954E40">
        <w:trPr>
          <w:tblCellSpacing w:w="15" w:type="dxa"/>
        </w:trPr>
        <w:tc>
          <w:tcPr>
            <w:tcW w:w="0" w:type="auto"/>
            <w:tcMar>
              <w:top w:w="137" w:type="dxa"/>
              <w:left w:w="0" w:type="dxa"/>
              <w:bottom w:w="360" w:type="dxa"/>
              <w:right w:w="137" w:type="dxa"/>
            </w:tcMar>
            <w:vAlign w:val="bottom"/>
            <w:hideMark/>
          </w:tcPr>
          <w:p w14:paraId="66E0F425"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5F032A3F" w14:textId="77777777" w:rsidR="00954E40" w:rsidRPr="00954E40" w:rsidRDefault="00954E40" w:rsidP="00954E40">
            <w:pPr>
              <w:spacing w:after="0" w:line="240" w:lineRule="auto"/>
              <w:rPr>
                <w:rFonts w:ascii="Times New Roman" w:eastAsia="Times New Roman" w:hAnsi="Times New Roman" w:cs="Times New Roman"/>
                <w:sz w:val="21"/>
                <w:szCs w:val="21"/>
                <w:lang w:eastAsia="en-IN"/>
              </w:rPr>
            </w:pPr>
            <w:r w:rsidRPr="00954E40">
              <w:rPr>
                <w:rFonts w:ascii="Times New Roman" w:eastAsia="Times New Roman" w:hAnsi="Times New Roman" w:cs="Times New Roman"/>
                <w:sz w:val="21"/>
                <w:szCs w:val="21"/>
                <w:lang w:eastAsia="en-IN"/>
              </w:rPr>
              <w:t>Available upon request</w:t>
            </w:r>
          </w:p>
        </w:tc>
      </w:tr>
    </w:tbl>
    <w:p w14:paraId="0ACEFE4D"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442D9B81">
          <v:rect id="_x0000_i1237" style="width:0;height:0" o:hralign="center" o:hrstd="t" o:hrnoshade="t" o:hr="t" fillcolor="#0d0d0d" stroked="f"/>
        </w:pict>
      </w:r>
    </w:p>
    <w:p w14:paraId="41FE8339"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C. Top 5 FAQs</w:t>
      </w:r>
    </w:p>
    <w:p w14:paraId="5BFD04D6" w14:textId="65639A1B"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Q1: How big is the electrophoresis market?</w:t>
      </w:r>
      <w:r w:rsidRPr="00954E40">
        <w:rPr>
          <w:rFonts w:ascii="Segoe UI" w:eastAsia="Times New Roman" w:hAnsi="Segoe UI" w:cs="Segoe UI"/>
          <w:color w:val="0D0D0D"/>
          <w:sz w:val="24"/>
          <w:szCs w:val="24"/>
          <w:lang w:eastAsia="en-IN"/>
        </w:rPr>
        <w:br/>
        <w:t>The global electrophoresis market was valued at </w:t>
      </w:r>
      <w:r w:rsidRPr="00954E40">
        <w:rPr>
          <w:rFonts w:ascii="Segoe UI" w:eastAsia="Times New Roman" w:hAnsi="Segoe UI" w:cs="Segoe UI"/>
          <w:b/>
          <w:bCs/>
          <w:color w:val="0D0D0D"/>
          <w:sz w:val="24"/>
          <w:szCs w:val="24"/>
          <w:lang w:eastAsia="en-IN"/>
        </w:rPr>
        <w:t xml:space="preserve">USD </w:t>
      </w:r>
      <w:r w:rsidR="00AC2AC6">
        <w:rPr>
          <w:rFonts w:ascii="Segoe UI" w:eastAsia="Times New Roman" w:hAnsi="Segoe UI" w:cs="Segoe UI"/>
          <w:b/>
          <w:bCs/>
          <w:color w:val="0D0D0D"/>
          <w:sz w:val="24"/>
          <w:szCs w:val="24"/>
          <w:lang w:eastAsia="en-IN"/>
        </w:rPr>
        <w:t>4.2</w:t>
      </w:r>
      <w:r w:rsidRPr="00954E40">
        <w:rPr>
          <w:rFonts w:ascii="Segoe UI" w:eastAsia="Times New Roman" w:hAnsi="Segoe UI" w:cs="Segoe UI"/>
          <w:b/>
          <w:bCs/>
          <w:color w:val="0D0D0D"/>
          <w:sz w:val="24"/>
          <w:szCs w:val="24"/>
          <w:lang w:eastAsia="en-IN"/>
        </w:rPr>
        <w:t xml:space="preserve"> billion</w:t>
      </w:r>
      <w:r w:rsidRPr="00954E40">
        <w:rPr>
          <w:rFonts w:ascii="Segoe UI" w:eastAsia="Times New Roman" w:hAnsi="Segoe UI" w:cs="Segoe UI"/>
          <w:color w:val="0D0D0D"/>
          <w:sz w:val="24"/>
          <w:szCs w:val="24"/>
          <w:lang w:eastAsia="en-IN"/>
        </w:rPr>
        <w:t> in 2024.</w:t>
      </w:r>
    </w:p>
    <w:p w14:paraId="14AF6B7F"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Q2: What is the CAGR for electrophoresis during the forecast period?</w:t>
      </w:r>
      <w:r w:rsidRPr="00954E40">
        <w:rPr>
          <w:rFonts w:ascii="Segoe UI" w:eastAsia="Times New Roman" w:hAnsi="Segoe UI" w:cs="Segoe UI"/>
          <w:color w:val="0D0D0D"/>
          <w:sz w:val="24"/>
          <w:szCs w:val="24"/>
          <w:lang w:eastAsia="en-IN"/>
        </w:rPr>
        <w:br/>
        <w:t>The electrophoresis market is expected to grow at a </w:t>
      </w:r>
      <w:r w:rsidRPr="00954E40">
        <w:rPr>
          <w:rFonts w:ascii="Segoe UI" w:eastAsia="Times New Roman" w:hAnsi="Segoe UI" w:cs="Segoe UI"/>
          <w:b/>
          <w:bCs/>
          <w:color w:val="0D0D0D"/>
          <w:sz w:val="24"/>
          <w:szCs w:val="24"/>
          <w:lang w:eastAsia="en-IN"/>
        </w:rPr>
        <w:t>CAGR of 6.8% from 2024 to 2030</w:t>
      </w:r>
      <w:r w:rsidRPr="00954E40">
        <w:rPr>
          <w:rFonts w:ascii="Segoe UI" w:eastAsia="Times New Roman" w:hAnsi="Segoe UI" w:cs="Segoe UI"/>
          <w:color w:val="0D0D0D"/>
          <w:sz w:val="24"/>
          <w:szCs w:val="24"/>
          <w:lang w:eastAsia="en-IN"/>
        </w:rPr>
        <w:t>.</w:t>
      </w:r>
    </w:p>
    <w:p w14:paraId="28BBB43D"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Q3: Who are the major players in the electrophoresis market?</w:t>
      </w:r>
      <w:r w:rsidRPr="00954E40">
        <w:rPr>
          <w:rFonts w:ascii="Segoe UI" w:eastAsia="Times New Roman" w:hAnsi="Segoe UI" w:cs="Segoe UI"/>
          <w:color w:val="0D0D0D"/>
          <w:sz w:val="24"/>
          <w:szCs w:val="24"/>
          <w:lang w:eastAsia="en-IN"/>
        </w:rPr>
        <w:br/>
        <w:t>Leading players include </w:t>
      </w:r>
      <w:r w:rsidRPr="00954E40">
        <w:rPr>
          <w:rFonts w:ascii="Segoe UI" w:eastAsia="Times New Roman" w:hAnsi="Segoe UI" w:cs="Segoe UI"/>
          <w:b/>
          <w:bCs/>
          <w:color w:val="0D0D0D"/>
          <w:sz w:val="24"/>
          <w:szCs w:val="24"/>
          <w:lang w:eastAsia="en-IN"/>
        </w:rPr>
        <w:t>Thermo Fisher Scientific</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Bio-Rad Laboratories</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Agilent Technologies</w:t>
      </w:r>
      <w:r w:rsidRPr="00954E40">
        <w:rPr>
          <w:rFonts w:ascii="Segoe UI" w:eastAsia="Times New Roman" w:hAnsi="Segoe UI" w:cs="Segoe UI"/>
          <w:color w:val="0D0D0D"/>
          <w:sz w:val="24"/>
          <w:szCs w:val="24"/>
          <w:lang w:eastAsia="en-IN"/>
        </w:rPr>
        <w:t>.</w:t>
      </w:r>
    </w:p>
    <w:p w14:paraId="43FE5E7A"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lastRenderedPageBreak/>
        <w:t>Q4: Which region dominates the electrophoresis market?</w:t>
      </w:r>
      <w:r w:rsidRPr="00954E40">
        <w:rPr>
          <w:rFonts w:ascii="Segoe UI" w:eastAsia="Times New Roman" w:hAnsi="Segoe UI" w:cs="Segoe UI"/>
          <w:color w:val="0D0D0D"/>
          <w:sz w:val="24"/>
          <w:szCs w:val="24"/>
          <w:lang w:eastAsia="en-IN"/>
        </w:rPr>
        <w:br/>
      </w:r>
      <w:r w:rsidRPr="00954E40">
        <w:rPr>
          <w:rFonts w:ascii="Segoe UI" w:eastAsia="Times New Roman" w:hAnsi="Segoe UI" w:cs="Segoe UI"/>
          <w:b/>
          <w:bCs/>
          <w:color w:val="0D0D0D"/>
          <w:sz w:val="24"/>
          <w:szCs w:val="24"/>
          <w:lang w:eastAsia="en-IN"/>
        </w:rPr>
        <w:t>North America</w:t>
      </w:r>
      <w:r w:rsidRPr="00954E40">
        <w:rPr>
          <w:rFonts w:ascii="Segoe UI" w:eastAsia="Times New Roman" w:hAnsi="Segoe UI" w:cs="Segoe UI"/>
          <w:color w:val="0D0D0D"/>
          <w:sz w:val="24"/>
          <w:szCs w:val="24"/>
          <w:lang w:eastAsia="en-IN"/>
        </w:rPr>
        <w:t> leads due to strong infrastructure and high R&amp;D investment.</w:t>
      </w:r>
    </w:p>
    <w:p w14:paraId="107B51C1" w14:textId="77777777" w:rsidR="00954E40" w:rsidRPr="00954E40" w:rsidRDefault="00954E40" w:rsidP="00954E4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954E40">
        <w:rPr>
          <w:rFonts w:ascii="Segoe UI" w:eastAsia="Times New Roman" w:hAnsi="Segoe UI" w:cs="Segoe UI"/>
          <w:b/>
          <w:bCs/>
          <w:color w:val="0D0D0D"/>
          <w:sz w:val="24"/>
          <w:szCs w:val="24"/>
          <w:lang w:eastAsia="en-IN"/>
        </w:rPr>
        <w:t>Q5: What factors are driving the electrophoresis market?</w:t>
      </w:r>
      <w:r w:rsidRPr="00954E40">
        <w:rPr>
          <w:rFonts w:ascii="Segoe UI" w:eastAsia="Times New Roman" w:hAnsi="Segoe UI" w:cs="Segoe UI"/>
          <w:color w:val="0D0D0D"/>
          <w:sz w:val="24"/>
          <w:szCs w:val="24"/>
          <w:lang w:eastAsia="en-IN"/>
        </w:rPr>
        <w:br/>
        <w:t xml:space="preserve">Growth is </w:t>
      </w:r>
      <w:proofErr w:type="spellStart"/>
      <w:r w:rsidRPr="00954E40">
        <w:rPr>
          <w:rFonts w:ascii="Segoe UI" w:eastAsia="Times New Roman" w:hAnsi="Segoe UI" w:cs="Segoe UI"/>
          <w:color w:val="0D0D0D"/>
          <w:sz w:val="24"/>
          <w:szCs w:val="24"/>
          <w:lang w:eastAsia="en-IN"/>
        </w:rPr>
        <w:t>fueled</w:t>
      </w:r>
      <w:proofErr w:type="spellEnd"/>
      <w:r w:rsidRPr="00954E40">
        <w:rPr>
          <w:rFonts w:ascii="Segoe UI" w:eastAsia="Times New Roman" w:hAnsi="Segoe UI" w:cs="Segoe UI"/>
          <w:color w:val="0D0D0D"/>
          <w:sz w:val="24"/>
          <w:szCs w:val="24"/>
          <w:lang w:eastAsia="en-IN"/>
        </w:rPr>
        <w:t xml:space="preserve"> by </w:t>
      </w:r>
      <w:r w:rsidRPr="00954E40">
        <w:rPr>
          <w:rFonts w:ascii="Segoe UI" w:eastAsia="Times New Roman" w:hAnsi="Segoe UI" w:cs="Segoe UI"/>
          <w:b/>
          <w:bCs/>
          <w:color w:val="0D0D0D"/>
          <w:sz w:val="24"/>
          <w:szCs w:val="24"/>
          <w:lang w:eastAsia="en-IN"/>
        </w:rPr>
        <w:t>biotech expansion</w:t>
      </w:r>
      <w:r w:rsidRPr="00954E40">
        <w:rPr>
          <w:rFonts w:ascii="Segoe UI" w:eastAsia="Times New Roman" w:hAnsi="Segoe UI" w:cs="Segoe UI"/>
          <w:color w:val="0D0D0D"/>
          <w:sz w:val="24"/>
          <w:szCs w:val="24"/>
          <w:lang w:eastAsia="en-IN"/>
        </w:rPr>
        <w:t>, </w:t>
      </w:r>
      <w:r w:rsidRPr="00954E40">
        <w:rPr>
          <w:rFonts w:ascii="Segoe UI" w:eastAsia="Times New Roman" w:hAnsi="Segoe UI" w:cs="Segoe UI"/>
          <w:b/>
          <w:bCs/>
          <w:color w:val="0D0D0D"/>
          <w:sz w:val="24"/>
          <w:szCs w:val="24"/>
          <w:lang w:eastAsia="en-IN"/>
        </w:rPr>
        <w:t>rising diagnostic demand</w:t>
      </w:r>
      <w:r w:rsidRPr="00954E40">
        <w:rPr>
          <w:rFonts w:ascii="Segoe UI" w:eastAsia="Times New Roman" w:hAnsi="Segoe UI" w:cs="Segoe UI"/>
          <w:color w:val="0D0D0D"/>
          <w:sz w:val="24"/>
          <w:szCs w:val="24"/>
          <w:lang w:eastAsia="en-IN"/>
        </w:rPr>
        <w:t>, and </w:t>
      </w:r>
      <w:r w:rsidRPr="00954E40">
        <w:rPr>
          <w:rFonts w:ascii="Segoe UI" w:eastAsia="Times New Roman" w:hAnsi="Segoe UI" w:cs="Segoe UI"/>
          <w:b/>
          <w:bCs/>
          <w:color w:val="0D0D0D"/>
          <w:sz w:val="24"/>
          <w:szCs w:val="24"/>
          <w:lang w:eastAsia="en-IN"/>
        </w:rPr>
        <w:t>AI-integrated instruments</w:t>
      </w:r>
      <w:r w:rsidRPr="00954E40">
        <w:rPr>
          <w:rFonts w:ascii="Segoe UI" w:eastAsia="Times New Roman" w:hAnsi="Segoe UI" w:cs="Segoe UI"/>
          <w:color w:val="0D0D0D"/>
          <w:sz w:val="24"/>
          <w:szCs w:val="24"/>
          <w:lang w:eastAsia="en-IN"/>
        </w:rPr>
        <w:t>.</w:t>
      </w:r>
    </w:p>
    <w:p w14:paraId="65FC0E03"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24B37D08">
          <v:rect id="_x0000_i1238" style="width:0;height:0" o:hralign="center" o:hrstd="t" o:hrnoshade="t" o:hr="t" fillcolor="#0d0d0d" stroked="f"/>
        </w:pict>
      </w:r>
    </w:p>
    <w:p w14:paraId="11B26C13"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D. JSON-LD Schema Markup</w:t>
      </w:r>
    </w:p>
    <w:p w14:paraId="04E8C65C" w14:textId="77777777" w:rsidR="00954E40" w:rsidRPr="00954E40" w:rsidRDefault="00954E40" w:rsidP="00954E40">
      <w:pPr>
        <w:shd w:val="clear" w:color="auto" w:fill="FFFFFF"/>
        <w:spacing w:after="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1. Breadcrumb Schema</w:t>
      </w:r>
    </w:p>
    <w:p w14:paraId="710E6666" w14:textId="77777777" w:rsidR="00954E40" w:rsidRPr="00954E40" w:rsidRDefault="00954E40" w:rsidP="00954E4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954E40">
        <w:rPr>
          <w:rFonts w:ascii="Segoe UI" w:eastAsia="Times New Roman" w:hAnsi="Segoe UI" w:cs="Segoe UI"/>
          <w:color w:val="5D5D5D"/>
          <w:sz w:val="18"/>
          <w:szCs w:val="18"/>
          <w:lang w:eastAsia="en-IN"/>
        </w:rPr>
        <w:t>json</w:t>
      </w:r>
    </w:p>
    <w:p w14:paraId="507B52FC" w14:textId="77777777" w:rsidR="00954E40" w:rsidRPr="00954E40" w:rsidRDefault="00954E40" w:rsidP="00954E4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954E40">
        <w:rPr>
          <w:rFonts w:ascii="Segoe UI" w:eastAsia="Times New Roman" w:hAnsi="Segoe UI" w:cs="Segoe UI"/>
          <w:color w:val="5D5D5D"/>
          <w:sz w:val="18"/>
          <w:szCs w:val="18"/>
          <w:lang w:eastAsia="en-IN"/>
        </w:rPr>
        <w:t>Copy code</w:t>
      </w:r>
    </w:p>
    <w:p w14:paraId="262B782C" w14:textId="7760226F" w:rsidR="00954E40" w:rsidRPr="00954E40" w:rsidRDefault="00954E40" w:rsidP="00954E4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"@context"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"https://schema.org"</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t>
      </w:r>
      <w:proofErr w:type="spellStart"/>
      <w:r w:rsidRPr="00954E40">
        <w:rPr>
          <w:rFonts w:ascii="Courier New" w:eastAsia="Times New Roman" w:hAnsi="Courier New" w:cs="Courier New"/>
          <w:color w:val="50A14F"/>
          <w:sz w:val="20"/>
          <w:szCs w:val="20"/>
          <w:lang w:eastAsia="en-IN"/>
        </w:rPr>
        <w:t>BreadcrumbList</w:t>
      </w:r>
      <w:proofErr w:type="spellEnd"/>
      <w:r w:rsidRPr="00954E40">
        <w:rPr>
          <w:rFonts w:ascii="Courier New" w:eastAsia="Times New Roman" w:hAnsi="Courier New" w:cs="Courier New"/>
          <w:color w:val="50A14F"/>
          <w:sz w:val="20"/>
          <w:szCs w:val="20"/>
          <w:lang w:eastAsia="en-IN"/>
        </w:rPr>
        <w: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w:t>
      </w:r>
      <w:proofErr w:type="spellStart"/>
      <w:r w:rsidRPr="00954E40">
        <w:rPr>
          <w:rFonts w:ascii="Courier New" w:eastAsia="Times New Roman" w:hAnsi="Courier New" w:cs="Courier New"/>
          <w:color w:val="986801"/>
          <w:sz w:val="20"/>
          <w:szCs w:val="20"/>
          <w:lang w:eastAsia="en-IN"/>
        </w:rPr>
        <w:t>itemListElement</w:t>
      </w:r>
      <w:proofErr w:type="spellEnd"/>
      <w:r w:rsidRPr="00954E40">
        <w:rPr>
          <w:rFonts w:ascii="Courier New" w:eastAsia="Times New Roman" w:hAnsi="Courier New" w:cs="Courier New"/>
          <w:color w:val="986801"/>
          <w:sz w:val="20"/>
          <w:szCs w:val="20"/>
          <w:lang w:eastAsia="en-IN"/>
        </w:rPr>
        <w:t>"</w:t>
      </w:r>
      <w:r w:rsidRPr="00954E40">
        <w:rPr>
          <w:rFonts w:ascii="Courier New" w:eastAsia="Times New Roman" w:hAnsi="Courier New" w:cs="Courier New"/>
          <w:color w:val="383A42"/>
          <w:sz w:val="20"/>
          <w:szCs w:val="20"/>
          <w:lang w:eastAsia="en-IN"/>
        </w:rPr>
        <w:t xml:space="preserve">: [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t>
      </w:r>
      <w:proofErr w:type="spellStart"/>
      <w:r w:rsidRPr="00954E40">
        <w:rPr>
          <w:rFonts w:ascii="Courier New" w:eastAsia="Times New Roman" w:hAnsi="Courier New" w:cs="Courier New"/>
          <w:color w:val="50A14F"/>
          <w:sz w:val="20"/>
          <w:szCs w:val="20"/>
          <w:lang w:eastAsia="en-IN"/>
        </w:rPr>
        <w:t>ListItem</w:t>
      </w:r>
      <w:proofErr w:type="spellEnd"/>
      <w:r w:rsidRPr="00954E40">
        <w:rPr>
          <w:rFonts w:ascii="Courier New" w:eastAsia="Times New Roman" w:hAnsi="Courier New" w:cs="Courier New"/>
          <w:color w:val="50A14F"/>
          <w:sz w:val="20"/>
          <w:szCs w:val="20"/>
          <w:lang w:eastAsia="en-IN"/>
        </w:rPr>
        <w: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"position"</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1</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"name"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"Home"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"item"</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"https://www.strategicmarketresearch.com/"</w:t>
      </w:r>
      <w:r w:rsidRPr="00954E40">
        <w:rPr>
          <w:rFonts w:ascii="Courier New" w:eastAsia="Times New Roman" w:hAnsi="Courier New" w:cs="Courier New"/>
          <w:color w:val="383A42"/>
          <w:sz w:val="20"/>
          <w:szCs w:val="20"/>
          <w:lang w:eastAsia="en-IN"/>
        </w:rPr>
        <w:t xml:space="preserve"> },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t>
      </w:r>
      <w:proofErr w:type="spellStart"/>
      <w:r w:rsidRPr="00954E40">
        <w:rPr>
          <w:rFonts w:ascii="Courier New" w:eastAsia="Times New Roman" w:hAnsi="Courier New" w:cs="Courier New"/>
          <w:color w:val="50A14F"/>
          <w:sz w:val="20"/>
          <w:szCs w:val="20"/>
          <w:lang w:eastAsia="en-IN"/>
        </w:rPr>
        <w:t>ListItem</w:t>
      </w:r>
      <w:proofErr w:type="spellEnd"/>
      <w:r w:rsidRPr="00954E40">
        <w:rPr>
          <w:rFonts w:ascii="Courier New" w:eastAsia="Times New Roman" w:hAnsi="Courier New" w:cs="Courier New"/>
          <w:color w:val="50A14F"/>
          <w:sz w:val="20"/>
          <w:szCs w:val="20"/>
          <w:lang w:eastAsia="en-IN"/>
        </w:rPr>
        <w: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"position"</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2</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"name"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954E40">
        <w:rPr>
          <w:rFonts w:ascii="Courier New" w:eastAsia="Times New Roman" w:hAnsi="Courier New" w:cs="Courier New"/>
          <w:color w:val="50A14F"/>
          <w:sz w:val="20"/>
          <w:szCs w:val="20"/>
          <w:lang w:eastAsia="en-IN"/>
        </w:rPr>
        <w: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"item"</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954E40">
        <w:rPr>
          <w:rFonts w:ascii="Courier New" w:eastAsia="Times New Roman" w:hAnsi="Courier New" w:cs="Courier New"/>
          <w:color w:val="50A14F"/>
          <w:sz w:val="20"/>
          <w:szCs w:val="20"/>
          <w:lang w:eastAsia="en-IN"/>
        </w:rPr>
        <w:t>"</w:t>
      </w:r>
      <w:r w:rsidRPr="00954E40">
        <w:rPr>
          <w:rFonts w:ascii="Courier New" w:eastAsia="Times New Roman" w:hAnsi="Courier New" w:cs="Courier New"/>
          <w:color w:val="383A42"/>
          <w:sz w:val="20"/>
          <w:szCs w:val="20"/>
          <w:lang w:eastAsia="en-IN"/>
        </w:rPr>
        <w:t xml:space="preserve"> },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t>
      </w:r>
      <w:proofErr w:type="spellStart"/>
      <w:r w:rsidRPr="00954E40">
        <w:rPr>
          <w:rFonts w:ascii="Courier New" w:eastAsia="Times New Roman" w:hAnsi="Courier New" w:cs="Courier New"/>
          <w:color w:val="50A14F"/>
          <w:sz w:val="20"/>
          <w:szCs w:val="20"/>
          <w:lang w:eastAsia="en-IN"/>
        </w:rPr>
        <w:t>ListItem</w:t>
      </w:r>
      <w:proofErr w:type="spellEnd"/>
      <w:r w:rsidRPr="00954E40">
        <w:rPr>
          <w:rFonts w:ascii="Courier New" w:eastAsia="Times New Roman" w:hAnsi="Courier New" w:cs="Courier New"/>
          <w:color w:val="50A14F"/>
          <w:sz w:val="20"/>
          <w:szCs w:val="20"/>
          <w:lang w:eastAsia="en-IN"/>
        </w:rPr>
        <w: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"position"</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3</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"name"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"Electrophoresis Market Report 2030"</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"item"</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"https://www.strategicmarketresearch.com/market-report/electrophoresis-market"</w:t>
      </w:r>
      <w:r w:rsidRPr="00954E40">
        <w:rPr>
          <w:rFonts w:ascii="Courier New" w:eastAsia="Times New Roman" w:hAnsi="Courier New" w:cs="Courier New"/>
          <w:color w:val="383A42"/>
          <w:sz w:val="20"/>
          <w:szCs w:val="20"/>
          <w:lang w:eastAsia="en-IN"/>
        </w:rPr>
        <w:t xml:space="preserve"> } ] } </w:t>
      </w:r>
    </w:p>
    <w:p w14:paraId="6CADF5AA" w14:textId="77777777" w:rsidR="00954E40" w:rsidRPr="00954E40" w:rsidRDefault="00954E40" w:rsidP="00954E40">
      <w:pPr>
        <w:shd w:val="clear" w:color="auto" w:fill="FFFFFF"/>
        <w:spacing w:after="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2. FAQ Schema</w:t>
      </w:r>
    </w:p>
    <w:p w14:paraId="68B6781C" w14:textId="77777777" w:rsidR="00954E40" w:rsidRPr="00954E40" w:rsidRDefault="00954E40" w:rsidP="00954E4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954E40">
        <w:rPr>
          <w:rFonts w:ascii="Segoe UI" w:eastAsia="Times New Roman" w:hAnsi="Segoe UI" w:cs="Segoe UI"/>
          <w:color w:val="5D5D5D"/>
          <w:sz w:val="18"/>
          <w:szCs w:val="18"/>
          <w:lang w:eastAsia="en-IN"/>
        </w:rPr>
        <w:t>json</w:t>
      </w:r>
    </w:p>
    <w:p w14:paraId="3B2AC607" w14:textId="77777777" w:rsidR="00954E40" w:rsidRPr="00954E40" w:rsidRDefault="00954E40" w:rsidP="00954E4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954E40">
        <w:rPr>
          <w:rFonts w:ascii="Segoe UI" w:eastAsia="Times New Roman" w:hAnsi="Segoe UI" w:cs="Segoe UI"/>
          <w:color w:val="5D5D5D"/>
          <w:sz w:val="18"/>
          <w:szCs w:val="18"/>
          <w:lang w:eastAsia="en-IN"/>
        </w:rPr>
        <w:t>Copy code</w:t>
      </w:r>
    </w:p>
    <w:p w14:paraId="72FBDE0C" w14:textId="7F5A4860" w:rsidR="00954E40" w:rsidRPr="00954E40" w:rsidRDefault="00954E40" w:rsidP="00954E4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"@context"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"https://schema.org"</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t>
      </w:r>
      <w:proofErr w:type="spellStart"/>
      <w:r w:rsidRPr="00954E40">
        <w:rPr>
          <w:rFonts w:ascii="Courier New" w:eastAsia="Times New Roman" w:hAnsi="Courier New" w:cs="Courier New"/>
          <w:color w:val="50A14F"/>
          <w:sz w:val="20"/>
          <w:szCs w:val="20"/>
          <w:lang w:eastAsia="en-IN"/>
        </w:rPr>
        <w:t>FAQPage</w:t>
      </w:r>
      <w:proofErr w:type="spellEnd"/>
      <w:r w:rsidRPr="00954E40">
        <w:rPr>
          <w:rFonts w:ascii="Courier New" w:eastAsia="Times New Roman" w:hAnsi="Courier New" w:cs="Courier New"/>
          <w:color w:val="50A14F"/>
          <w:sz w:val="20"/>
          <w:szCs w:val="20"/>
          <w:lang w:eastAsia="en-IN"/>
        </w:rPr>
        <w: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w:t>
      </w:r>
      <w:proofErr w:type="spellStart"/>
      <w:r w:rsidRPr="00954E40">
        <w:rPr>
          <w:rFonts w:ascii="Courier New" w:eastAsia="Times New Roman" w:hAnsi="Courier New" w:cs="Courier New"/>
          <w:color w:val="986801"/>
          <w:sz w:val="20"/>
          <w:szCs w:val="20"/>
          <w:lang w:eastAsia="en-IN"/>
        </w:rPr>
        <w:t>mainEntity</w:t>
      </w:r>
      <w:proofErr w:type="spellEnd"/>
      <w:r w:rsidRPr="00954E40">
        <w:rPr>
          <w:rFonts w:ascii="Courier New" w:eastAsia="Times New Roman" w:hAnsi="Courier New" w:cs="Courier New"/>
          <w:color w:val="986801"/>
          <w:sz w:val="20"/>
          <w:szCs w:val="20"/>
          <w:lang w:eastAsia="en-IN"/>
        </w:rPr>
        <w:t>"</w:t>
      </w:r>
      <w:r w:rsidRPr="00954E40">
        <w:rPr>
          <w:rFonts w:ascii="Courier New" w:eastAsia="Times New Roman" w:hAnsi="Courier New" w:cs="Courier New"/>
          <w:color w:val="383A42"/>
          <w:sz w:val="20"/>
          <w:szCs w:val="20"/>
          <w:lang w:eastAsia="en-IN"/>
        </w:rPr>
        <w:t xml:space="preserve">: [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"Question"</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"name"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"How big is the electrophoresis market?"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w:t>
      </w:r>
      <w:proofErr w:type="spellStart"/>
      <w:r w:rsidRPr="00954E40">
        <w:rPr>
          <w:rFonts w:ascii="Courier New" w:eastAsia="Times New Roman" w:hAnsi="Courier New" w:cs="Courier New"/>
          <w:color w:val="986801"/>
          <w:sz w:val="20"/>
          <w:szCs w:val="20"/>
          <w:lang w:eastAsia="en-IN"/>
        </w:rPr>
        <w:t>acceptedAnswer</w:t>
      </w:r>
      <w:proofErr w:type="spellEnd"/>
      <w:r w:rsidRPr="00954E40">
        <w:rPr>
          <w:rFonts w:ascii="Courier New" w:eastAsia="Times New Roman" w:hAnsi="Courier New" w:cs="Courier New"/>
          <w:color w:val="986801"/>
          <w:sz w:val="20"/>
          <w:szCs w:val="20"/>
          <w:lang w:eastAsia="en-IN"/>
        </w:rPr>
        <w:t>"</w:t>
      </w:r>
      <w:r w:rsidRPr="00954E40">
        <w:rPr>
          <w:rFonts w:ascii="Courier New" w:eastAsia="Times New Roman" w:hAnsi="Courier New" w:cs="Courier New"/>
          <w:color w:val="383A42"/>
          <w:sz w:val="20"/>
          <w:szCs w:val="20"/>
          <w:lang w:eastAsia="en-IN"/>
        </w:rPr>
        <w:t xml:space="preserve">: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"Answer"</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"text"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 xml:space="preserve">"The global electrophoresis market was valued at USD </w:t>
      </w:r>
      <w:r w:rsidR="00AC2AC6">
        <w:rPr>
          <w:rFonts w:ascii="Courier New" w:eastAsia="Times New Roman" w:hAnsi="Courier New" w:cs="Courier New"/>
          <w:color w:val="50A14F"/>
          <w:sz w:val="20"/>
          <w:szCs w:val="20"/>
          <w:lang w:eastAsia="en-IN"/>
        </w:rPr>
        <w:t>4.2</w:t>
      </w:r>
      <w:r w:rsidRPr="00954E40">
        <w:rPr>
          <w:rFonts w:ascii="Courier New" w:eastAsia="Times New Roman" w:hAnsi="Courier New" w:cs="Courier New"/>
          <w:color w:val="50A14F"/>
          <w:sz w:val="20"/>
          <w:szCs w:val="20"/>
          <w:lang w:eastAsia="en-IN"/>
        </w:rPr>
        <w:t xml:space="preserve"> billion in 2024."</w:t>
      </w:r>
      <w:r w:rsidRPr="00954E40">
        <w:rPr>
          <w:rFonts w:ascii="Courier New" w:eastAsia="Times New Roman" w:hAnsi="Courier New" w:cs="Courier New"/>
          <w:color w:val="383A42"/>
          <w:sz w:val="20"/>
          <w:szCs w:val="20"/>
          <w:lang w:eastAsia="en-IN"/>
        </w:rPr>
        <w:t xml:space="preserve"> } },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"Question"</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"name"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"What is the CAGR for electrophoresis during the forecast period?"</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w:t>
      </w:r>
      <w:proofErr w:type="spellStart"/>
      <w:r w:rsidRPr="00954E40">
        <w:rPr>
          <w:rFonts w:ascii="Courier New" w:eastAsia="Times New Roman" w:hAnsi="Courier New" w:cs="Courier New"/>
          <w:color w:val="986801"/>
          <w:sz w:val="20"/>
          <w:szCs w:val="20"/>
          <w:lang w:eastAsia="en-IN"/>
        </w:rPr>
        <w:t>acceptedAnswer</w:t>
      </w:r>
      <w:proofErr w:type="spellEnd"/>
      <w:r w:rsidRPr="00954E40">
        <w:rPr>
          <w:rFonts w:ascii="Courier New" w:eastAsia="Times New Roman" w:hAnsi="Courier New" w:cs="Courier New"/>
          <w:color w:val="986801"/>
          <w:sz w:val="20"/>
          <w:szCs w:val="20"/>
          <w:lang w:eastAsia="en-IN"/>
        </w:rPr>
        <w:t>"</w:t>
      </w:r>
      <w:r w:rsidRPr="00954E40">
        <w:rPr>
          <w:rFonts w:ascii="Courier New" w:eastAsia="Times New Roman" w:hAnsi="Courier New" w:cs="Courier New"/>
          <w:color w:val="383A42"/>
          <w:sz w:val="20"/>
          <w:szCs w:val="20"/>
          <w:lang w:eastAsia="en-IN"/>
        </w:rPr>
        <w:t xml:space="preserve">: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"Answer"</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"text"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"The electrophoresis market is expected to grow at a CAGR of 6.8% from 2024 to 2030."</w:t>
      </w:r>
      <w:r w:rsidRPr="00954E40">
        <w:rPr>
          <w:rFonts w:ascii="Courier New" w:eastAsia="Times New Roman" w:hAnsi="Courier New" w:cs="Courier New"/>
          <w:color w:val="383A42"/>
          <w:sz w:val="20"/>
          <w:szCs w:val="20"/>
          <w:lang w:eastAsia="en-IN"/>
        </w:rPr>
        <w:t xml:space="preserve"> } },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"Question"</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"name"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"Who are the major players in the electrophoresis market?"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w:t>
      </w:r>
      <w:proofErr w:type="spellStart"/>
      <w:r w:rsidRPr="00954E40">
        <w:rPr>
          <w:rFonts w:ascii="Courier New" w:eastAsia="Times New Roman" w:hAnsi="Courier New" w:cs="Courier New"/>
          <w:color w:val="986801"/>
          <w:sz w:val="20"/>
          <w:szCs w:val="20"/>
          <w:lang w:eastAsia="en-IN"/>
        </w:rPr>
        <w:t>acceptedAnswer</w:t>
      </w:r>
      <w:proofErr w:type="spellEnd"/>
      <w:r w:rsidRPr="00954E40">
        <w:rPr>
          <w:rFonts w:ascii="Courier New" w:eastAsia="Times New Roman" w:hAnsi="Courier New" w:cs="Courier New"/>
          <w:color w:val="986801"/>
          <w:sz w:val="20"/>
          <w:szCs w:val="20"/>
          <w:lang w:eastAsia="en-IN"/>
        </w:rPr>
        <w:t>"</w:t>
      </w:r>
      <w:r w:rsidRPr="00954E40">
        <w:rPr>
          <w:rFonts w:ascii="Courier New" w:eastAsia="Times New Roman" w:hAnsi="Courier New" w:cs="Courier New"/>
          <w:color w:val="383A42"/>
          <w:sz w:val="20"/>
          <w:szCs w:val="20"/>
          <w:lang w:eastAsia="en-IN"/>
        </w:rPr>
        <w:t xml:space="preserve">: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"Answer"</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"text"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"Leading players include Thermo Fisher Scientific, Bio-Rad Laboratories, and Agilent Technologies."</w:t>
      </w:r>
      <w:r w:rsidRPr="00954E40">
        <w:rPr>
          <w:rFonts w:ascii="Courier New" w:eastAsia="Times New Roman" w:hAnsi="Courier New" w:cs="Courier New"/>
          <w:color w:val="383A42"/>
          <w:sz w:val="20"/>
          <w:szCs w:val="20"/>
          <w:lang w:eastAsia="en-IN"/>
        </w:rPr>
        <w:t xml:space="preserve"> } },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"Question"</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"name"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"Which region dominates the electrophoresis market?"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w:t>
      </w:r>
      <w:proofErr w:type="spellStart"/>
      <w:r w:rsidRPr="00954E40">
        <w:rPr>
          <w:rFonts w:ascii="Courier New" w:eastAsia="Times New Roman" w:hAnsi="Courier New" w:cs="Courier New"/>
          <w:color w:val="986801"/>
          <w:sz w:val="20"/>
          <w:szCs w:val="20"/>
          <w:lang w:eastAsia="en-IN"/>
        </w:rPr>
        <w:t>acceptedAnswer</w:t>
      </w:r>
      <w:proofErr w:type="spellEnd"/>
      <w:r w:rsidRPr="00954E40">
        <w:rPr>
          <w:rFonts w:ascii="Courier New" w:eastAsia="Times New Roman" w:hAnsi="Courier New" w:cs="Courier New"/>
          <w:color w:val="986801"/>
          <w:sz w:val="20"/>
          <w:szCs w:val="20"/>
          <w:lang w:eastAsia="en-IN"/>
        </w:rPr>
        <w:t>"</w:t>
      </w:r>
      <w:r w:rsidRPr="00954E40">
        <w:rPr>
          <w:rFonts w:ascii="Courier New" w:eastAsia="Times New Roman" w:hAnsi="Courier New" w:cs="Courier New"/>
          <w:color w:val="383A42"/>
          <w:sz w:val="20"/>
          <w:szCs w:val="20"/>
          <w:lang w:eastAsia="en-IN"/>
        </w:rPr>
        <w:t xml:space="preserve">: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"Answer"</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"text"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"North America leads due to strong infrastructure and high R&amp;D investment."</w:t>
      </w:r>
      <w:r w:rsidRPr="00954E40">
        <w:rPr>
          <w:rFonts w:ascii="Courier New" w:eastAsia="Times New Roman" w:hAnsi="Courier New" w:cs="Courier New"/>
          <w:color w:val="383A42"/>
          <w:sz w:val="20"/>
          <w:szCs w:val="20"/>
          <w:lang w:eastAsia="en-IN"/>
        </w:rPr>
        <w:t xml:space="preserve"> } },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"Question"</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"name"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"What factors are driving the electrophoresis market?"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w:t>
      </w:r>
      <w:proofErr w:type="spellStart"/>
      <w:r w:rsidRPr="00954E40">
        <w:rPr>
          <w:rFonts w:ascii="Courier New" w:eastAsia="Times New Roman" w:hAnsi="Courier New" w:cs="Courier New"/>
          <w:color w:val="986801"/>
          <w:sz w:val="20"/>
          <w:szCs w:val="20"/>
          <w:lang w:eastAsia="en-IN"/>
        </w:rPr>
        <w:t>acceptedAnswer</w:t>
      </w:r>
      <w:proofErr w:type="spellEnd"/>
      <w:r w:rsidRPr="00954E40">
        <w:rPr>
          <w:rFonts w:ascii="Courier New" w:eastAsia="Times New Roman" w:hAnsi="Courier New" w:cs="Courier New"/>
          <w:color w:val="986801"/>
          <w:sz w:val="20"/>
          <w:szCs w:val="20"/>
          <w:lang w:eastAsia="en-IN"/>
        </w:rPr>
        <w:t>"</w:t>
      </w:r>
      <w:r w:rsidRPr="00954E40">
        <w:rPr>
          <w:rFonts w:ascii="Courier New" w:eastAsia="Times New Roman" w:hAnsi="Courier New" w:cs="Courier New"/>
          <w:color w:val="383A42"/>
          <w:sz w:val="20"/>
          <w:szCs w:val="20"/>
          <w:lang w:eastAsia="en-IN"/>
        </w:rPr>
        <w:t xml:space="preserve">: { </w:t>
      </w:r>
      <w:r w:rsidRPr="00954E40">
        <w:rPr>
          <w:rFonts w:ascii="Courier New" w:eastAsia="Times New Roman" w:hAnsi="Courier New" w:cs="Courier New"/>
          <w:color w:val="986801"/>
          <w:sz w:val="20"/>
          <w:szCs w:val="20"/>
          <w:lang w:eastAsia="en-IN"/>
        </w:rPr>
        <w:t>"@type"</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"Answer"</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986801"/>
          <w:sz w:val="20"/>
          <w:szCs w:val="20"/>
          <w:lang w:eastAsia="en-IN"/>
        </w:rPr>
        <w:t>"text"</w:t>
      </w:r>
      <w:r w:rsidRPr="00954E40">
        <w:rPr>
          <w:rFonts w:ascii="Courier New" w:eastAsia="Times New Roman" w:hAnsi="Courier New" w:cs="Courier New"/>
          <w:color w:val="383A42"/>
          <w:sz w:val="20"/>
          <w:szCs w:val="20"/>
          <w:lang w:eastAsia="en-IN"/>
        </w:rPr>
        <w:t xml:space="preserve">: </w:t>
      </w:r>
      <w:r w:rsidRPr="00954E40">
        <w:rPr>
          <w:rFonts w:ascii="Courier New" w:eastAsia="Times New Roman" w:hAnsi="Courier New" w:cs="Courier New"/>
          <w:color w:val="50A14F"/>
          <w:sz w:val="20"/>
          <w:szCs w:val="20"/>
          <w:lang w:eastAsia="en-IN"/>
        </w:rPr>
        <w:t xml:space="preserve">"Growth is </w:t>
      </w:r>
      <w:proofErr w:type="spellStart"/>
      <w:r w:rsidRPr="00954E40">
        <w:rPr>
          <w:rFonts w:ascii="Courier New" w:eastAsia="Times New Roman" w:hAnsi="Courier New" w:cs="Courier New"/>
          <w:color w:val="50A14F"/>
          <w:sz w:val="20"/>
          <w:szCs w:val="20"/>
          <w:lang w:eastAsia="en-IN"/>
        </w:rPr>
        <w:t>fueled</w:t>
      </w:r>
      <w:proofErr w:type="spellEnd"/>
      <w:r w:rsidRPr="00954E40">
        <w:rPr>
          <w:rFonts w:ascii="Courier New" w:eastAsia="Times New Roman" w:hAnsi="Courier New" w:cs="Courier New"/>
          <w:color w:val="50A14F"/>
          <w:sz w:val="20"/>
          <w:szCs w:val="20"/>
          <w:lang w:eastAsia="en-IN"/>
        </w:rPr>
        <w:t xml:space="preserve"> by biotech expansion, rising diagnostic demand, and AI-integrated instruments."</w:t>
      </w:r>
      <w:r w:rsidRPr="00954E40">
        <w:rPr>
          <w:rFonts w:ascii="Courier New" w:eastAsia="Times New Roman" w:hAnsi="Courier New" w:cs="Courier New"/>
          <w:color w:val="383A42"/>
          <w:sz w:val="20"/>
          <w:szCs w:val="20"/>
          <w:lang w:eastAsia="en-IN"/>
        </w:rPr>
        <w:t xml:space="preserve"> } } ] } </w:t>
      </w:r>
    </w:p>
    <w:p w14:paraId="63AEC264" w14:textId="43825497" w:rsidR="00954E40" w:rsidRDefault="00954E40">
      <w:r>
        <w:br w:type="page"/>
      </w:r>
    </w:p>
    <w:p w14:paraId="5E556644" w14:textId="77777777" w:rsidR="00954E40" w:rsidRPr="00954E40" w:rsidRDefault="00954E40" w:rsidP="00954E40">
      <w:pPr>
        <w:shd w:val="clear" w:color="auto" w:fill="FFFFFF"/>
        <w:spacing w:after="0" w:line="240" w:lineRule="auto"/>
        <w:outlineLvl w:val="1"/>
        <w:rPr>
          <w:rFonts w:ascii="Segoe UI" w:eastAsia="Times New Roman" w:hAnsi="Segoe UI" w:cs="Segoe UI"/>
          <w:b/>
          <w:bCs/>
          <w:color w:val="0D0D0D"/>
          <w:sz w:val="36"/>
          <w:szCs w:val="36"/>
          <w:lang w:eastAsia="en-IN"/>
        </w:rPr>
      </w:pPr>
      <w:r w:rsidRPr="00954E40">
        <w:rPr>
          <w:rFonts w:ascii="Segoe UI" w:eastAsia="Times New Roman" w:hAnsi="Segoe UI" w:cs="Segoe UI"/>
          <w:b/>
          <w:bCs/>
          <w:color w:val="0D0D0D"/>
          <w:sz w:val="36"/>
          <w:szCs w:val="36"/>
          <w:lang w:eastAsia="en-IN"/>
        </w:rPr>
        <w:lastRenderedPageBreak/>
        <w:t>9. Table of Contents for Electrophoresis Market Report (2024–2030)</w:t>
      </w:r>
    </w:p>
    <w:p w14:paraId="0D41261C"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Executive Summary</w:t>
      </w:r>
    </w:p>
    <w:p w14:paraId="175FA6C3" w14:textId="77777777" w:rsidR="00954E40" w:rsidRPr="00954E40" w:rsidRDefault="00954E40" w:rsidP="00954E4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Overview</w:t>
      </w:r>
    </w:p>
    <w:p w14:paraId="4B8D4F38" w14:textId="77777777" w:rsidR="00954E40" w:rsidRPr="00954E40" w:rsidRDefault="00954E40" w:rsidP="00954E4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Attractiveness by Product Type, Application, End User, and Region</w:t>
      </w:r>
    </w:p>
    <w:p w14:paraId="07250305" w14:textId="77777777" w:rsidR="00954E40" w:rsidRPr="00954E40" w:rsidRDefault="00954E40" w:rsidP="00954E4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Strategic Insights from Key Executives (CXO Perspective)</w:t>
      </w:r>
    </w:p>
    <w:p w14:paraId="31F18AF8" w14:textId="77777777" w:rsidR="00954E40" w:rsidRPr="00954E40" w:rsidRDefault="00954E40" w:rsidP="00954E4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Historical Market Size and Future Projections (2022–2030)</w:t>
      </w:r>
    </w:p>
    <w:p w14:paraId="1A6D0FC2" w14:textId="77777777" w:rsidR="00954E40" w:rsidRPr="00954E40" w:rsidRDefault="00954E40" w:rsidP="00954E4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Summary of Market Segmentation by Product Type, Application, End User, and Region</w:t>
      </w:r>
    </w:p>
    <w:p w14:paraId="650239C6"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5F41C77E">
          <v:rect id="_x0000_i1101" style="width:0;height:0" o:hralign="center" o:hrstd="t" o:hrnoshade="t" o:hr="t" fillcolor="#0d0d0d" stroked="f"/>
        </w:pict>
      </w:r>
    </w:p>
    <w:p w14:paraId="216F58E4"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Market Share Analysis</w:t>
      </w:r>
    </w:p>
    <w:p w14:paraId="47B1F540" w14:textId="77777777" w:rsidR="00954E40" w:rsidRPr="00954E40" w:rsidRDefault="00954E40" w:rsidP="00954E4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Leading Players by Revenue and Market Share</w:t>
      </w:r>
    </w:p>
    <w:p w14:paraId="111A6A99" w14:textId="77777777" w:rsidR="00954E40" w:rsidRPr="00954E40" w:rsidRDefault="00954E40" w:rsidP="00954E40">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Share Analysis by Product Type, Application, and End User</w:t>
      </w:r>
    </w:p>
    <w:p w14:paraId="3D783AF6"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798F093B">
          <v:rect id="_x0000_i1102" style="width:0;height:0" o:hralign="center" o:hrstd="t" o:hrnoshade="t" o:hr="t" fillcolor="#0d0d0d" stroked="f"/>
        </w:pict>
      </w:r>
    </w:p>
    <w:p w14:paraId="487ABEDE"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Investment Opportunities in the Electrophoresis Market</w:t>
      </w:r>
    </w:p>
    <w:p w14:paraId="27F919C6" w14:textId="77777777" w:rsidR="00954E40" w:rsidRPr="00954E40" w:rsidRDefault="00954E40" w:rsidP="00954E4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Key Developments and Innovations</w:t>
      </w:r>
    </w:p>
    <w:p w14:paraId="1A5E9394" w14:textId="77777777" w:rsidR="00954E40" w:rsidRPr="00954E40" w:rsidRDefault="00954E40" w:rsidP="00954E4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Mergers, Acquisitions, and Strategic Partnerships</w:t>
      </w:r>
    </w:p>
    <w:p w14:paraId="395055A7" w14:textId="77777777" w:rsidR="00954E40" w:rsidRPr="00954E40" w:rsidRDefault="00954E40" w:rsidP="00954E40">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High-Growth Segments for Investment</w:t>
      </w:r>
    </w:p>
    <w:p w14:paraId="59F2CD0B"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7F62222D">
          <v:rect id="_x0000_i1103" style="width:0;height:0" o:hralign="center" o:hrstd="t" o:hrnoshade="t" o:hr="t" fillcolor="#0d0d0d" stroked="f"/>
        </w:pict>
      </w:r>
    </w:p>
    <w:p w14:paraId="52B115FB"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Market Introduction</w:t>
      </w:r>
    </w:p>
    <w:p w14:paraId="6EA5291B" w14:textId="77777777" w:rsidR="00954E40" w:rsidRPr="00954E40" w:rsidRDefault="00954E40" w:rsidP="00954E4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Definition and Scope of the Study</w:t>
      </w:r>
    </w:p>
    <w:p w14:paraId="5126D25D" w14:textId="77777777" w:rsidR="00954E40" w:rsidRPr="00954E40" w:rsidRDefault="00954E40" w:rsidP="00954E4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Structure and Key Findings</w:t>
      </w:r>
    </w:p>
    <w:p w14:paraId="596126CE" w14:textId="77777777" w:rsidR="00954E40" w:rsidRPr="00954E40" w:rsidRDefault="00954E40" w:rsidP="00954E40">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Overview of Top Investment Pockets</w:t>
      </w:r>
    </w:p>
    <w:p w14:paraId="7F1A91B0"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72C62164">
          <v:rect id="_x0000_i1104" style="width:0;height:0" o:hralign="center" o:hrstd="t" o:hrnoshade="t" o:hr="t" fillcolor="#0d0d0d" stroked="f"/>
        </w:pict>
      </w:r>
    </w:p>
    <w:p w14:paraId="3953F982"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lastRenderedPageBreak/>
        <w:t>Research Methodology</w:t>
      </w:r>
    </w:p>
    <w:p w14:paraId="6597D1B5" w14:textId="77777777" w:rsidR="00954E40" w:rsidRPr="00954E40" w:rsidRDefault="00954E40" w:rsidP="00954E4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Research Process Overview</w:t>
      </w:r>
    </w:p>
    <w:p w14:paraId="0C54F2A9" w14:textId="77777777" w:rsidR="00954E40" w:rsidRPr="00954E40" w:rsidRDefault="00954E40" w:rsidP="00954E4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Primary and Secondary Research Approaches</w:t>
      </w:r>
    </w:p>
    <w:p w14:paraId="31EDF212" w14:textId="77777777" w:rsidR="00954E40" w:rsidRPr="00954E40" w:rsidRDefault="00954E40" w:rsidP="00954E40">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Size Estimation and Forecasting Techniques</w:t>
      </w:r>
    </w:p>
    <w:p w14:paraId="106C6A9E"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35FBDBB6">
          <v:rect id="_x0000_i1105" style="width:0;height:0" o:hralign="center" o:hrstd="t" o:hrnoshade="t" o:hr="t" fillcolor="#0d0d0d" stroked="f"/>
        </w:pict>
      </w:r>
    </w:p>
    <w:p w14:paraId="2A42ED37"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Market Dynamics</w:t>
      </w:r>
    </w:p>
    <w:p w14:paraId="64932B33" w14:textId="77777777" w:rsidR="00954E40" w:rsidRPr="00954E40" w:rsidRDefault="00954E40" w:rsidP="00954E4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Key Market Drivers</w:t>
      </w:r>
    </w:p>
    <w:p w14:paraId="7CED23A8" w14:textId="77777777" w:rsidR="00954E40" w:rsidRPr="00954E40" w:rsidRDefault="00954E40" w:rsidP="00954E4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Challenges and Restraints Impacting Growth</w:t>
      </w:r>
    </w:p>
    <w:p w14:paraId="307DE5F5" w14:textId="77777777" w:rsidR="00954E40" w:rsidRPr="00954E40" w:rsidRDefault="00954E40" w:rsidP="00954E4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Emerging Opportunities for Stakeholders</w:t>
      </w:r>
    </w:p>
    <w:p w14:paraId="68EBC0A4" w14:textId="77777777" w:rsidR="00954E40" w:rsidRPr="00954E40" w:rsidRDefault="00954E40" w:rsidP="00954E4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Impact of Regulatory and Technological Trends</w:t>
      </w:r>
    </w:p>
    <w:p w14:paraId="374A4F36" w14:textId="77777777" w:rsidR="00954E40" w:rsidRPr="00954E40" w:rsidRDefault="00954E40" w:rsidP="00954E40">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Laboratory Modernization and Workflow Integration</w:t>
      </w:r>
    </w:p>
    <w:p w14:paraId="38CD9938"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1A289BA1">
          <v:rect id="_x0000_i1106" style="width:0;height:0" o:hralign="center" o:hrstd="t" o:hrnoshade="t" o:hr="t" fillcolor="#0d0d0d" stroked="f"/>
        </w:pict>
      </w:r>
    </w:p>
    <w:p w14:paraId="427BC193"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Global Electrophoresis Market Analysis</w:t>
      </w:r>
    </w:p>
    <w:p w14:paraId="20BE0224" w14:textId="77777777" w:rsidR="00954E40" w:rsidRPr="00954E40" w:rsidRDefault="00954E40" w:rsidP="00954E4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Historical Market Size and Volume (2022–2023)</w:t>
      </w:r>
    </w:p>
    <w:p w14:paraId="3464DB79" w14:textId="77777777" w:rsidR="00954E40" w:rsidRPr="00954E40" w:rsidRDefault="00954E40" w:rsidP="00954E40">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Size and Volume Forecasts (2024–2030)</w:t>
      </w:r>
    </w:p>
    <w:p w14:paraId="1C4473DF" w14:textId="77777777" w:rsidR="00954E40" w:rsidRPr="00954E40" w:rsidRDefault="00954E40" w:rsidP="00954E40">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By Product Type:</w:t>
      </w:r>
    </w:p>
    <w:p w14:paraId="091DED5C" w14:textId="77777777" w:rsidR="00954E40" w:rsidRPr="00954E40" w:rsidRDefault="00954E40" w:rsidP="00954E4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Gel Electrophoresis (Agarose Gel, PAGE)</w:t>
      </w:r>
    </w:p>
    <w:p w14:paraId="5C279080" w14:textId="77777777" w:rsidR="00954E40" w:rsidRPr="00954E40" w:rsidRDefault="00954E40" w:rsidP="00954E4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Capillary Electrophoresis</w:t>
      </w:r>
    </w:p>
    <w:p w14:paraId="74DF7389" w14:textId="77777777" w:rsidR="00954E40" w:rsidRPr="00954E40" w:rsidRDefault="00954E40" w:rsidP="00954E4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Microfluidics-Based Electrophoresis</w:t>
      </w:r>
    </w:p>
    <w:p w14:paraId="3B604455" w14:textId="77777777" w:rsidR="00954E40" w:rsidRPr="00954E40" w:rsidRDefault="00954E40" w:rsidP="00954E4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Reagents and Consumables</w:t>
      </w:r>
    </w:p>
    <w:p w14:paraId="772A4A91" w14:textId="77777777" w:rsidR="00954E40" w:rsidRPr="00954E40" w:rsidRDefault="00954E40" w:rsidP="00954E40">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Software and Imaging Systems</w:t>
      </w:r>
    </w:p>
    <w:p w14:paraId="2C7B86C7" w14:textId="77777777" w:rsidR="00954E40" w:rsidRPr="00954E40" w:rsidRDefault="00954E40" w:rsidP="00954E40">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By Application:</w:t>
      </w:r>
    </w:p>
    <w:p w14:paraId="19EE3B90" w14:textId="77777777" w:rsidR="00954E40" w:rsidRPr="00954E40" w:rsidRDefault="00954E40" w:rsidP="00954E4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Research</w:t>
      </w:r>
    </w:p>
    <w:p w14:paraId="636FD0C9" w14:textId="77777777" w:rsidR="00954E40" w:rsidRPr="00954E40" w:rsidRDefault="00954E40" w:rsidP="00954E4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Clinical Diagnostics</w:t>
      </w:r>
    </w:p>
    <w:p w14:paraId="53A9A82D" w14:textId="77777777" w:rsidR="00954E40" w:rsidRPr="00954E40" w:rsidRDefault="00954E40" w:rsidP="00954E4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Quality Assurance &amp; Process Validation</w:t>
      </w:r>
    </w:p>
    <w:p w14:paraId="2EA5BB89" w14:textId="77777777" w:rsidR="00954E40" w:rsidRPr="00954E40" w:rsidRDefault="00954E40" w:rsidP="00954E40">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Forensic and Environmental Testing</w:t>
      </w:r>
    </w:p>
    <w:p w14:paraId="271853E8" w14:textId="77777777" w:rsidR="00954E40" w:rsidRPr="00954E40" w:rsidRDefault="00954E40" w:rsidP="00954E40">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By End User:</w:t>
      </w:r>
    </w:p>
    <w:p w14:paraId="6B57BCA7" w14:textId="77777777" w:rsidR="00954E40" w:rsidRPr="00954E40" w:rsidRDefault="00954E40" w:rsidP="00954E4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Academic and Research Institutions</w:t>
      </w:r>
    </w:p>
    <w:p w14:paraId="1FED368D" w14:textId="77777777" w:rsidR="00954E40" w:rsidRPr="00954E40" w:rsidRDefault="00954E40" w:rsidP="00954E4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Pharmaceutical and Biotechnology Companies</w:t>
      </w:r>
    </w:p>
    <w:p w14:paraId="6A5277A4" w14:textId="77777777" w:rsidR="00954E40" w:rsidRPr="00954E40" w:rsidRDefault="00954E40" w:rsidP="00954E4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Hospitals and Clinical Laboratories</w:t>
      </w:r>
    </w:p>
    <w:p w14:paraId="78C4C629" w14:textId="77777777" w:rsidR="00954E40" w:rsidRPr="00954E40" w:rsidRDefault="00954E40" w:rsidP="00954E4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lastRenderedPageBreak/>
        <w:t>Forensic Laboratories</w:t>
      </w:r>
    </w:p>
    <w:p w14:paraId="2FF30F34" w14:textId="77777777" w:rsidR="00954E40" w:rsidRPr="00954E40" w:rsidRDefault="00954E40" w:rsidP="00954E40">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Environmental Testing Agencies</w:t>
      </w:r>
    </w:p>
    <w:p w14:paraId="1A9AFE8E"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22E7200B">
          <v:rect id="_x0000_i1107" style="width:0;height:0" o:hralign="center" o:hrstd="t" o:hrnoshade="t" o:hr="t" fillcolor="#0d0d0d" stroked="f"/>
        </w:pict>
      </w:r>
    </w:p>
    <w:p w14:paraId="47245E0F"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Regional Market Analysis</w:t>
      </w:r>
    </w:p>
    <w:p w14:paraId="5939426F" w14:textId="77777777" w:rsidR="00954E40" w:rsidRPr="00954E40" w:rsidRDefault="00954E40" w:rsidP="00954E40">
      <w:pPr>
        <w:shd w:val="clear" w:color="auto" w:fill="FFFFFF"/>
        <w:spacing w:after="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North America</w:t>
      </w:r>
    </w:p>
    <w:p w14:paraId="04B68620" w14:textId="77777777" w:rsidR="00954E40" w:rsidRPr="00954E40" w:rsidRDefault="00954E40" w:rsidP="00954E40">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United States</w:t>
      </w:r>
    </w:p>
    <w:p w14:paraId="69443F62" w14:textId="77777777" w:rsidR="00954E40" w:rsidRPr="00954E40" w:rsidRDefault="00954E40" w:rsidP="00954E40">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Canada</w:t>
      </w:r>
    </w:p>
    <w:p w14:paraId="7A40708F" w14:textId="77777777" w:rsidR="00954E40" w:rsidRPr="00954E40" w:rsidRDefault="00954E40" w:rsidP="00954E40">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Mexico</w:t>
      </w:r>
    </w:p>
    <w:p w14:paraId="152B159D" w14:textId="77777777" w:rsidR="00954E40" w:rsidRPr="00954E40" w:rsidRDefault="00954E40" w:rsidP="00954E40">
      <w:pPr>
        <w:shd w:val="clear" w:color="auto" w:fill="FFFFFF"/>
        <w:spacing w:after="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Europe</w:t>
      </w:r>
    </w:p>
    <w:p w14:paraId="30E8DEA9" w14:textId="77777777" w:rsidR="00954E40" w:rsidRPr="00954E40" w:rsidRDefault="00954E40" w:rsidP="00954E4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Germany</w:t>
      </w:r>
    </w:p>
    <w:p w14:paraId="70B2BCD4" w14:textId="77777777" w:rsidR="00954E40" w:rsidRPr="00954E40" w:rsidRDefault="00954E40" w:rsidP="00954E4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United Kingdom</w:t>
      </w:r>
    </w:p>
    <w:p w14:paraId="1402FD24" w14:textId="77777777" w:rsidR="00954E40" w:rsidRPr="00954E40" w:rsidRDefault="00954E40" w:rsidP="00954E4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France</w:t>
      </w:r>
    </w:p>
    <w:p w14:paraId="51B605C0" w14:textId="77777777" w:rsidR="00954E40" w:rsidRPr="00954E40" w:rsidRDefault="00954E40" w:rsidP="00954E4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Italy</w:t>
      </w:r>
    </w:p>
    <w:p w14:paraId="4F076F04" w14:textId="77777777" w:rsidR="00954E40" w:rsidRPr="00954E40" w:rsidRDefault="00954E40" w:rsidP="00954E4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Spain</w:t>
      </w:r>
    </w:p>
    <w:p w14:paraId="6B3AC53E" w14:textId="77777777" w:rsidR="00954E40" w:rsidRPr="00954E40" w:rsidRDefault="00954E40" w:rsidP="00954E40">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Rest of Europe</w:t>
      </w:r>
    </w:p>
    <w:p w14:paraId="48ADBEBA" w14:textId="77777777" w:rsidR="00954E40" w:rsidRPr="00954E40" w:rsidRDefault="00954E40" w:rsidP="00954E40">
      <w:pPr>
        <w:shd w:val="clear" w:color="auto" w:fill="FFFFFF"/>
        <w:spacing w:after="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Asia-Pacific</w:t>
      </w:r>
    </w:p>
    <w:p w14:paraId="4C7AD24A" w14:textId="77777777" w:rsidR="00954E40" w:rsidRPr="00954E40" w:rsidRDefault="00954E40" w:rsidP="00954E4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China</w:t>
      </w:r>
    </w:p>
    <w:p w14:paraId="1EE2503B" w14:textId="77777777" w:rsidR="00954E40" w:rsidRPr="00954E40" w:rsidRDefault="00954E40" w:rsidP="00954E4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India</w:t>
      </w:r>
    </w:p>
    <w:p w14:paraId="6B2C97C3" w14:textId="77777777" w:rsidR="00954E40" w:rsidRPr="00954E40" w:rsidRDefault="00954E40" w:rsidP="00954E4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Japan</w:t>
      </w:r>
    </w:p>
    <w:p w14:paraId="28C6F3C0" w14:textId="77777777" w:rsidR="00954E40" w:rsidRPr="00954E40" w:rsidRDefault="00954E40" w:rsidP="00954E4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South Korea</w:t>
      </w:r>
    </w:p>
    <w:p w14:paraId="7381D368" w14:textId="77777777" w:rsidR="00954E40" w:rsidRPr="00954E40" w:rsidRDefault="00954E40" w:rsidP="00954E40">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Rest of Asia-Pacific</w:t>
      </w:r>
    </w:p>
    <w:p w14:paraId="569821A2" w14:textId="77777777" w:rsidR="00954E40" w:rsidRPr="00954E40" w:rsidRDefault="00954E40" w:rsidP="00954E40">
      <w:pPr>
        <w:shd w:val="clear" w:color="auto" w:fill="FFFFFF"/>
        <w:spacing w:after="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Latin America</w:t>
      </w:r>
    </w:p>
    <w:p w14:paraId="254F3093" w14:textId="77777777" w:rsidR="00954E40" w:rsidRPr="00954E40" w:rsidRDefault="00954E40" w:rsidP="00954E40">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Brazil</w:t>
      </w:r>
    </w:p>
    <w:p w14:paraId="6A074061" w14:textId="77777777" w:rsidR="00954E40" w:rsidRPr="00954E40" w:rsidRDefault="00954E40" w:rsidP="00954E40">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Argentina</w:t>
      </w:r>
    </w:p>
    <w:p w14:paraId="333DC64B" w14:textId="77777777" w:rsidR="00954E40" w:rsidRPr="00954E40" w:rsidRDefault="00954E40" w:rsidP="00954E40">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Rest of Latin America</w:t>
      </w:r>
    </w:p>
    <w:p w14:paraId="63ED0B27" w14:textId="77777777" w:rsidR="00954E40" w:rsidRPr="00954E40" w:rsidRDefault="00954E40" w:rsidP="00954E40">
      <w:pPr>
        <w:shd w:val="clear" w:color="auto" w:fill="FFFFFF"/>
        <w:spacing w:after="0" w:line="240" w:lineRule="auto"/>
        <w:outlineLvl w:val="3"/>
        <w:rPr>
          <w:rFonts w:ascii="Segoe UI" w:eastAsia="Times New Roman" w:hAnsi="Segoe UI" w:cs="Segoe UI"/>
          <w:b/>
          <w:bCs/>
          <w:color w:val="0D0D0D"/>
          <w:sz w:val="24"/>
          <w:szCs w:val="24"/>
          <w:lang w:eastAsia="en-IN"/>
        </w:rPr>
      </w:pPr>
      <w:r w:rsidRPr="00954E40">
        <w:rPr>
          <w:rFonts w:ascii="Segoe UI" w:eastAsia="Times New Roman" w:hAnsi="Segoe UI" w:cs="Segoe UI"/>
          <w:b/>
          <w:bCs/>
          <w:color w:val="0D0D0D"/>
          <w:sz w:val="24"/>
          <w:szCs w:val="24"/>
          <w:lang w:eastAsia="en-IN"/>
        </w:rPr>
        <w:t>Middle East &amp; Africa</w:t>
      </w:r>
    </w:p>
    <w:p w14:paraId="17D1C431" w14:textId="77777777" w:rsidR="00954E40" w:rsidRPr="00954E40" w:rsidRDefault="00954E40" w:rsidP="00954E40">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GCC Countries</w:t>
      </w:r>
    </w:p>
    <w:p w14:paraId="65604A4A" w14:textId="77777777" w:rsidR="00954E40" w:rsidRPr="00954E40" w:rsidRDefault="00954E40" w:rsidP="00954E40">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South Africa</w:t>
      </w:r>
    </w:p>
    <w:p w14:paraId="3A0EE574" w14:textId="77777777" w:rsidR="00954E40" w:rsidRPr="00954E40" w:rsidRDefault="00954E40" w:rsidP="00954E40">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Rest of Middle East &amp; Africa</w:t>
      </w:r>
    </w:p>
    <w:p w14:paraId="6885748C"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17C51473">
          <v:rect id="_x0000_i1108" style="width:0;height:0" o:hralign="center" o:hrstd="t" o:hrnoshade="t" o:hr="t" fillcolor="#0d0d0d" stroked="f"/>
        </w:pict>
      </w:r>
    </w:p>
    <w:p w14:paraId="62D4FDCB"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Key Players and Competitive Analysis</w:t>
      </w:r>
    </w:p>
    <w:p w14:paraId="201933E8" w14:textId="77777777" w:rsidR="00954E40" w:rsidRPr="00954E40" w:rsidRDefault="00954E40" w:rsidP="00954E4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Thermo Fisher Scientific</w:t>
      </w:r>
    </w:p>
    <w:p w14:paraId="01E918FC" w14:textId="77777777" w:rsidR="00954E40" w:rsidRPr="00954E40" w:rsidRDefault="00954E40" w:rsidP="00954E4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Bio-Rad Laboratories</w:t>
      </w:r>
    </w:p>
    <w:p w14:paraId="66703CE2" w14:textId="77777777" w:rsidR="00954E40" w:rsidRPr="00954E40" w:rsidRDefault="00954E40" w:rsidP="00954E4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Agilent Technologies</w:t>
      </w:r>
    </w:p>
    <w:p w14:paraId="7ADC92ED" w14:textId="77777777" w:rsidR="00954E40" w:rsidRPr="00954E40" w:rsidRDefault="00954E40" w:rsidP="00954E40">
      <w:pPr>
        <w:numPr>
          <w:ilvl w:val="0"/>
          <w:numId w:val="33"/>
        </w:numPr>
        <w:shd w:val="clear" w:color="auto" w:fill="FFFFFF"/>
        <w:spacing w:after="0" w:line="240" w:lineRule="auto"/>
        <w:rPr>
          <w:rFonts w:ascii="Segoe UI" w:eastAsia="Times New Roman" w:hAnsi="Segoe UI" w:cs="Segoe UI"/>
          <w:color w:val="0D0D0D"/>
          <w:sz w:val="24"/>
          <w:szCs w:val="24"/>
          <w:lang w:eastAsia="en-IN"/>
        </w:rPr>
      </w:pPr>
      <w:proofErr w:type="spellStart"/>
      <w:r w:rsidRPr="00954E40">
        <w:rPr>
          <w:rFonts w:ascii="Segoe UI" w:eastAsia="Times New Roman" w:hAnsi="Segoe UI" w:cs="Segoe UI"/>
          <w:color w:val="0D0D0D"/>
          <w:sz w:val="24"/>
          <w:szCs w:val="24"/>
          <w:lang w:eastAsia="en-IN"/>
        </w:rPr>
        <w:lastRenderedPageBreak/>
        <w:t>Cytiva</w:t>
      </w:r>
      <w:proofErr w:type="spellEnd"/>
      <w:r w:rsidRPr="00954E40">
        <w:rPr>
          <w:rFonts w:ascii="Segoe UI" w:eastAsia="Times New Roman" w:hAnsi="Segoe UI" w:cs="Segoe UI"/>
          <w:color w:val="0D0D0D"/>
          <w:sz w:val="24"/>
          <w:szCs w:val="24"/>
          <w:lang w:eastAsia="en-IN"/>
        </w:rPr>
        <w:t xml:space="preserve"> (Danaher Corporation)</w:t>
      </w:r>
    </w:p>
    <w:p w14:paraId="7AFD835B" w14:textId="77777777" w:rsidR="00954E40" w:rsidRPr="00954E40" w:rsidRDefault="00954E40" w:rsidP="00954E4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QIAGEN</w:t>
      </w:r>
    </w:p>
    <w:p w14:paraId="6AA54499" w14:textId="77777777" w:rsidR="00954E40" w:rsidRPr="00954E40" w:rsidRDefault="00954E40" w:rsidP="00954E4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Lonza Group</w:t>
      </w:r>
    </w:p>
    <w:p w14:paraId="61459C3D" w14:textId="77777777" w:rsidR="00954E40" w:rsidRPr="00954E40" w:rsidRDefault="00954E40" w:rsidP="00954E40">
      <w:pPr>
        <w:numPr>
          <w:ilvl w:val="0"/>
          <w:numId w:val="33"/>
        </w:numPr>
        <w:shd w:val="clear" w:color="auto" w:fill="FFFFFF"/>
        <w:spacing w:after="0" w:line="240" w:lineRule="auto"/>
        <w:rPr>
          <w:rFonts w:ascii="Segoe UI" w:eastAsia="Times New Roman" w:hAnsi="Segoe UI" w:cs="Segoe UI"/>
          <w:color w:val="0D0D0D"/>
          <w:sz w:val="24"/>
          <w:szCs w:val="24"/>
          <w:lang w:eastAsia="en-IN"/>
        </w:rPr>
      </w:pPr>
      <w:proofErr w:type="spellStart"/>
      <w:r w:rsidRPr="00954E40">
        <w:rPr>
          <w:rFonts w:ascii="Segoe UI" w:eastAsia="Times New Roman" w:hAnsi="Segoe UI" w:cs="Segoe UI"/>
          <w:color w:val="0D0D0D"/>
          <w:sz w:val="24"/>
          <w:szCs w:val="24"/>
          <w:lang w:eastAsia="en-IN"/>
        </w:rPr>
        <w:t>Analytik</w:t>
      </w:r>
      <w:proofErr w:type="spellEnd"/>
      <w:r w:rsidRPr="00954E40">
        <w:rPr>
          <w:rFonts w:ascii="Segoe UI" w:eastAsia="Times New Roman" w:hAnsi="Segoe UI" w:cs="Segoe UI"/>
          <w:color w:val="0D0D0D"/>
          <w:sz w:val="24"/>
          <w:szCs w:val="24"/>
          <w:lang w:eastAsia="en-IN"/>
        </w:rPr>
        <w:t xml:space="preserve"> Jena</w:t>
      </w:r>
    </w:p>
    <w:p w14:paraId="4687B743" w14:textId="77777777" w:rsidR="00954E40" w:rsidRPr="00954E40" w:rsidRDefault="00954E40" w:rsidP="00954E40">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Strategic Profiles, Revenue Footprint, Innovation Focus</w:t>
      </w:r>
    </w:p>
    <w:p w14:paraId="5F8E5CC8"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7EAE3A11">
          <v:rect id="_x0000_i1109" style="width:0;height:0" o:hralign="center" o:hrstd="t" o:hrnoshade="t" o:hr="t" fillcolor="#0d0d0d" stroked="f"/>
        </w:pict>
      </w:r>
    </w:p>
    <w:p w14:paraId="738A3D85"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Appendix</w:t>
      </w:r>
    </w:p>
    <w:p w14:paraId="1967017E" w14:textId="77777777" w:rsidR="00954E40" w:rsidRPr="00954E40" w:rsidRDefault="00954E40" w:rsidP="00954E40">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Abbreviations and Terminologies Used in the Report</w:t>
      </w:r>
    </w:p>
    <w:p w14:paraId="1FB10116" w14:textId="77777777" w:rsidR="00954E40" w:rsidRPr="00954E40" w:rsidRDefault="00954E40" w:rsidP="00954E40">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References and Data Sources</w:t>
      </w:r>
    </w:p>
    <w:p w14:paraId="64837950"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7CF6AA83">
          <v:rect id="_x0000_i1110" style="width:0;height:0" o:hralign="center" o:hrstd="t" o:hrnoshade="t" o:hr="t" fillcolor="#0d0d0d" stroked="f"/>
        </w:pict>
      </w:r>
    </w:p>
    <w:p w14:paraId="22D1E77A"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List of Tables</w:t>
      </w:r>
    </w:p>
    <w:p w14:paraId="69A9FEFF" w14:textId="77777777" w:rsidR="00954E40" w:rsidRPr="00954E40" w:rsidRDefault="00954E40" w:rsidP="00954E40">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Size by Product Type, Application, End User, and Region (2024–2030)</w:t>
      </w:r>
    </w:p>
    <w:p w14:paraId="39A86802" w14:textId="77777777" w:rsidR="00954E40" w:rsidRPr="00954E40" w:rsidRDefault="00954E40" w:rsidP="00954E40">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Regional Market Breakdown by Segment (2024–2030)</w:t>
      </w:r>
    </w:p>
    <w:p w14:paraId="0CAAF9BC" w14:textId="77777777" w:rsidR="00954E40" w:rsidRPr="00954E40" w:rsidRDefault="00954E40" w:rsidP="00954E40">
      <w:pPr>
        <w:spacing w:before="720" w:after="720" w:line="240" w:lineRule="auto"/>
        <w:rPr>
          <w:rFonts w:ascii="Times New Roman" w:eastAsia="Times New Roman" w:hAnsi="Times New Roman" w:cs="Times New Roman"/>
          <w:sz w:val="24"/>
          <w:szCs w:val="24"/>
          <w:lang w:eastAsia="en-IN"/>
        </w:rPr>
      </w:pPr>
      <w:r w:rsidRPr="00954E40">
        <w:rPr>
          <w:rFonts w:ascii="Times New Roman" w:eastAsia="Times New Roman" w:hAnsi="Times New Roman" w:cs="Times New Roman"/>
          <w:sz w:val="24"/>
          <w:szCs w:val="24"/>
          <w:lang w:eastAsia="en-IN"/>
        </w:rPr>
        <w:pict w14:anchorId="1DF86C09">
          <v:rect id="_x0000_i1111" style="width:0;height:0" o:hralign="center" o:hrstd="t" o:hrnoshade="t" o:hr="t" fillcolor="#0d0d0d" stroked="f"/>
        </w:pict>
      </w:r>
    </w:p>
    <w:p w14:paraId="163B4F15" w14:textId="77777777" w:rsidR="00954E40" w:rsidRPr="00954E40" w:rsidRDefault="00954E40" w:rsidP="00954E40">
      <w:pPr>
        <w:shd w:val="clear" w:color="auto" w:fill="FFFFFF"/>
        <w:spacing w:after="0" w:line="240" w:lineRule="auto"/>
        <w:outlineLvl w:val="2"/>
        <w:rPr>
          <w:rFonts w:ascii="Segoe UI" w:eastAsia="Times New Roman" w:hAnsi="Segoe UI" w:cs="Segoe UI"/>
          <w:b/>
          <w:bCs/>
          <w:color w:val="0D0D0D"/>
          <w:sz w:val="30"/>
          <w:szCs w:val="30"/>
          <w:lang w:eastAsia="en-IN"/>
        </w:rPr>
      </w:pPr>
      <w:r w:rsidRPr="00954E40">
        <w:rPr>
          <w:rFonts w:ascii="Segoe UI" w:eastAsia="Times New Roman" w:hAnsi="Segoe UI" w:cs="Segoe UI"/>
          <w:b/>
          <w:bCs/>
          <w:color w:val="0D0D0D"/>
          <w:sz w:val="30"/>
          <w:szCs w:val="30"/>
          <w:lang w:eastAsia="en-IN"/>
        </w:rPr>
        <w:t>List of Figures</w:t>
      </w:r>
    </w:p>
    <w:p w14:paraId="7C558B6D" w14:textId="77777777" w:rsidR="00954E40" w:rsidRPr="00954E40" w:rsidRDefault="00954E40" w:rsidP="00954E40">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Drivers and Restraints</w:t>
      </w:r>
    </w:p>
    <w:p w14:paraId="78D2DAA4" w14:textId="77777777" w:rsidR="00954E40" w:rsidRPr="00954E40" w:rsidRDefault="00954E40" w:rsidP="00954E40">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Regional Adoption and Growth Trends</w:t>
      </w:r>
    </w:p>
    <w:p w14:paraId="4C1AC422" w14:textId="77777777" w:rsidR="00954E40" w:rsidRPr="00954E40" w:rsidRDefault="00954E40" w:rsidP="00954E40">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Competitive Benchmarking</w:t>
      </w:r>
    </w:p>
    <w:p w14:paraId="39E31E40" w14:textId="77777777" w:rsidR="00954E40" w:rsidRPr="00954E40" w:rsidRDefault="00954E40" w:rsidP="00954E40">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Investment Opportunity Matrix</w:t>
      </w:r>
    </w:p>
    <w:p w14:paraId="590C452E" w14:textId="77777777" w:rsidR="00954E40" w:rsidRPr="00954E40" w:rsidRDefault="00954E40" w:rsidP="00954E40">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954E40">
        <w:rPr>
          <w:rFonts w:ascii="Segoe UI" w:eastAsia="Times New Roman" w:hAnsi="Segoe UI" w:cs="Segoe UI"/>
          <w:color w:val="0D0D0D"/>
          <w:sz w:val="24"/>
          <w:szCs w:val="24"/>
          <w:lang w:eastAsia="en-IN"/>
        </w:rPr>
        <w:t>Market Share Evolution by Segment (2024 vs. 2030)</w:t>
      </w:r>
    </w:p>
    <w:p w14:paraId="79F403C9"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03BB"/>
    <w:multiLevelType w:val="multilevel"/>
    <w:tmpl w:val="B9F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16FC1"/>
    <w:multiLevelType w:val="multilevel"/>
    <w:tmpl w:val="12C4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C1BE4"/>
    <w:multiLevelType w:val="multilevel"/>
    <w:tmpl w:val="596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B5684F"/>
    <w:multiLevelType w:val="multilevel"/>
    <w:tmpl w:val="E81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60311"/>
    <w:multiLevelType w:val="multilevel"/>
    <w:tmpl w:val="B5F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200AC"/>
    <w:multiLevelType w:val="multilevel"/>
    <w:tmpl w:val="D70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B00FF5"/>
    <w:multiLevelType w:val="multilevel"/>
    <w:tmpl w:val="955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9C6A41"/>
    <w:multiLevelType w:val="multilevel"/>
    <w:tmpl w:val="1F5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225389"/>
    <w:multiLevelType w:val="multilevel"/>
    <w:tmpl w:val="FB3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3538"/>
    <w:multiLevelType w:val="multilevel"/>
    <w:tmpl w:val="B82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5C103C"/>
    <w:multiLevelType w:val="multilevel"/>
    <w:tmpl w:val="FA2A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CB3A2C"/>
    <w:multiLevelType w:val="multilevel"/>
    <w:tmpl w:val="C76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177759"/>
    <w:multiLevelType w:val="multilevel"/>
    <w:tmpl w:val="C99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3F64CB"/>
    <w:multiLevelType w:val="multilevel"/>
    <w:tmpl w:val="F394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E40544"/>
    <w:multiLevelType w:val="multilevel"/>
    <w:tmpl w:val="82D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BA0BF9"/>
    <w:multiLevelType w:val="multilevel"/>
    <w:tmpl w:val="171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69181D"/>
    <w:multiLevelType w:val="multilevel"/>
    <w:tmpl w:val="6C14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383305"/>
    <w:multiLevelType w:val="multilevel"/>
    <w:tmpl w:val="FCB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A748F1"/>
    <w:multiLevelType w:val="multilevel"/>
    <w:tmpl w:val="F5602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3442B7"/>
    <w:multiLevelType w:val="multilevel"/>
    <w:tmpl w:val="62C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0E397E"/>
    <w:multiLevelType w:val="multilevel"/>
    <w:tmpl w:val="B874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0B0120"/>
    <w:multiLevelType w:val="multilevel"/>
    <w:tmpl w:val="AEC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B15FD2"/>
    <w:multiLevelType w:val="multilevel"/>
    <w:tmpl w:val="A9C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1F35BA"/>
    <w:multiLevelType w:val="multilevel"/>
    <w:tmpl w:val="ADB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6029AA"/>
    <w:multiLevelType w:val="multilevel"/>
    <w:tmpl w:val="3B4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F10E0A"/>
    <w:multiLevelType w:val="multilevel"/>
    <w:tmpl w:val="757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94058E"/>
    <w:multiLevelType w:val="multilevel"/>
    <w:tmpl w:val="7CB4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D7411F"/>
    <w:multiLevelType w:val="multilevel"/>
    <w:tmpl w:val="E6F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7937C5"/>
    <w:multiLevelType w:val="multilevel"/>
    <w:tmpl w:val="8F089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3273C8"/>
    <w:multiLevelType w:val="multilevel"/>
    <w:tmpl w:val="467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7B7319"/>
    <w:multiLevelType w:val="multilevel"/>
    <w:tmpl w:val="8D28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AD5C82"/>
    <w:multiLevelType w:val="multilevel"/>
    <w:tmpl w:val="7452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C80B68"/>
    <w:multiLevelType w:val="multilevel"/>
    <w:tmpl w:val="AB8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154197"/>
    <w:multiLevelType w:val="multilevel"/>
    <w:tmpl w:val="EC68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120BE5"/>
    <w:multiLevelType w:val="multilevel"/>
    <w:tmpl w:val="171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EC5A86"/>
    <w:multiLevelType w:val="multilevel"/>
    <w:tmpl w:val="080E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7"/>
  </w:num>
  <w:num w:numId="3">
    <w:abstractNumId w:val="18"/>
  </w:num>
  <w:num w:numId="4">
    <w:abstractNumId w:val="28"/>
  </w:num>
  <w:num w:numId="5">
    <w:abstractNumId w:val="16"/>
  </w:num>
  <w:num w:numId="6">
    <w:abstractNumId w:val="30"/>
  </w:num>
  <w:num w:numId="7">
    <w:abstractNumId w:val="26"/>
  </w:num>
  <w:num w:numId="8">
    <w:abstractNumId w:val="3"/>
  </w:num>
  <w:num w:numId="9">
    <w:abstractNumId w:val="2"/>
  </w:num>
  <w:num w:numId="10">
    <w:abstractNumId w:val="8"/>
  </w:num>
  <w:num w:numId="11">
    <w:abstractNumId w:val="13"/>
  </w:num>
  <w:num w:numId="12">
    <w:abstractNumId w:val="34"/>
  </w:num>
  <w:num w:numId="13">
    <w:abstractNumId w:val="24"/>
  </w:num>
  <w:num w:numId="14">
    <w:abstractNumId w:val="27"/>
  </w:num>
  <w:num w:numId="15">
    <w:abstractNumId w:val="0"/>
  </w:num>
  <w:num w:numId="16">
    <w:abstractNumId w:val="29"/>
  </w:num>
  <w:num w:numId="17">
    <w:abstractNumId w:val="20"/>
  </w:num>
  <w:num w:numId="18">
    <w:abstractNumId w:val="35"/>
  </w:num>
  <w:num w:numId="19">
    <w:abstractNumId w:val="32"/>
  </w:num>
  <w:num w:numId="20">
    <w:abstractNumId w:val="22"/>
  </w:num>
  <w:num w:numId="21">
    <w:abstractNumId w:val="1"/>
  </w:num>
  <w:num w:numId="22">
    <w:abstractNumId w:val="11"/>
  </w:num>
  <w:num w:numId="23">
    <w:abstractNumId w:val="6"/>
  </w:num>
  <w:num w:numId="24">
    <w:abstractNumId w:val="4"/>
  </w:num>
  <w:num w:numId="25">
    <w:abstractNumId w:val="12"/>
  </w:num>
  <w:num w:numId="26">
    <w:abstractNumId w:val="23"/>
  </w:num>
  <w:num w:numId="27">
    <w:abstractNumId w:val="15"/>
  </w:num>
  <w:num w:numId="28">
    <w:abstractNumId w:val="19"/>
  </w:num>
  <w:num w:numId="29">
    <w:abstractNumId w:val="21"/>
  </w:num>
  <w:num w:numId="30">
    <w:abstractNumId w:val="31"/>
  </w:num>
  <w:num w:numId="31">
    <w:abstractNumId w:val="14"/>
  </w:num>
  <w:num w:numId="32">
    <w:abstractNumId w:val="5"/>
  </w:num>
  <w:num w:numId="33">
    <w:abstractNumId w:val="17"/>
  </w:num>
  <w:num w:numId="34">
    <w:abstractNumId w:val="33"/>
  </w:num>
  <w:num w:numId="35">
    <w:abstractNumId w:val="9"/>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40"/>
    <w:rsid w:val="0038114E"/>
    <w:rsid w:val="00954E40"/>
    <w:rsid w:val="00A11F02"/>
    <w:rsid w:val="00AC2AC6"/>
    <w:rsid w:val="00BE6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166E"/>
  <w15:chartTrackingRefBased/>
  <w15:docId w15:val="{C17D707F-67ED-4A21-BBBF-0397CC68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7273">
      <w:bodyDiv w:val="1"/>
      <w:marLeft w:val="0"/>
      <w:marRight w:val="0"/>
      <w:marTop w:val="0"/>
      <w:marBottom w:val="0"/>
      <w:divBdr>
        <w:top w:val="none" w:sz="0" w:space="0" w:color="auto"/>
        <w:left w:val="none" w:sz="0" w:space="0" w:color="auto"/>
        <w:bottom w:val="none" w:sz="0" w:space="0" w:color="auto"/>
        <w:right w:val="none" w:sz="0" w:space="0" w:color="auto"/>
      </w:divBdr>
    </w:div>
    <w:div w:id="198397724">
      <w:bodyDiv w:val="1"/>
      <w:marLeft w:val="0"/>
      <w:marRight w:val="0"/>
      <w:marTop w:val="0"/>
      <w:marBottom w:val="0"/>
      <w:divBdr>
        <w:top w:val="none" w:sz="0" w:space="0" w:color="auto"/>
        <w:left w:val="none" w:sz="0" w:space="0" w:color="auto"/>
        <w:bottom w:val="none" w:sz="0" w:space="0" w:color="auto"/>
        <w:right w:val="none" w:sz="0" w:space="0" w:color="auto"/>
      </w:divBdr>
    </w:div>
    <w:div w:id="278223004">
      <w:bodyDiv w:val="1"/>
      <w:marLeft w:val="0"/>
      <w:marRight w:val="0"/>
      <w:marTop w:val="0"/>
      <w:marBottom w:val="0"/>
      <w:divBdr>
        <w:top w:val="none" w:sz="0" w:space="0" w:color="auto"/>
        <w:left w:val="none" w:sz="0" w:space="0" w:color="auto"/>
        <w:bottom w:val="none" w:sz="0" w:space="0" w:color="auto"/>
        <w:right w:val="none" w:sz="0" w:space="0" w:color="auto"/>
      </w:divBdr>
    </w:div>
    <w:div w:id="380128964">
      <w:bodyDiv w:val="1"/>
      <w:marLeft w:val="0"/>
      <w:marRight w:val="0"/>
      <w:marTop w:val="0"/>
      <w:marBottom w:val="0"/>
      <w:divBdr>
        <w:top w:val="none" w:sz="0" w:space="0" w:color="auto"/>
        <w:left w:val="none" w:sz="0" w:space="0" w:color="auto"/>
        <w:bottom w:val="none" w:sz="0" w:space="0" w:color="auto"/>
        <w:right w:val="none" w:sz="0" w:space="0" w:color="auto"/>
      </w:divBdr>
    </w:div>
    <w:div w:id="527261204">
      <w:bodyDiv w:val="1"/>
      <w:marLeft w:val="0"/>
      <w:marRight w:val="0"/>
      <w:marTop w:val="0"/>
      <w:marBottom w:val="0"/>
      <w:divBdr>
        <w:top w:val="none" w:sz="0" w:space="0" w:color="auto"/>
        <w:left w:val="none" w:sz="0" w:space="0" w:color="auto"/>
        <w:bottom w:val="none" w:sz="0" w:space="0" w:color="auto"/>
        <w:right w:val="none" w:sz="0" w:space="0" w:color="auto"/>
      </w:divBdr>
      <w:divsChild>
        <w:div w:id="88746523">
          <w:marLeft w:val="0"/>
          <w:marRight w:val="0"/>
          <w:marTop w:val="0"/>
          <w:marBottom w:val="0"/>
          <w:divBdr>
            <w:top w:val="none" w:sz="0" w:space="0" w:color="auto"/>
            <w:left w:val="none" w:sz="0" w:space="0" w:color="auto"/>
            <w:bottom w:val="none" w:sz="0" w:space="0" w:color="auto"/>
            <w:right w:val="none" w:sz="0" w:space="0" w:color="auto"/>
          </w:divBdr>
          <w:divsChild>
            <w:div w:id="806707927">
              <w:marLeft w:val="0"/>
              <w:marRight w:val="0"/>
              <w:marTop w:val="0"/>
              <w:marBottom w:val="0"/>
              <w:divBdr>
                <w:top w:val="none" w:sz="0" w:space="0" w:color="auto"/>
                <w:left w:val="none" w:sz="0" w:space="0" w:color="auto"/>
                <w:bottom w:val="none" w:sz="0" w:space="0" w:color="auto"/>
                <w:right w:val="none" w:sz="0" w:space="0" w:color="auto"/>
              </w:divBdr>
            </w:div>
          </w:divsChild>
        </w:div>
        <w:div w:id="118496773">
          <w:marLeft w:val="0"/>
          <w:marRight w:val="0"/>
          <w:marTop w:val="0"/>
          <w:marBottom w:val="0"/>
          <w:divBdr>
            <w:top w:val="none" w:sz="0" w:space="0" w:color="auto"/>
            <w:left w:val="none" w:sz="0" w:space="0" w:color="auto"/>
            <w:bottom w:val="none" w:sz="0" w:space="0" w:color="auto"/>
            <w:right w:val="none" w:sz="0" w:space="0" w:color="auto"/>
          </w:divBdr>
          <w:divsChild>
            <w:div w:id="1937057823">
              <w:marLeft w:val="0"/>
              <w:marRight w:val="0"/>
              <w:marTop w:val="0"/>
              <w:marBottom w:val="0"/>
              <w:divBdr>
                <w:top w:val="none" w:sz="0" w:space="0" w:color="auto"/>
                <w:left w:val="none" w:sz="0" w:space="0" w:color="auto"/>
                <w:bottom w:val="none" w:sz="0" w:space="0" w:color="auto"/>
                <w:right w:val="none" w:sz="0" w:space="0" w:color="auto"/>
              </w:divBdr>
            </w:div>
            <w:div w:id="256063012">
              <w:marLeft w:val="0"/>
              <w:marRight w:val="0"/>
              <w:marTop w:val="0"/>
              <w:marBottom w:val="0"/>
              <w:divBdr>
                <w:top w:val="none" w:sz="0" w:space="0" w:color="auto"/>
                <w:left w:val="none" w:sz="0" w:space="0" w:color="auto"/>
                <w:bottom w:val="none" w:sz="0" w:space="0" w:color="auto"/>
                <w:right w:val="none" w:sz="0" w:space="0" w:color="auto"/>
              </w:divBdr>
              <w:divsChild>
                <w:div w:id="1176773515">
                  <w:marLeft w:val="0"/>
                  <w:marRight w:val="0"/>
                  <w:marTop w:val="0"/>
                  <w:marBottom w:val="0"/>
                  <w:divBdr>
                    <w:top w:val="none" w:sz="0" w:space="0" w:color="auto"/>
                    <w:left w:val="none" w:sz="0" w:space="0" w:color="auto"/>
                    <w:bottom w:val="none" w:sz="0" w:space="0" w:color="auto"/>
                    <w:right w:val="none" w:sz="0" w:space="0" w:color="auto"/>
                  </w:divBdr>
                  <w:divsChild>
                    <w:div w:id="9510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1890">
              <w:marLeft w:val="0"/>
              <w:marRight w:val="0"/>
              <w:marTop w:val="0"/>
              <w:marBottom w:val="0"/>
              <w:divBdr>
                <w:top w:val="none" w:sz="0" w:space="0" w:color="auto"/>
                <w:left w:val="none" w:sz="0" w:space="0" w:color="auto"/>
                <w:bottom w:val="none" w:sz="0" w:space="0" w:color="auto"/>
                <w:right w:val="none" w:sz="0" w:space="0" w:color="auto"/>
              </w:divBdr>
            </w:div>
          </w:divsChild>
        </w:div>
        <w:div w:id="1078599760">
          <w:marLeft w:val="0"/>
          <w:marRight w:val="0"/>
          <w:marTop w:val="0"/>
          <w:marBottom w:val="0"/>
          <w:divBdr>
            <w:top w:val="none" w:sz="0" w:space="0" w:color="auto"/>
            <w:left w:val="none" w:sz="0" w:space="0" w:color="auto"/>
            <w:bottom w:val="none" w:sz="0" w:space="0" w:color="auto"/>
            <w:right w:val="none" w:sz="0" w:space="0" w:color="auto"/>
          </w:divBdr>
          <w:divsChild>
            <w:div w:id="682707929">
              <w:marLeft w:val="0"/>
              <w:marRight w:val="0"/>
              <w:marTop w:val="0"/>
              <w:marBottom w:val="0"/>
              <w:divBdr>
                <w:top w:val="none" w:sz="0" w:space="0" w:color="auto"/>
                <w:left w:val="none" w:sz="0" w:space="0" w:color="auto"/>
                <w:bottom w:val="none" w:sz="0" w:space="0" w:color="auto"/>
                <w:right w:val="none" w:sz="0" w:space="0" w:color="auto"/>
              </w:divBdr>
            </w:div>
            <w:div w:id="549729125">
              <w:marLeft w:val="0"/>
              <w:marRight w:val="0"/>
              <w:marTop w:val="0"/>
              <w:marBottom w:val="0"/>
              <w:divBdr>
                <w:top w:val="none" w:sz="0" w:space="0" w:color="auto"/>
                <w:left w:val="none" w:sz="0" w:space="0" w:color="auto"/>
                <w:bottom w:val="none" w:sz="0" w:space="0" w:color="auto"/>
                <w:right w:val="none" w:sz="0" w:space="0" w:color="auto"/>
              </w:divBdr>
              <w:divsChild>
                <w:div w:id="774981835">
                  <w:marLeft w:val="0"/>
                  <w:marRight w:val="0"/>
                  <w:marTop w:val="0"/>
                  <w:marBottom w:val="0"/>
                  <w:divBdr>
                    <w:top w:val="none" w:sz="0" w:space="0" w:color="auto"/>
                    <w:left w:val="none" w:sz="0" w:space="0" w:color="auto"/>
                    <w:bottom w:val="none" w:sz="0" w:space="0" w:color="auto"/>
                    <w:right w:val="none" w:sz="0" w:space="0" w:color="auto"/>
                  </w:divBdr>
                  <w:divsChild>
                    <w:div w:id="15891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2443">
      <w:bodyDiv w:val="1"/>
      <w:marLeft w:val="0"/>
      <w:marRight w:val="0"/>
      <w:marTop w:val="0"/>
      <w:marBottom w:val="0"/>
      <w:divBdr>
        <w:top w:val="none" w:sz="0" w:space="0" w:color="auto"/>
        <w:left w:val="none" w:sz="0" w:space="0" w:color="auto"/>
        <w:bottom w:val="none" w:sz="0" w:space="0" w:color="auto"/>
        <w:right w:val="none" w:sz="0" w:space="0" w:color="auto"/>
      </w:divBdr>
    </w:div>
    <w:div w:id="1823546982">
      <w:bodyDiv w:val="1"/>
      <w:marLeft w:val="0"/>
      <w:marRight w:val="0"/>
      <w:marTop w:val="0"/>
      <w:marBottom w:val="0"/>
      <w:divBdr>
        <w:top w:val="none" w:sz="0" w:space="0" w:color="auto"/>
        <w:left w:val="none" w:sz="0" w:space="0" w:color="auto"/>
        <w:bottom w:val="none" w:sz="0" w:space="0" w:color="auto"/>
        <w:right w:val="none" w:sz="0" w:space="0" w:color="auto"/>
      </w:divBdr>
    </w:div>
    <w:div w:id="1904172660">
      <w:bodyDiv w:val="1"/>
      <w:marLeft w:val="0"/>
      <w:marRight w:val="0"/>
      <w:marTop w:val="0"/>
      <w:marBottom w:val="0"/>
      <w:divBdr>
        <w:top w:val="none" w:sz="0" w:space="0" w:color="auto"/>
        <w:left w:val="none" w:sz="0" w:space="0" w:color="auto"/>
        <w:bottom w:val="none" w:sz="0" w:space="0" w:color="auto"/>
        <w:right w:val="none" w:sz="0" w:space="0" w:color="auto"/>
      </w:divBdr>
    </w:div>
    <w:div w:id="209578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4107</Words>
  <Characters>23415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2</cp:revision>
  <dcterms:created xsi:type="dcterms:W3CDTF">2025-06-26T06:43:00Z</dcterms:created>
  <dcterms:modified xsi:type="dcterms:W3CDTF">2025-06-26T06:43:00Z</dcterms:modified>
</cp:coreProperties>
</file>