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25659" w14:textId="77777777" w:rsidR="00593186" w:rsidRPr="00593186" w:rsidRDefault="00593186" w:rsidP="00593186">
      <w:pPr>
        <w:shd w:val="clear" w:color="auto" w:fill="FFFFFF"/>
        <w:spacing w:after="0" w:line="240" w:lineRule="auto"/>
        <w:outlineLvl w:val="2"/>
        <w:rPr>
          <w:rFonts w:ascii="Segoe UI" w:eastAsia="Times New Roman" w:hAnsi="Segoe UI" w:cs="Segoe UI"/>
          <w:b/>
          <w:bCs/>
          <w:color w:val="0D0D0D"/>
          <w:sz w:val="30"/>
          <w:szCs w:val="30"/>
          <w:lang w:eastAsia="en-IN"/>
        </w:rPr>
      </w:pPr>
      <w:r w:rsidRPr="00593186">
        <w:rPr>
          <w:rFonts w:ascii="Segoe UI" w:eastAsia="Times New Roman" w:hAnsi="Segoe UI" w:cs="Segoe UI"/>
          <w:b/>
          <w:bCs/>
          <w:color w:val="0D0D0D"/>
          <w:sz w:val="30"/>
          <w:szCs w:val="30"/>
          <w:lang w:eastAsia="en-IN"/>
        </w:rPr>
        <w:t>1. Introduction and Strategic Context</w:t>
      </w:r>
    </w:p>
    <w:p w14:paraId="261764F5" w14:textId="1D8B5903"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 xml:space="preserve">The </w:t>
      </w:r>
      <w:r w:rsidRPr="00593186">
        <w:rPr>
          <w:rFonts w:ascii="Segoe UI" w:eastAsia="Times New Roman" w:hAnsi="Segoe UI" w:cs="Segoe UI"/>
          <w:b/>
          <w:bCs/>
          <w:color w:val="0D0D0D"/>
          <w:sz w:val="24"/>
          <w:szCs w:val="24"/>
          <w:lang w:eastAsia="en-IN"/>
        </w:rPr>
        <w:t>Global Immunofluorescence Assay Market</w:t>
      </w:r>
      <w:r w:rsidRPr="00593186">
        <w:rPr>
          <w:rFonts w:ascii="Segoe UI" w:eastAsia="Times New Roman" w:hAnsi="Segoe UI" w:cs="Segoe UI"/>
          <w:color w:val="0D0D0D"/>
          <w:sz w:val="24"/>
          <w:szCs w:val="24"/>
          <w:lang w:eastAsia="en-IN"/>
        </w:rPr>
        <w:t> </w:t>
      </w:r>
      <w:r w:rsidRPr="00593186">
        <w:rPr>
          <w:rFonts w:ascii="Segoe UI" w:eastAsia="Times New Roman" w:hAnsi="Segoe UI" w:cs="Segoe UI"/>
          <w:color w:val="0D0D0D"/>
          <w:sz w:val="24"/>
          <w:szCs w:val="24"/>
          <w:lang w:eastAsia="en-IN"/>
        </w:rPr>
        <w:t>will witness a robust </w:t>
      </w:r>
      <w:r w:rsidRPr="00593186">
        <w:rPr>
          <w:rFonts w:ascii="Segoe UI" w:eastAsia="Times New Roman" w:hAnsi="Segoe UI" w:cs="Segoe UI"/>
          <w:b/>
          <w:bCs/>
          <w:color w:val="0D0D0D"/>
          <w:sz w:val="24"/>
          <w:szCs w:val="24"/>
          <w:lang w:eastAsia="en-IN"/>
        </w:rPr>
        <w:t xml:space="preserve">CAGR of </w:t>
      </w:r>
      <w:r w:rsidR="00D14133">
        <w:rPr>
          <w:rFonts w:ascii="Segoe UI" w:eastAsia="Times New Roman" w:hAnsi="Segoe UI" w:cs="Segoe UI"/>
          <w:b/>
          <w:bCs/>
          <w:color w:val="0D0D0D"/>
          <w:sz w:val="24"/>
          <w:szCs w:val="24"/>
          <w:lang w:eastAsia="en-IN"/>
        </w:rPr>
        <w:t>7.2</w:t>
      </w:r>
      <w:r w:rsidRPr="00593186">
        <w:rPr>
          <w:rFonts w:ascii="Segoe UI" w:eastAsia="Times New Roman" w:hAnsi="Segoe UI" w:cs="Segoe UI"/>
          <w:b/>
          <w:bCs/>
          <w:color w:val="0D0D0D"/>
          <w:sz w:val="24"/>
          <w:szCs w:val="24"/>
          <w:lang w:eastAsia="en-IN"/>
        </w:rPr>
        <w:t>%</w:t>
      </w:r>
      <w:r w:rsidRPr="00593186">
        <w:rPr>
          <w:rFonts w:ascii="Segoe UI" w:eastAsia="Times New Roman" w:hAnsi="Segoe UI" w:cs="Segoe UI"/>
          <w:color w:val="0D0D0D"/>
          <w:sz w:val="24"/>
          <w:szCs w:val="24"/>
          <w:lang w:eastAsia="en-IN"/>
        </w:rPr>
        <w:t>, valued at </w:t>
      </w:r>
      <w:r w:rsidRPr="00593186">
        <w:rPr>
          <w:rFonts w:ascii="Segoe UI" w:eastAsia="Times New Roman" w:hAnsi="Segoe UI" w:cs="Segoe UI"/>
          <w:b/>
          <w:bCs/>
          <w:color w:val="0D0D0D"/>
          <w:sz w:val="24"/>
          <w:szCs w:val="24"/>
          <w:lang w:eastAsia="en-IN"/>
        </w:rPr>
        <w:t>$2.1 billion in 2024</w:t>
      </w:r>
      <w:r w:rsidRPr="00593186">
        <w:rPr>
          <w:rFonts w:ascii="Segoe UI" w:eastAsia="Times New Roman" w:hAnsi="Segoe UI" w:cs="Segoe UI"/>
          <w:color w:val="0D0D0D"/>
          <w:sz w:val="24"/>
          <w:szCs w:val="24"/>
          <w:lang w:eastAsia="en-IN"/>
        </w:rPr>
        <w:t>, expected to appreciate and reach </w:t>
      </w:r>
      <w:r w:rsidRPr="00593186">
        <w:rPr>
          <w:rFonts w:ascii="Segoe UI" w:eastAsia="Times New Roman" w:hAnsi="Segoe UI" w:cs="Segoe UI"/>
          <w:b/>
          <w:bCs/>
          <w:color w:val="0D0D0D"/>
          <w:sz w:val="24"/>
          <w:szCs w:val="24"/>
          <w:lang w:eastAsia="en-IN"/>
        </w:rPr>
        <w:t>$</w:t>
      </w:r>
      <w:r w:rsidR="00D14133">
        <w:rPr>
          <w:rFonts w:ascii="Segoe UI" w:eastAsia="Times New Roman" w:hAnsi="Segoe UI" w:cs="Segoe UI"/>
          <w:b/>
          <w:bCs/>
          <w:color w:val="0D0D0D"/>
          <w:sz w:val="24"/>
          <w:szCs w:val="24"/>
          <w:lang w:eastAsia="en-IN"/>
        </w:rPr>
        <w:t>3.15</w:t>
      </w:r>
      <w:r w:rsidRPr="00593186">
        <w:rPr>
          <w:rFonts w:ascii="Segoe UI" w:eastAsia="Times New Roman" w:hAnsi="Segoe UI" w:cs="Segoe UI"/>
          <w:b/>
          <w:bCs/>
          <w:color w:val="0D0D0D"/>
          <w:sz w:val="24"/>
          <w:szCs w:val="24"/>
          <w:lang w:eastAsia="en-IN"/>
        </w:rPr>
        <w:t xml:space="preserve"> billion by 2030</w:t>
      </w:r>
      <w:r w:rsidRPr="00593186">
        <w:rPr>
          <w:rFonts w:ascii="Segoe UI" w:eastAsia="Times New Roman" w:hAnsi="Segoe UI" w:cs="Segoe UI"/>
          <w:color w:val="0D0D0D"/>
          <w:sz w:val="24"/>
          <w:szCs w:val="24"/>
          <w:lang w:eastAsia="en-IN"/>
        </w:rPr>
        <w:t>, confirms Strategic Market Research.</w:t>
      </w:r>
    </w:p>
    <w:p w14:paraId="6A88CF90" w14:textId="77777777" w:rsidR="00593186" w:rsidRPr="00593186" w:rsidRDefault="00593186" w:rsidP="00593186">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Immunofluorescence assays (IFAs) are essential tools in life sciences, diagnostics, and pathology, enabling the visualization of proteins, antigens, or biomolecules using fluorescent-</w:t>
      </w:r>
      <w:proofErr w:type="spellStart"/>
      <w:r w:rsidRPr="00593186">
        <w:rPr>
          <w:rFonts w:ascii="Segoe UI" w:eastAsia="Times New Roman" w:hAnsi="Segoe UI" w:cs="Segoe UI"/>
          <w:color w:val="0D0D0D"/>
          <w:sz w:val="24"/>
          <w:szCs w:val="24"/>
          <w:lang w:eastAsia="en-IN"/>
        </w:rPr>
        <w:t>labeled</w:t>
      </w:r>
      <w:proofErr w:type="spellEnd"/>
      <w:r w:rsidRPr="00593186">
        <w:rPr>
          <w:rFonts w:ascii="Segoe UI" w:eastAsia="Times New Roman" w:hAnsi="Segoe UI" w:cs="Segoe UI"/>
          <w:color w:val="0D0D0D"/>
          <w:sz w:val="24"/>
          <w:szCs w:val="24"/>
          <w:lang w:eastAsia="en-IN"/>
        </w:rPr>
        <w:t xml:space="preserve"> antibodies. Their high specificity and sensitivity make them indispensable in diagnosing autoimmune disorders, infectious diseases, and cancers. In 2024, this market stands at a strategic intersection where clinical diagnostics, biomedical research, and therapeutic development converge, driving substantial investments and technological advancement.</w:t>
      </w:r>
    </w:p>
    <w:p w14:paraId="1D8FA8DF"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Several macroeconomic and clinical trends are shaping the IFA market landscape. First, the global rise in autoimmune and chronic diseases—such as lupus, multiple sclerosis, and cancer—has intensified demand for precision diagnostics. </w:t>
      </w:r>
      <w:r w:rsidRPr="00593186">
        <w:rPr>
          <w:rFonts w:ascii="Segoe UI" w:eastAsia="Times New Roman" w:hAnsi="Segoe UI" w:cs="Segoe UI"/>
          <w:i/>
          <w:iCs/>
          <w:color w:val="0D0D0D"/>
          <w:sz w:val="24"/>
          <w:szCs w:val="24"/>
          <w:lang w:eastAsia="en-IN"/>
        </w:rPr>
        <w:t>As clinicians increasingly seek early and accurate diagnostic tools, immunofluorescence is gaining traction for its reproducibility and visual confirmation capabilities.</w:t>
      </w:r>
    </w:p>
    <w:p w14:paraId="2B4E3985"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Second, the biotechnology and pharmaceutical sectors are embracing IFA for validating biomarkers, quality control in biologics manufacturing, and preclinical research. This trend is supported by </w:t>
      </w:r>
      <w:r w:rsidRPr="00593186">
        <w:rPr>
          <w:rFonts w:ascii="Segoe UI" w:eastAsia="Times New Roman" w:hAnsi="Segoe UI" w:cs="Segoe UI"/>
          <w:b/>
          <w:bCs/>
          <w:color w:val="0D0D0D"/>
          <w:sz w:val="24"/>
          <w:szCs w:val="24"/>
          <w:lang w:eastAsia="en-IN"/>
        </w:rPr>
        <w:t>government grants, R&amp;D investments</w:t>
      </w:r>
      <w:r w:rsidRPr="00593186">
        <w:rPr>
          <w:rFonts w:ascii="Segoe UI" w:eastAsia="Times New Roman" w:hAnsi="Segoe UI" w:cs="Segoe UI"/>
          <w:color w:val="0D0D0D"/>
          <w:sz w:val="24"/>
          <w:szCs w:val="24"/>
          <w:lang w:eastAsia="en-IN"/>
        </w:rPr>
        <w:t>, and </w:t>
      </w:r>
      <w:r w:rsidRPr="00593186">
        <w:rPr>
          <w:rFonts w:ascii="Segoe UI" w:eastAsia="Times New Roman" w:hAnsi="Segoe UI" w:cs="Segoe UI"/>
          <w:b/>
          <w:bCs/>
          <w:color w:val="0D0D0D"/>
          <w:sz w:val="24"/>
          <w:szCs w:val="24"/>
          <w:lang w:eastAsia="en-IN"/>
        </w:rPr>
        <w:t>biopharma expansions</w:t>
      </w:r>
      <w:r w:rsidRPr="00593186">
        <w:rPr>
          <w:rFonts w:ascii="Segoe UI" w:eastAsia="Times New Roman" w:hAnsi="Segoe UI" w:cs="Segoe UI"/>
          <w:color w:val="0D0D0D"/>
          <w:sz w:val="24"/>
          <w:szCs w:val="24"/>
          <w:lang w:eastAsia="en-IN"/>
        </w:rPr>
        <w:t>, particularly in Asia-Pacific and North America. Meanwhile, regulatory bodies such as the </w:t>
      </w:r>
      <w:r w:rsidRPr="00593186">
        <w:rPr>
          <w:rFonts w:ascii="Segoe UI" w:eastAsia="Times New Roman" w:hAnsi="Segoe UI" w:cs="Segoe UI"/>
          <w:b/>
          <w:bCs/>
          <w:color w:val="0D0D0D"/>
          <w:sz w:val="24"/>
          <w:szCs w:val="24"/>
          <w:lang w:eastAsia="en-IN"/>
        </w:rPr>
        <w:t>FDA</w:t>
      </w:r>
      <w:r w:rsidRPr="00593186">
        <w:rPr>
          <w:rFonts w:ascii="Segoe UI" w:eastAsia="Times New Roman" w:hAnsi="Segoe UI" w:cs="Segoe UI"/>
          <w:color w:val="0D0D0D"/>
          <w:sz w:val="24"/>
          <w:szCs w:val="24"/>
          <w:lang w:eastAsia="en-IN"/>
        </w:rPr>
        <w:t> and </w:t>
      </w:r>
      <w:r w:rsidRPr="00593186">
        <w:rPr>
          <w:rFonts w:ascii="Segoe UI" w:eastAsia="Times New Roman" w:hAnsi="Segoe UI" w:cs="Segoe UI"/>
          <w:b/>
          <w:bCs/>
          <w:color w:val="0D0D0D"/>
          <w:sz w:val="24"/>
          <w:szCs w:val="24"/>
          <w:lang w:eastAsia="en-IN"/>
        </w:rPr>
        <w:t>EMA</w:t>
      </w:r>
      <w:r w:rsidRPr="00593186">
        <w:rPr>
          <w:rFonts w:ascii="Segoe UI" w:eastAsia="Times New Roman" w:hAnsi="Segoe UI" w:cs="Segoe UI"/>
          <w:color w:val="0D0D0D"/>
          <w:sz w:val="24"/>
          <w:szCs w:val="24"/>
          <w:lang w:eastAsia="en-IN"/>
        </w:rPr>
        <w:t> are also emphasizing high-sensitivity assays as part of precision medicine frameworks.</w:t>
      </w:r>
    </w:p>
    <w:p w14:paraId="73017A3B"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Technological developments are accelerating adoption further. Multiplex immunofluorescence (</w:t>
      </w:r>
      <w:proofErr w:type="spellStart"/>
      <w:r w:rsidRPr="00593186">
        <w:rPr>
          <w:rFonts w:ascii="Segoe UI" w:eastAsia="Times New Roman" w:hAnsi="Segoe UI" w:cs="Segoe UI"/>
          <w:color w:val="0D0D0D"/>
          <w:sz w:val="24"/>
          <w:szCs w:val="24"/>
          <w:lang w:eastAsia="en-IN"/>
        </w:rPr>
        <w:t>mIF</w:t>
      </w:r>
      <w:proofErr w:type="spellEnd"/>
      <w:r w:rsidRPr="00593186">
        <w:rPr>
          <w:rFonts w:ascii="Segoe UI" w:eastAsia="Times New Roman" w:hAnsi="Segoe UI" w:cs="Segoe UI"/>
          <w:color w:val="0D0D0D"/>
          <w:sz w:val="24"/>
          <w:szCs w:val="24"/>
          <w:lang w:eastAsia="en-IN"/>
        </w:rPr>
        <w:t>), digital pathology integration, and AI-enhanced image analysis platforms are streamlining the diagnostic workflow. </w:t>
      </w:r>
      <w:r w:rsidRPr="00593186">
        <w:rPr>
          <w:rFonts w:ascii="Segoe UI" w:eastAsia="Times New Roman" w:hAnsi="Segoe UI" w:cs="Segoe UI"/>
          <w:i/>
          <w:iCs/>
          <w:color w:val="0D0D0D"/>
          <w:sz w:val="24"/>
          <w:szCs w:val="24"/>
          <w:lang w:eastAsia="en-IN"/>
        </w:rPr>
        <w:t xml:space="preserve">These tools enhance spatial profiling of tissue sections and support complex analysis in cancer immunotherapy studies, </w:t>
      </w:r>
      <w:proofErr w:type="spellStart"/>
      <w:r w:rsidRPr="00593186">
        <w:rPr>
          <w:rFonts w:ascii="Segoe UI" w:eastAsia="Times New Roman" w:hAnsi="Segoe UI" w:cs="Segoe UI"/>
          <w:i/>
          <w:iCs/>
          <w:color w:val="0D0D0D"/>
          <w:sz w:val="24"/>
          <w:szCs w:val="24"/>
          <w:lang w:eastAsia="en-IN"/>
        </w:rPr>
        <w:t>fueling</w:t>
      </w:r>
      <w:proofErr w:type="spellEnd"/>
      <w:r w:rsidRPr="00593186">
        <w:rPr>
          <w:rFonts w:ascii="Segoe UI" w:eastAsia="Times New Roman" w:hAnsi="Segoe UI" w:cs="Segoe UI"/>
          <w:i/>
          <w:iCs/>
          <w:color w:val="0D0D0D"/>
          <w:sz w:val="24"/>
          <w:szCs w:val="24"/>
          <w:lang w:eastAsia="en-IN"/>
        </w:rPr>
        <w:t xml:space="preserve"> deeper interest from CROs and academic research institutions.</w:t>
      </w:r>
    </w:p>
    <w:p w14:paraId="1ABB1E40" w14:textId="77777777" w:rsidR="00593186" w:rsidRPr="00593186" w:rsidRDefault="00593186" w:rsidP="00593186">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Key stakeholders in this market include:</w:t>
      </w:r>
    </w:p>
    <w:p w14:paraId="1784379F" w14:textId="77777777" w:rsidR="00593186" w:rsidRPr="00593186" w:rsidRDefault="00593186" w:rsidP="00593186">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Original Equipment Manufacturers (OEMs)</w:t>
      </w:r>
      <w:r w:rsidRPr="00593186">
        <w:rPr>
          <w:rFonts w:ascii="Segoe UI" w:eastAsia="Times New Roman" w:hAnsi="Segoe UI" w:cs="Segoe UI"/>
          <w:color w:val="0D0D0D"/>
          <w:sz w:val="24"/>
          <w:szCs w:val="24"/>
          <w:lang w:eastAsia="en-IN"/>
        </w:rPr>
        <w:t> of immunofluorescence kits and instruments</w:t>
      </w:r>
    </w:p>
    <w:p w14:paraId="46569558" w14:textId="77777777" w:rsidR="00593186" w:rsidRPr="00593186" w:rsidRDefault="00593186" w:rsidP="00593186">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Clinical laboratories and hospitals</w:t>
      </w:r>
      <w:r w:rsidRPr="00593186">
        <w:rPr>
          <w:rFonts w:ascii="Segoe UI" w:eastAsia="Times New Roman" w:hAnsi="Segoe UI" w:cs="Segoe UI"/>
          <w:color w:val="0D0D0D"/>
          <w:sz w:val="24"/>
          <w:szCs w:val="24"/>
          <w:lang w:eastAsia="en-IN"/>
        </w:rPr>
        <w:t>, leveraging IFA for infectious and autoimmune disease diagnosis</w:t>
      </w:r>
    </w:p>
    <w:p w14:paraId="02AC2EDC" w14:textId="77777777" w:rsidR="00593186" w:rsidRPr="00593186" w:rsidRDefault="00593186" w:rsidP="00593186">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Academic and research institutions</w:t>
      </w:r>
      <w:r w:rsidRPr="00593186">
        <w:rPr>
          <w:rFonts w:ascii="Segoe UI" w:eastAsia="Times New Roman" w:hAnsi="Segoe UI" w:cs="Segoe UI"/>
          <w:color w:val="0D0D0D"/>
          <w:sz w:val="24"/>
          <w:szCs w:val="24"/>
          <w:lang w:eastAsia="en-IN"/>
        </w:rPr>
        <w:t>, focusing on immunopathology and protein mapping</w:t>
      </w:r>
    </w:p>
    <w:p w14:paraId="228E51E4" w14:textId="77777777" w:rsidR="00593186" w:rsidRPr="00593186" w:rsidRDefault="00593186" w:rsidP="00593186">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Pharmaceutical and biotech firms</w:t>
      </w:r>
      <w:r w:rsidRPr="00593186">
        <w:rPr>
          <w:rFonts w:ascii="Segoe UI" w:eastAsia="Times New Roman" w:hAnsi="Segoe UI" w:cs="Segoe UI"/>
          <w:color w:val="0D0D0D"/>
          <w:sz w:val="24"/>
          <w:szCs w:val="24"/>
          <w:lang w:eastAsia="en-IN"/>
        </w:rPr>
        <w:t>, deploying IFAs in preclinical and clinical trial phases</w:t>
      </w:r>
    </w:p>
    <w:p w14:paraId="48E85280" w14:textId="77777777" w:rsidR="00593186" w:rsidRPr="00593186" w:rsidRDefault="00593186" w:rsidP="00593186">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lastRenderedPageBreak/>
        <w:t>Investors and venture capital firms</w:t>
      </w:r>
      <w:r w:rsidRPr="00593186">
        <w:rPr>
          <w:rFonts w:ascii="Segoe UI" w:eastAsia="Times New Roman" w:hAnsi="Segoe UI" w:cs="Segoe UI"/>
          <w:color w:val="0D0D0D"/>
          <w:sz w:val="24"/>
          <w:szCs w:val="24"/>
          <w:lang w:eastAsia="en-IN"/>
        </w:rPr>
        <w:t>, especially those backing lab automation and life science tools</w:t>
      </w:r>
    </w:p>
    <w:p w14:paraId="13B1CB99" w14:textId="77777777" w:rsidR="00593186" w:rsidRPr="00593186" w:rsidRDefault="00593186" w:rsidP="00593186">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Strategically, the immunofluorescence assay market will play a pivotal role in the coming years as healthcare transitions from volume-based to value-based care. Its ability to provide qualitative and semi-quantitative results with visual verification makes it ideal for both routine diagnostics and advanced translational research.</w:t>
      </w:r>
    </w:p>
    <w:p w14:paraId="20CDEA54" w14:textId="77777777" w:rsidR="00593186" w:rsidRPr="00593186" w:rsidRDefault="00593186" w:rsidP="00593186">
      <w:pPr>
        <w:shd w:val="clear" w:color="auto" w:fill="FFFFFF"/>
        <w:spacing w:after="0" w:line="240" w:lineRule="auto"/>
        <w:outlineLvl w:val="2"/>
        <w:rPr>
          <w:rFonts w:ascii="Segoe UI" w:eastAsia="Times New Roman" w:hAnsi="Segoe UI" w:cs="Segoe UI"/>
          <w:b/>
          <w:bCs/>
          <w:color w:val="0D0D0D"/>
          <w:sz w:val="30"/>
          <w:szCs w:val="30"/>
          <w:lang w:eastAsia="en-IN"/>
        </w:rPr>
      </w:pPr>
      <w:r w:rsidRPr="00593186">
        <w:rPr>
          <w:rFonts w:ascii="Segoe UI" w:eastAsia="Times New Roman" w:hAnsi="Segoe UI" w:cs="Segoe UI"/>
          <w:b/>
          <w:bCs/>
          <w:color w:val="0D0D0D"/>
          <w:sz w:val="30"/>
          <w:szCs w:val="30"/>
          <w:lang w:eastAsia="en-IN"/>
        </w:rPr>
        <w:t>2. Market Segmentation and Forecast Scope</w:t>
      </w:r>
    </w:p>
    <w:p w14:paraId="16A34FAA"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The immunofluorescence assay market is segmented based on </w:t>
      </w:r>
      <w:r w:rsidRPr="00593186">
        <w:rPr>
          <w:rFonts w:ascii="Segoe UI" w:eastAsia="Times New Roman" w:hAnsi="Segoe UI" w:cs="Segoe UI"/>
          <w:b/>
          <w:bCs/>
          <w:color w:val="0D0D0D"/>
          <w:sz w:val="24"/>
          <w:szCs w:val="24"/>
          <w:lang w:eastAsia="en-IN"/>
        </w:rPr>
        <w:t>type</w:t>
      </w:r>
      <w:r w:rsidRPr="00593186">
        <w:rPr>
          <w:rFonts w:ascii="Segoe UI" w:eastAsia="Times New Roman" w:hAnsi="Segoe UI" w:cs="Segoe UI"/>
          <w:color w:val="0D0D0D"/>
          <w:sz w:val="24"/>
          <w:szCs w:val="24"/>
          <w:lang w:eastAsia="en-IN"/>
        </w:rPr>
        <w:t>, </w:t>
      </w:r>
      <w:r w:rsidRPr="00593186">
        <w:rPr>
          <w:rFonts w:ascii="Segoe UI" w:eastAsia="Times New Roman" w:hAnsi="Segoe UI" w:cs="Segoe UI"/>
          <w:b/>
          <w:bCs/>
          <w:color w:val="0D0D0D"/>
          <w:sz w:val="24"/>
          <w:szCs w:val="24"/>
          <w:lang w:eastAsia="en-IN"/>
        </w:rPr>
        <w:t>application</w:t>
      </w:r>
      <w:r w:rsidRPr="00593186">
        <w:rPr>
          <w:rFonts w:ascii="Segoe UI" w:eastAsia="Times New Roman" w:hAnsi="Segoe UI" w:cs="Segoe UI"/>
          <w:color w:val="0D0D0D"/>
          <w:sz w:val="24"/>
          <w:szCs w:val="24"/>
          <w:lang w:eastAsia="en-IN"/>
        </w:rPr>
        <w:t>, </w:t>
      </w:r>
      <w:r w:rsidRPr="00593186">
        <w:rPr>
          <w:rFonts w:ascii="Segoe UI" w:eastAsia="Times New Roman" w:hAnsi="Segoe UI" w:cs="Segoe UI"/>
          <w:b/>
          <w:bCs/>
          <w:color w:val="0D0D0D"/>
          <w:sz w:val="24"/>
          <w:szCs w:val="24"/>
          <w:lang w:eastAsia="en-IN"/>
        </w:rPr>
        <w:t>end user</w:t>
      </w:r>
      <w:r w:rsidRPr="00593186">
        <w:rPr>
          <w:rFonts w:ascii="Segoe UI" w:eastAsia="Times New Roman" w:hAnsi="Segoe UI" w:cs="Segoe UI"/>
          <w:color w:val="0D0D0D"/>
          <w:sz w:val="24"/>
          <w:szCs w:val="24"/>
          <w:lang w:eastAsia="en-IN"/>
        </w:rPr>
        <w:t>, and </w:t>
      </w:r>
      <w:r w:rsidRPr="00593186">
        <w:rPr>
          <w:rFonts w:ascii="Segoe UI" w:eastAsia="Times New Roman" w:hAnsi="Segoe UI" w:cs="Segoe UI"/>
          <w:b/>
          <w:bCs/>
          <w:color w:val="0D0D0D"/>
          <w:sz w:val="24"/>
          <w:szCs w:val="24"/>
          <w:lang w:eastAsia="en-IN"/>
        </w:rPr>
        <w:t>region</w:t>
      </w:r>
      <w:r w:rsidRPr="00593186">
        <w:rPr>
          <w:rFonts w:ascii="Segoe UI" w:eastAsia="Times New Roman" w:hAnsi="Segoe UI" w:cs="Segoe UI"/>
          <w:color w:val="0D0D0D"/>
          <w:sz w:val="24"/>
          <w:szCs w:val="24"/>
          <w:lang w:eastAsia="en-IN"/>
        </w:rPr>
        <w:t>. Each dimension reveals unique growth drivers and strategic hotspots that influence adoption, R&amp;D prioritization, and product innovation.</w:t>
      </w:r>
    </w:p>
    <w:p w14:paraId="1233FA9D"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By Type</w:t>
      </w:r>
    </w:p>
    <w:p w14:paraId="6F2201F2" w14:textId="77777777" w:rsidR="00593186" w:rsidRPr="00593186" w:rsidRDefault="00593186" w:rsidP="00593186">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Direct Immunofluorescence Assay</w:t>
      </w:r>
    </w:p>
    <w:p w14:paraId="06B18180" w14:textId="77777777" w:rsidR="00593186" w:rsidRPr="00593186" w:rsidRDefault="00593186" w:rsidP="00593186">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Indirect Immunofluorescence Assay</w:t>
      </w:r>
    </w:p>
    <w:p w14:paraId="62C1C438"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Indirect assays</w:t>
      </w:r>
      <w:r w:rsidRPr="00593186">
        <w:rPr>
          <w:rFonts w:ascii="Segoe UI" w:eastAsia="Times New Roman" w:hAnsi="Segoe UI" w:cs="Segoe UI"/>
          <w:color w:val="0D0D0D"/>
          <w:sz w:val="24"/>
          <w:szCs w:val="24"/>
          <w:lang w:eastAsia="en-IN"/>
        </w:rPr>
        <w:t> dominate the market due to their </w:t>
      </w:r>
      <w:r w:rsidRPr="00593186">
        <w:rPr>
          <w:rFonts w:ascii="Segoe UI" w:eastAsia="Times New Roman" w:hAnsi="Segoe UI" w:cs="Segoe UI"/>
          <w:b/>
          <w:bCs/>
          <w:color w:val="0D0D0D"/>
          <w:sz w:val="24"/>
          <w:szCs w:val="24"/>
          <w:lang w:eastAsia="en-IN"/>
        </w:rPr>
        <w:t>higher sensitivity</w:t>
      </w:r>
      <w:r w:rsidRPr="00593186">
        <w:rPr>
          <w:rFonts w:ascii="Segoe UI" w:eastAsia="Times New Roman" w:hAnsi="Segoe UI" w:cs="Segoe UI"/>
          <w:color w:val="0D0D0D"/>
          <w:sz w:val="24"/>
          <w:szCs w:val="24"/>
          <w:lang w:eastAsia="en-IN"/>
        </w:rPr>
        <w:t>, stemming from secondary antibody amplification. In 2024, they account for approximately </w:t>
      </w:r>
      <w:r w:rsidRPr="00593186">
        <w:rPr>
          <w:rFonts w:ascii="Segoe UI" w:eastAsia="Times New Roman" w:hAnsi="Segoe UI" w:cs="Segoe UI"/>
          <w:b/>
          <w:bCs/>
          <w:color w:val="0D0D0D"/>
          <w:sz w:val="24"/>
          <w:szCs w:val="24"/>
          <w:lang w:eastAsia="en-IN"/>
        </w:rPr>
        <w:t>62% of global market revenue</w:t>
      </w:r>
      <w:r w:rsidRPr="00593186">
        <w:rPr>
          <w:rFonts w:ascii="Segoe UI" w:eastAsia="Times New Roman" w:hAnsi="Segoe UI" w:cs="Segoe UI"/>
          <w:color w:val="0D0D0D"/>
          <w:sz w:val="24"/>
          <w:szCs w:val="24"/>
          <w:lang w:eastAsia="en-IN"/>
        </w:rPr>
        <w:t>, particularly in autoimmune disease diagnostics where enhanced signal clarity is critical. Meanwhile, </w:t>
      </w:r>
      <w:r w:rsidRPr="00593186">
        <w:rPr>
          <w:rFonts w:ascii="Segoe UI" w:eastAsia="Times New Roman" w:hAnsi="Segoe UI" w:cs="Segoe UI"/>
          <w:b/>
          <w:bCs/>
          <w:color w:val="0D0D0D"/>
          <w:sz w:val="24"/>
          <w:szCs w:val="24"/>
          <w:lang w:eastAsia="en-IN"/>
        </w:rPr>
        <w:t>direct assays</w:t>
      </w:r>
      <w:r w:rsidRPr="00593186">
        <w:rPr>
          <w:rFonts w:ascii="Segoe UI" w:eastAsia="Times New Roman" w:hAnsi="Segoe UI" w:cs="Segoe UI"/>
          <w:color w:val="0D0D0D"/>
          <w:sz w:val="24"/>
          <w:szCs w:val="24"/>
          <w:lang w:eastAsia="en-IN"/>
        </w:rPr>
        <w:t> are increasingly used for rapid detection in point-of-care (PoC) settings, especially in dermatology and nephrology.</w:t>
      </w:r>
    </w:p>
    <w:p w14:paraId="3E918571"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By Application</w:t>
      </w:r>
    </w:p>
    <w:p w14:paraId="6FB90582" w14:textId="77777777" w:rsidR="00593186" w:rsidRPr="00593186" w:rsidRDefault="00593186" w:rsidP="00593186">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Cancer Diagnostics</w:t>
      </w:r>
    </w:p>
    <w:p w14:paraId="281534AE" w14:textId="77777777" w:rsidR="00593186" w:rsidRPr="00593186" w:rsidRDefault="00593186" w:rsidP="00593186">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Autoimmune Disease Diagnosis</w:t>
      </w:r>
    </w:p>
    <w:p w14:paraId="5092B2C7" w14:textId="77777777" w:rsidR="00593186" w:rsidRPr="00593186" w:rsidRDefault="00593186" w:rsidP="00593186">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Infectious Disease Detection</w:t>
      </w:r>
    </w:p>
    <w:p w14:paraId="26E165A5" w14:textId="77777777" w:rsidR="00593186" w:rsidRPr="00593186" w:rsidRDefault="00593186" w:rsidP="00593186">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Neuroscience Research</w:t>
      </w:r>
    </w:p>
    <w:p w14:paraId="30052D41" w14:textId="77777777" w:rsidR="00593186" w:rsidRPr="00593186" w:rsidRDefault="00593186" w:rsidP="00593186">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Others (Endocrinology, Genetic Disorders)</w:t>
      </w:r>
    </w:p>
    <w:p w14:paraId="51A5E6F0"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i/>
          <w:iCs/>
          <w:color w:val="0D0D0D"/>
          <w:sz w:val="24"/>
          <w:szCs w:val="24"/>
          <w:lang w:eastAsia="en-IN"/>
        </w:rPr>
        <w:t>Autoimmune disease diagnostics</w:t>
      </w:r>
      <w:r w:rsidRPr="00593186">
        <w:rPr>
          <w:rFonts w:ascii="Segoe UI" w:eastAsia="Times New Roman" w:hAnsi="Segoe UI" w:cs="Segoe UI"/>
          <w:color w:val="0D0D0D"/>
          <w:sz w:val="24"/>
          <w:szCs w:val="24"/>
          <w:lang w:eastAsia="en-IN"/>
        </w:rPr>
        <w:t xml:space="preserve"> is the most strategic segment in 2024, driven by increased screening programs for conditions like </w:t>
      </w:r>
      <w:proofErr w:type="spellStart"/>
      <w:r w:rsidRPr="00593186">
        <w:rPr>
          <w:rFonts w:ascii="Segoe UI" w:eastAsia="Times New Roman" w:hAnsi="Segoe UI" w:cs="Segoe UI"/>
          <w:color w:val="0D0D0D"/>
          <w:sz w:val="24"/>
          <w:szCs w:val="24"/>
          <w:lang w:eastAsia="en-IN"/>
        </w:rPr>
        <w:t>Sjögren's</w:t>
      </w:r>
      <w:proofErr w:type="spellEnd"/>
      <w:r w:rsidRPr="00593186">
        <w:rPr>
          <w:rFonts w:ascii="Segoe UI" w:eastAsia="Times New Roman" w:hAnsi="Segoe UI" w:cs="Segoe UI"/>
          <w:color w:val="0D0D0D"/>
          <w:sz w:val="24"/>
          <w:szCs w:val="24"/>
          <w:lang w:eastAsia="en-IN"/>
        </w:rPr>
        <w:t xml:space="preserve"> syndrome, celiac disease, and systemic lupus erythematosus (SLE). However, the </w:t>
      </w:r>
      <w:r w:rsidRPr="00593186">
        <w:rPr>
          <w:rFonts w:ascii="Segoe UI" w:eastAsia="Times New Roman" w:hAnsi="Segoe UI" w:cs="Segoe UI"/>
          <w:b/>
          <w:bCs/>
          <w:color w:val="0D0D0D"/>
          <w:sz w:val="24"/>
          <w:szCs w:val="24"/>
          <w:lang w:eastAsia="en-IN"/>
        </w:rPr>
        <w:t>cancer diagnostics</w:t>
      </w:r>
      <w:r w:rsidRPr="00593186">
        <w:rPr>
          <w:rFonts w:ascii="Segoe UI" w:eastAsia="Times New Roman" w:hAnsi="Segoe UI" w:cs="Segoe UI"/>
          <w:color w:val="0D0D0D"/>
          <w:sz w:val="24"/>
          <w:szCs w:val="24"/>
          <w:lang w:eastAsia="en-IN"/>
        </w:rPr>
        <w:t> segment is expected to grow the fastest through 2030, supported by innovations in </w:t>
      </w:r>
      <w:r w:rsidRPr="00593186">
        <w:rPr>
          <w:rFonts w:ascii="Segoe UI" w:eastAsia="Times New Roman" w:hAnsi="Segoe UI" w:cs="Segoe UI"/>
          <w:b/>
          <w:bCs/>
          <w:color w:val="0D0D0D"/>
          <w:sz w:val="24"/>
          <w:szCs w:val="24"/>
          <w:lang w:eastAsia="en-IN"/>
        </w:rPr>
        <w:t>multiplex immunofluorescence (</w:t>
      </w:r>
      <w:proofErr w:type="spellStart"/>
      <w:r w:rsidRPr="00593186">
        <w:rPr>
          <w:rFonts w:ascii="Segoe UI" w:eastAsia="Times New Roman" w:hAnsi="Segoe UI" w:cs="Segoe UI"/>
          <w:b/>
          <w:bCs/>
          <w:color w:val="0D0D0D"/>
          <w:sz w:val="24"/>
          <w:szCs w:val="24"/>
          <w:lang w:eastAsia="en-IN"/>
        </w:rPr>
        <w:t>mIF</w:t>
      </w:r>
      <w:proofErr w:type="spellEnd"/>
      <w:r w:rsidRPr="00593186">
        <w:rPr>
          <w:rFonts w:ascii="Segoe UI" w:eastAsia="Times New Roman" w:hAnsi="Segoe UI" w:cs="Segoe UI"/>
          <w:b/>
          <w:bCs/>
          <w:color w:val="0D0D0D"/>
          <w:sz w:val="24"/>
          <w:szCs w:val="24"/>
          <w:lang w:eastAsia="en-IN"/>
        </w:rPr>
        <w:t>)</w:t>
      </w:r>
      <w:r w:rsidRPr="00593186">
        <w:rPr>
          <w:rFonts w:ascii="Segoe UI" w:eastAsia="Times New Roman" w:hAnsi="Segoe UI" w:cs="Segoe UI"/>
          <w:color w:val="0D0D0D"/>
          <w:sz w:val="24"/>
          <w:szCs w:val="24"/>
          <w:lang w:eastAsia="en-IN"/>
        </w:rPr>
        <w:t xml:space="preserve"> used in </w:t>
      </w:r>
      <w:proofErr w:type="spellStart"/>
      <w:r w:rsidRPr="00593186">
        <w:rPr>
          <w:rFonts w:ascii="Segoe UI" w:eastAsia="Times New Roman" w:hAnsi="Segoe UI" w:cs="Segoe UI"/>
          <w:color w:val="0D0D0D"/>
          <w:sz w:val="24"/>
          <w:szCs w:val="24"/>
          <w:lang w:eastAsia="en-IN"/>
        </w:rPr>
        <w:t>tumor</w:t>
      </w:r>
      <w:proofErr w:type="spellEnd"/>
      <w:r w:rsidRPr="00593186">
        <w:rPr>
          <w:rFonts w:ascii="Segoe UI" w:eastAsia="Times New Roman" w:hAnsi="Segoe UI" w:cs="Segoe UI"/>
          <w:color w:val="0D0D0D"/>
          <w:sz w:val="24"/>
          <w:szCs w:val="24"/>
          <w:lang w:eastAsia="en-IN"/>
        </w:rPr>
        <w:t xml:space="preserve"> microenvironment studies and biomarker validation.</w:t>
      </w:r>
    </w:p>
    <w:p w14:paraId="6499543C"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By End User</w:t>
      </w:r>
    </w:p>
    <w:p w14:paraId="694173D6" w14:textId="77777777" w:rsidR="00593186" w:rsidRPr="00593186" w:rsidRDefault="00593186" w:rsidP="00593186">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Clinical Laboratories</w:t>
      </w:r>
    </w:p>
    <w:p w14:paraId="0F05C41E" w14:textId="77777777" w:rsidR="00593186" w:rsidRPr="00593186" w:rsidRDefault="00593186" w:rsidP="00593186">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 xml:space="preserve">Hospitals and Diagnostic </w:t>
      </w:r>
      <w:proofErr w:type="spellStart"/>
      <w:r w:rsidRPr="00593186">
        <w:rPr>
          <w:rFonts w:ascii="Segoe UI" w:eastAsia="Times New Roman" w:hAnsi="Segoe UI" w:cs="Segoe UI"/>
          <w:b/>
          <w:bCs/>
          <w:color w:val="0D0D0D"/>
          <w:sz w:val="24"/>
          <w:szCs w:val="24"/>
          <w:lang w:eastAsia="en-IN"/>
        </w:rPr>
        <w:t>Centers</w:t>
      </w:r>
      <w:proofErr w:type="spellEnd"/>
    </w:p>
    <w:p w14:paraId="6B417189" w14:textId="77777777" w:rsidR="00593186" w:rsidRPr="00593186" w:rsidRDefault="00593186" w:rsidP="00593186">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Academic &amp; Research Institutions</w:t>
      </w:r>
    </w:p>
    <w:p w14:paraId="48AD8F47" w14:textId="77777777" w:rsidR="00593186" w:rsidRPr="00593186" w:rsidRDefault="00593186" w:rsidP="00593186">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lastRenderedPageBreak/>
        <w:t>Pharmaceutical &amp; Biotechnology Companies</w:t>
      </w:r>
    </w:p>
    <w:p w14:paraId="455E7008"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Clinical laboratories</w:t>
      </w:r>
      <w:r w:rsidRPr="00593186">
        <w:rPr>
          <w:rFonts w:ascii="Segoe UI" w:eastAsia="Times New Roman" w:hAnsi="Segoe UI" w:cs="Segoe UI"/>
          <w:color w:val="0D0D0D"/>
          <w:sz w:val="24"/>
          <w:szCs w:val="24"/>
          <w:lang w:eastAsia="en-IN"/>
        </w:rPr>
        <w:t> are the leading end users in terms of volume and revenue. Their reliance on immunofluorescence for disease panel testing and protocol standardization makes them dominant buyers. However, </w:t>
      </w:r>
      <w:r w:rsidRPr="00593186">
        <w:rPr>
          <w:rFonts w:ascii="Segoe UI" w:eastAsia="Times New Roman" w:hAnsi="Segoe UI" w:cs="Segoe UI"/>
          <w:b/>
          <w:bCs/>
          <w:color w:val="0D0D0D"/>
          <w:sz w:val="24"/>
          <w:szCs w:val="24"/>
          <w:lang w:eastAsia="en-IN"/>
        </w:rPr>
        <w:t>pharmaceutical &amp; biotech companies</w:t>
      </w:r>
      <w:r w:rsidRPr="00593186">
        <w:rPr>
          <w:rFonts w:ascii="Segoe UI" w:eastAsia="Times New Roman" w:hAnsi="Segoe UI" w:cs="Segoe UI"/>
          <w:color w:val="0D0D0D"/>
          <w:sz w:val="24"/>
          <w:szCs w:val="24"/>
          <w:lang w:eastAsia="en-IN"/>
        </w:rPr>
        <w:t> are anticipated to be the </w:t>
      </w:r>
      <w:r w:rsidRPr="00593186">
        <w:rPr>
          <w:rFonts w:ascii="Segoe UI" w:eastAsia="Times New Roman" w:hAnsi="Segoe UI" w:cs="Segoe UI"/>
          <w:b/>
          <w:bCs/>
          <w:color w:val="0D0D0D"/>
          <w:sz w:val="24"/>
          <w:szCs w:val="24"/>
          <w:lang w:eastAsia="en-IN"/>
        </w:rPr>
        <w:t>fastest-growing sub-segment</w:t>
      </w:r>
      <w:r w:rsidRPr="00593186">
        <w:rPr>
          <w:rFonts w:ascii="Segoe UI" w:eastAsia="Times New Roman" w:hAnsi="Segoe UI" w:cs="Segoe UI"/>
          <w:color w:val="0D0D0D"/>
          <w:sz w:val="24"/>
          <w:szCs w:val="24"/>
          <w:lang w:eastAsia="en-IN"/>
        </w:rPr>
        <w:t> due to increasing deployment in drug discovery and target validation workflows. </w:t>
      </w:r>
      <w:r w:rsidRPr="00593186">
        <w:rPr>
          <w:rFonts w:ascii="Segoe UI" w:eastAsia="Times New Roman" w:hAnsi="Segoe UI" w:cs="Segoe UI"/>
          <w:i/>
          <w:iCs/>
          <w:color w:val="0D0D0D"/>
          <w:sz w:val="24"/>
          <w:szCs w:val="24"/>
          <w:lang w:eastAsia="en-IN"/>
        </w:rPr>
        <w:t>These companies are actively integrating AI and machine learning into immunofluorescence platforms to expedite drug development cycles.</w:t>
      </w:r>
    </w:p>
    <w:p w14:paraId="52FCC98F"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By Region</w:t>
      </w:r>
    </w:p>
    <w:p w14:paraId="46CD46F2" w14:textId="77777777" w:rsidR="00593186" w:rsidRPr="00593186" w:rsidRDefault="00593186" w:rsidP="00593186">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North America</w:t>
      </w:r>
    </w:p>
    <w:p w14:paraId="4C277D24" w14:textId="77777777" w:rsidR="00593186" w:rsidRPr="00593186" w:rsidRDefault="00593186" w:rsidP="00593186">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Europe</w:t>
      </w:r>
    </w:p>
    <w:p w14:paraId="21F8B601" w14:textId="77777777" w:rsidR="00593186" w:rsidRPr="00593186" w:rsidRDefault="00593186" w:rsidP="00593186">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Asia Pacific</w:t>
      </w:r>
    </w:p>
    <w:p w14:paraId="5D6B1BBA" w14:textId="77777777" w:rsidR="00593186" w:rsidRPr="00593186" w:rsidRDefault="00593186" w:rsidP="00593186">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LAMEA (Latin America, Middle East &amp; Africa)</w:t>
      </w:r>
    </w:p>
    <w:p w14:paraId="7113A6D4"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North America</w:t>
      </w:r>
      <w:r w:rsidRPr="00593186">
        <w:rPr>
          <w:rFonts w:ascii="Segoe UI" w:eastAsia="Times New Roman" w:hAnsi="Segoe UI" w:cs="Segoe UI"/>
          <w:color w:val="0D0D0D"/>
          <w:sz w:val="24"/>
          <w:szCs w:val="24"/>
          <w:lang w:eastAsia="en-IN"/>
        </w:rPr>
        <w:t> continues to lead in 2024, driven by robust diagnostic infrastructure and strong research funding. However, </w:t>
      </w:r>
      <w:r w:rsidRPr="00593186">
        <w:rPr>
          <w:rFonts w:ascii="Segoe UI" w:eastAsia="Times New Roman" w:hAnsi="Segoe UI" w:cs="Segoe UI"/>
          <w:b/>
          <w:bCs/>
          <w:color w:val="0D0D0D"/>
          <w:sz w:val="24"/>
          <w:szCs w:val="24"/>
          <w:lang w:eastAsia="en-IN"/>
        </w:rPr>
        <w:t>Asia Pacific</w:t>
      </w:r>
      <w:r w:rsidRPr="00593186">
        <w:rPr>
          <w:rFonts w:ascii="Segoe UI" w:eastAsia="Times New Roman" w:hAnsi="Segoe UI" w:cs="Segoe UI"/>
          <w:color w:val="0D0D0D"/>
          <w:sz w:val="24"/>
          <w:szCs w:val="24"/>
          <w:lang w:eastAsia="en-IN"/>
        </w:rPr>
        <w:t> is projected to register the </w:t>
      </w:r>
      <w:r w:rsidRPr="00593186">
        <w:rPr>
          <w:rFonts w:ascii="Segoe UI" w:eastAsia="Times New Roman" w:hAnsi="Segoe UI" w:cs="Segoe UI"/>
          <w:b/>
          <w:bCs/>
          <w:color w:val="0D0D0D"/>
          <w:sz w:val="24"/>
          <w:szCs w:val="24"/>
          <w:lang w:eastAsia="en-IN"/>
        </w:rPr>
        <w:t>highest CAGR</w:t>
      </w:r>
      <w:r w:rsidRPr="00593186">
        <w:rPr>
          <w:rFonts w:ascii="Segoe UI" w:eastAsia="Times New Roman" w:hAnsi="Segoe UI" w:cs="Segoe UI"/>
          <w:color w:val="0D0D0D"/>
          <w:sz w:val="24"/>
          <w:szCs w:val="24"/>
          <w:lang w:eastAsia="en-IN"/>
        </w:rPr>
        <w:t> between 2024 and 2030, propelled by expanding clinical diagnostics in China and India, and increasing biosimilar and biopharma investments.</w:t>
      </w:r>
    </w:p>
    <w:p w14:paraId="19F40150" w14:textId="77777777" w:rsidR="00593186" w:rsidRPr="00593186" w:rsidRDefault="00593186" w:rsidP="00593186">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This segmentation framework provides a comprehensive lens for stakeholders to assess market opportunities, tailor product portfolios, and optimize go-to-market strategies across geographies and customer categories.</w:t>
      </w:r>
    </w:p>
    <w:p w14:paraId="1C6A2339" w14:textId="77777777" w:rsidR="00593186" w:rsidRPr="00593186" w:rsidRDefault="00593186" w:rsidP="00593186">
      <w:pPr>
        <w:shd w:val="clear" w:color="auto" w:fill="FFFFFF"/>
        <w:spacing w:after="0" w:line="240" w:lineRule="auto"/>
        <w:outlineLvl w:val="2"/>
        <w:rPr>
          <w:rFonts w:ascii="Segoe UI" w:eastAsia="Times New Roman" w:hAnsi="Segoe UI" w:cs="Segoe UI"/>
          <w:b/>
          <w:bCs/>
          <w:color w:val="0D0D0D"/>
          <w:sz w:val="30"/>
          <w:szCs w:val="30"/>
          <w:lang w:eastAsia="en-IN"/>
        </w:rPr>
      </w:pPr>
      <w:r w:rsidRPr="00593186">
        <w:rPr>
          <w:rFonts w:ascii="Segoe UI" w:eastAsia="Times New Roman" w:hAnsi="Segoe UI" w:cs="Segoe UI"/>
          <w:b/>
          <w:bCs/>
          <w:color w:val="0D0D0D"/>
          <w:sz w:val="30"/>
          <w:szCs w:val="30"/>
          <w:lang w:eastAsia="en-IN"/>
        </w:rPr>
        <w:t>3. Market Trends and Innovation Landscape</w:t>
      </w:r>
    </w:p>
    <w:p w14:paraId="2ED60046" w14:textId="77777777" w:rsidR="00593186" w:rsidRPr="00593186" w:rsidRDefault="00593186" w:rsidP="00593186">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The immunofluorescence assay (IFA) market is undergoing a significant transformation, led by scientific advances, platform integration, and cross-industry collaboration. As demand accelerates for high-throughput, precision diagnostics, the innovation landscape is shifting toward automation, digitalization, and AI-supported workflows.</w:t>
      </w:r>
    </w:p>
    <w:p w14:paraId="62D54A9B"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Multiplex Immunofluorescence (</w:t>
      </w:r>
      <w:proofErr w:type="spellStart"/>
      <w:r w:rsidRPr="00593186">
        <w:rPr>
          <w:rFonts w:ascii="Segoe UI" w:eastAsia="Times New Roman" w:hAnsi="Segoe UI" w:cs="Segoe UI"/>
          <w:b/>
          <w:bCs/>
          <w:color w:val="0D0D0D"/>
          <w:sz w:val="24"/>
          <w:szCs w:val="24"/>
          <w:lang w:eastAsia="en-IN"/>
        </w:rPr>
        <w:t>mIF</w:t>
      </w:r>
      <w:proofErr w:type="spellEnd"/>
      <w:r w:rsidRPr="00593186">
        <w:rPr>
          <w:rFonts w:ascii="Segoe UI" w:eastAsia="Times New Roman" w:hAnsi="Segoe UI" w:cs="Segoe UI"/>
          <w:b/>
          <w:bCs/>
          <w:color w:val="0D0D0D"/>
          <w:sz w:val="24"/>
          <w:szCs w:val="24"/>
          <w:lang w:eastAsia="en-IN"/>
        </w:rPr>
        <w:t>) and Spatial Profiling</w:t>
      </w:r>
    </w:p>
    <w:p w14:paraId="2B9BF999"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A major trend reshaping the IFA market is the rise of </w:t>
      </w:r>
      <w:r w:rsidRPr="00593186">
        <w:rPr>
          <w:rFonts w:ascii="Segoe UI" w:eastAsia="Times New Roman" w:hAnsi="Segoe UI" w:cs="Segoe UI"/>
          <w:b/>
          <w:bCs/>
          <w:color w:val="0D0D0D"/>
          <w:sz w:val="24"/>
          <w:szCs w:val="24"/>
          <w:lang w:eastAsia="en-IN"/>
        </w:rPr>
        <w:t>multiplex immunofluorescence (</w:t>
      </w:r>
      <w:proofErr w:type="spellStart"/>
      <w:r w:rsidRPr="00593186">
        <w:rPr>
          <w:rFonts w:ascii="Segoe UI" w:eastAsia="Times New Roman" w:hAnsi="Segoe UI" w:cs="Segoe UI"/>
          <w:b/>
          <w:bCs/>
          <w:color w:val="0D0D0D"/>
          <w:sz w:val="24"/>
          <w:szCs w:val="24"/>
          <w:lang w:eastAsia="en-IN"/>
        </w:rPr>
        <w:t>mIF</w:t>
      </w:r>
      <w:proofErr w:type="spellEnd"/>
      <w:r w:rsidRPr="00593186">
        <w:rPr>
          <w:rFonts w:ascii="Segoe UI" w:eastAsia="Times New Roman" w:hAnsi="Segoe UI" w:cs="Segoe UI"/>
          <w:b/>
          <w:bCs/>
          <w:color w:val="0D0D0D"/>
          <w:sz w:val="24"/>
          <w:szCs w:val="24"/>
          <w:lang w:eastAsia="en-IN"/>
        </w:rPr>
        <w:t>)</w:t>
      </w:r>
      <w:r w:rsidRPr="00593186">
        <w:rPr>
          <w:rFonts w:ascii="Segoe UI" w:eastAsia="Times New Roman" w:hAnsi="Segoe UI" w:cs="Segoe UI"/>
          <w:color w:val="0D0D0D"/>
          <w:sz w:val="24"/>
          <w:szCs w:val="24"/>
          <w:lang w:eastAsia="en-IN"/>
        </w:rPr>
        <w:t xml:space="preserve">. Unlike conventional single-marker assays, </w:t>
      </w:r>
      <w:proofErr w:type="spellStart"/>
      <w:r w:rsidRPr="00593186">
        <w:rPr>
          <w:rFonts w:ascii="Segoe UI" w:eastAsia="Times New Roman" w:hAnsi="Segoe UI" w:cs="Segoe UI"/>
          <w:color w:val="0D0D0D"/>
          <w:sz w:val="24"/>
          <w:szCs w:val="24"/>
          <w:lang w:eastAsia="en-IN"/>
        </w:rPr>
        <w:t>mIF</w:t>
      </w:r>
      <w:proofErr w:type="spellEnd"/>
      <w:r w:rsidRPr="00593186">
        <w:rPr>
          <w:rFonts w:ascii="Segoe UI" w:eastAsia="Times New Roman" w:hAnsi="Segoe UI" w:cs="Segoe UI"/>
          <w:color w:val="0D0D0D"/>
          <w:sz w:val="24"/>
          <w:szCs w:val="24"/>
          <w:lang w:eastAsia="en-IN"/>
        </w:rPr>
        <w:t xml:space="preserve"> allows the simultaneous detection of </w:t>
      </w:r>
      <w:r w:rsidRPr="00593186">
        <w:rPr>
          <w:rFonts w:ascii="Segoe UI" w:eastAsia="Times New Roman" w:hAnsi="Segoe UI" w:cs="Segoe UI"/>
          <w:b/>
          <w:bCs/>
          <w:color w:val="0D0D0D"/>
          <w:sz w:val="24"/>
          <w:szCs w:val="24"/>
          <w:lang w:eastAsia="en-IN"/>
        </w:rPr>
        <w:t>multiple biomarkers</w:t>
      </w:r>
      <w:r w:rsidRPr="00593186">
        <w:rPr>
          <w:rFonts w:ascii="Segoe UI" w:eastAsia="Times New Roman" w:hAnsi="Segoe UI" w:cs="Segoe UI"/>
          <w:color w:val="0D0D0D"/>
          <w:sz w:val="24"/>
          <w:szCs w:val="24"/>
          <w:lang w:eastAsia="en-IN"/>
        </w:rPr>
        <w:t> on a single tissue section, preserving spatial context. </w:t>
      </w:r>
      <w:r w:rsidRPr="00593186">
        <w:rPr>
          <w:rFonts w:ascii="Segoe UI" w:eastAsia="Times New Roman" w:hAnsi="Segoe UI" w:cs="Segoe UI"/>
          <w:i/>
          <w:iCs/>
          <w:color w:val="0D0D0D"/>
          <w:sz w:val="24"/>
          <w:szCs w:val="24"/>
          <w:lang w:eastAsia="en-IN"/>
        </w:rPr>
        <w:t xml:space="preserve">This capability is revolutionizing oncology, particularly in </w:t>
      </w:r>
      <w:proofErr w:type="spellStart"/>
      <w:r w:rsidRPr="00593186">
        <w:rPr>
          <w:rFonts w:ascii="Segoe UI" w:eastAsia="Times New Roman" w:hAnsi="Segoe UI" w:cs="Segoe UI"/>
          <w:i/>
          <w:iCs/>
          <w:color w:val="0D0D0D"/>
          <w:sz w:val="24"/>
          <w:szCs w:val="24"/>
          <w:lang w:eastAsia="en-IN"/>
        </w:rPr>
        <w:t>tumor</w:t>
      </w:r>
      <w:proofErr w:type="spellEnd"/>
      <w:r w:rsidRPr="00593186">
        <w:rPr>
          <w:rFonts w:ascii="Segoe UI" w:eastAsia="Times New Roman" w:hAnsi="Segoe UI" w:cs="Segoe UI"/>
          <w:i/>
          <w:iCs/>
          <w:color w:val="0D0D0D"/>
          <w:sz w:val="24"/>
          <w:szCs w:val="24"/>
          <w:lang w:eastAsia="en-IN"/>
        </w:rPr>
        <w:t xml:space="preserve"> microenvironment (TME) research, by enabling oncologists to </w:t>
      </w:r>
      <w:proofErr w:type="spellStart"/>
      <w:r w:rsidRPr="00593186">
        <w:rPr>
          <w:rFonts w:ascii="Segoe UI" w:eastAsia="Times New Roman" w:hAnsi="Segoe UI" w:cs="Segoe UI"/>
          <w:i/>
          <w:iCs/>
          <w:color w:val="0D0D0D"/>
          <w:sz w:val="24"/>
          <w:szCs w:val="24"/>
          <w:lang w:eastAsia="en-IN"/>
        </w:rPr>
        <w:t>analyze</w:t>
      </w:r>
      <w:proofErr w:type="spellEnd"/>
      <w:r w:rsidRPr="00593186">
        <w:rPr>
          <w:rFonts w:ascii="Segoe UI" w:eastAsia="Times New Roman" w:hAnsi="Segoe UI" w:cs="Segoe UI"/>
          <w:i/>
          <w:iCs/>
          <w:color w:val="0D0D0D"/>
          <w:sz w:val="24"/>
          <w:szCs w:val="24"/>
          <w:lang w:eastAsia="en-IN"/>
        </w:rPr>
        <w:t xml:space="preserve"> cellular interactions and immune infiltration patterns in situ.</w:t>
      </w:r>
    </w:p>
    <w:p w14:paraId="19C31B88"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 xml:space="preserve">Emerging </w:t>
      </w:r>
      <w:proofErr w:type="spellStart"/>
      <w:r w:rsidRPr="00593186">
        <w:rPr>
          <w:rFonts w:ascii="Segoe UI" w:eastAsia="Times New Roman" w:hAnsi="Segoe UI" w:cs="Segoe UI"/>
          <w:color w:val="0D0D0D"/>
          <w:sz w:val="24"/>
          <w:szCs w:val="24"/>
          <w:lang w:eastAsia="en-IN"/>
        </w:rPr>
        <w:t>mIF</w:t>
      </w:r>
      <w:proofErr w:type="spellEnd"/>
      <w:r w:rsidRPr="00593186">
        <w:rPr>
          <w:rFonts w:ascii="Segoe UI" w:eastAsia="Times New Roman" w:hAnsi="Segoe UI" w:cs="Segoe UI"/>
          <w:color w:val="0D0D0D"/>
          <w:sz w:val="24"/>
          <w:szCs w:val="24"/>
          <w:lang w:eastAsia="en-IN"/>
        </w:rPr>
        <w:t xml:space="preserve"> platforms are being paired with </w:t>
      </w:r>
      <w:r w:rsidRPr="00593186">
        <w:rPr>
          <w:rFonts w:ascii="Segoe UI" w:eastAsia="Times New Roman" w:hAnsi="Segoe UI" w:cs="Segoe UI"/>
          <w:b/>
          <w:bCs/>
          <w:color w:val="0D0D0D"/>
          <w:sz w:val="24"/>
          <w:szCs w:val="24"/>
          <w:lang w:eastAsia="en-IN"/>
        </w:rPr>
        <w:t>quantitative image analysis software</w:t>
      </w:r>
      <w:r w:rsidRPr="00593186">
        <w:rPr>
          <w:rFonts w:ascii="Segoe UI" w:eastAsia="Times New Roman" w:hAnsi="Segoe UI" w:cs="Segoe UI"/>
          <w:color w:val="0D0D0D"/>
          <w:sz w:val="24"/>
          <w:szCs w:val="24"/>
          <w:lang w:eastAsia="en-IN"/>
        </w:rPr>
        <w:t> and machine learning tools to deliver actionable insights for immuno-</w:t>
      </w:r>
      <w:r w:rsidRPr="00593186">
        <w:rPr>
          <w:rFonts w:ascii="Segoe UI" w:eastAsia="Times New Roman" w:hAnsi="Segoe UI" w:cs="Segoe UI"/>
          <w:color w:val="0D0D0D"/>
          <w:sz w:val="24"/>
          <w:szCs w:val="24"/>
          <w:lang w:eastAsia="en-IN"/>
        </w:rPr>
        <w:lastRenderedPageBreak/>
        <w:t>oncology drug development. Companies are also integrating </w:t>
      </w:r>
      <w:r w:rsidRPr="00593186">
        <w:rPr>
          <w:rFonts w:ascii="Segoe UI" w:eastAsia="Times New Roman" w:hAnsi="Segoe UI" w:cs="Segoe UI"/>
          <w:b/>
          <w:bCs/>
          <w:color w:val="0D0D0D"/>
          <w:sz w:val="24"/>
          <w:szCs w:val="24"/>
          <w:lang w:eastAsia="en-IN"/>
        </w:rPr>
        <w:t>deep learning algorithms</w:t>
      </w:r>
      <w:r w:rsidRPr="00593186">
        <w:rPr>
          <w:rFonts w:ascii="Segoe UI" w:eastAsia="Times New Roman" w:hAnsi="Segoe UI" w:cs="Segoe UI"/>
          <w:color w:val="0D0D0D"/>
          <w:sz w:val="24"/>
          <w:szCs w:val="24"/>
          <w:lang w:eastAsia="en-IN"/>
        </w:rPr>
        <w:t> for image segmentation and cell phenotyping, which enhances diagnostic accuracy and speeds up data interpretation.</w:t>
      </w:r>
    </w:p>
    <w:p w14:paraId="6D03E5AE"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Automation and Digital Pathology Integration</w:t>
      </w:r>
    </w:p>
    <w:p w14:paraId="498F23AB"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Another key trend is the automation of IFA procedures. Automated slide staining, antibody incubation, and wash cycles are becoming mainstream across research and diagnostic labs. These systems reduce human error, improve reproducibility, and support </w:t>
      </w:r>
      <w:r w:rsidRPr="00593186">
        <w:rPr>
          <w:rFonts w:ascii="Segoe UI" w:eastAsia="Times New Roman" w:hAnsi="Segoe UI" w:cs="Segoe UI"/>
          <w:b/>
          <w:bCs/>
          <w:color w:val="0D0D0D"/>
          <w:sz w:val="24"/>
          <w:szCs w:val="24"/>
          <w:lang w:eastAsia="en-IN"/>
        </w:rPr>
        <w:t>high-throughput screening</w:t>
      </w:r>
      <w:r w:rsidRPr="00593186">
        <w:rPr>
          <w:rFonts w:ascii="Segoe UI" w:eastAsia="Times New Roman" w:hAnsi="Segoe UI" w:cs="Segoe UI"/>
          <w:color w:val="0D0D0D"/>
          <w:sz w:val="24"/>
          <w:szCs w:val="24"/>
          <w:lang w:eastAsia="en-IN"/>
        </w:rPr>
        <w:t> applications.</w:t>
      </w:r>
    </w:p>
    <w:p w14:paraId="135840D9"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Additionally, the convergence with </w:t>
      </w:r>
      <w:r w:rsidRPr="00593186">
        <w:rPr>
          <w:rFonts w:ascii="Segoe UI" w:eastAsia="Times New Roman" w:hAnsi="Segoe UI" w:cs="Segoe UI"/>
          <w:b/>
          <w:bCs/>
          <w:color w:val="0D0D0D"/>
          <w:sz w:val="24"/>
          <w:szCs w:val="24"/>
          <w:lang w:eastAsia="en-IN"/>
        </w:rPr>
        <w:t>digital pathology</w:t>
      </w:r>
      <w:r w:rsidRPr="00593186">
        <w:rPr>
          <w:rFonts w:ascii="Segoe UI" w:eastAsia="Times New Roman" w:hAnsi="Segoe UI" w:cs="Segoe UI"/>
          <w:color w:val="0D0D0D"/>
          <w:sz w:val="24"/>
          <w:szCs w:val="24"/>
          <w:lang w:eastAsia="en-IN"/>
        </w:rPr>
        <w:t> is enabling real-time image capture, cloud-based storage, and remote interpretation. </w:t>
      </w:r>
      <w:r w:rsidRPr="00593186">
        <w:rPr>
          <w:rFonts w:ascii="Segoe UI" w:eastAsia="Times New Roman" w:hAnsi="Segoe UI" w:cs="Segoe UI"/>
          <w:i/>
          <w:iCs/>
          <w:color w:val="0D0D0D"/>
          <w:sz w:val="24"/>
          <w:szCs w:val="24"/>
          <w:lang w:eastAsia="en-IN"/>
        </w:rPr>
        <w:t>This is particularly beneficial in multi-</w:t>
      </w:r>
      <w:proofErr w:type="spellStart"/>
      <w:r w:rsidRPr="00593186">
        <w:rPr>
          <w:rFonts w:ascii="Segoe UI" w:eastAsia="Times New Roman" w:hAnsi="Segoe UI" w:cs="Segoe UI"/>
          <w:i/>
          <w:iCs/>
          <w:color w:val="0D0D0D"/>
          <w:sz w:val="24"/>
          <w:szCs w:val="24"/>
          <w:lang w:eastAsia="en-IN"/>
        </w:rPr>
        <w:t>center</w:t>
      </w:r>
      <w:proofErr w:type="spellEnd"/>
      <w:r w:rsidRPr="00593186">
        <w:rPr>
          <w:rFonts w:ascii="Segoe UI" w:eastAsia="Times New Roman" w:hAnsi="Segoe UI" w:cs="Segoe UI"/>
          <w:i/>
          <w:iCs/>
          <w:color w:val="0D0D0D"/>
          <w:sz w:val="24"/>
          <w:szCs w:val="24"/>
          <w:lang w:eastAsia="en-IN"/>
        </w:rPr>
        <w:t xml:space="preserve"> clinical trials and rural diagnostic outreach, where central lab access is limited.</w:t>
      </w:r>
    </w:p>
    <w:p w14:paraId="3BBC839F"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Point-of-Care and Portable Immunofluorescence Platforms</w:t>
      </w:r>
    </w:p>
    <w:p w14:paraId="4A124CD8"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In response to the rising burden of infectious diseases and resource constraints in low- and middle-income countries, the market is witnessing innovation in </w:t>
      </w:r>
      <w:r w:rsidRPr="00593186">
        <w:rPr>
          <w:rFonts w:ascii="Segoe UI" w:eastAsia="Times New Roman" w:hAnsi="Segoe UI" w:cs="Segoe UI"/>
          <w:b/>
          <w:bCs/>
          <w:color w:val="0D0D0D"/>
          <w:sz w:val="24"/>
          <w:szCs w:val="24"/>
          <w:lang w:eastAsia="en-IN"/>
        </w:rPr>
        <w:t>miniaturized, portable IFA systems</w:t>
      </w:r>
      <w:r w:rsidRPr="00593186">
        <w:rPr>
          <w:rFonts w:ascii="Segoe UI" w:eastAsia="Times New Roman" w:hAnsi="Segoe UI" w:cs="Segoe UI"/>
          <w:color w:val="0D0D0D"/>
          <w:sz w:val="24"/>
          <w:szCs w:val="24"/>
          <w:lang w:eastAsia="en-IN"/>
        </w:rPr>
        <w:t>. These PoC platforms allow rapid antigen detection using fluorescence-</w:t>
      </w:r>
      <w:proofErr w:type="spellStart"/>
      <w:r w:rsidRPr="00593186">
        <w:rPr>
          <w:rFonts w:ascii="Segoe UI" w:eastAsia="Times New Roman" w:hAnsi="Segoe UI" w:cs="Segoe UI"/>
          <w:color w:val="0D0D0D"/>
          <w:sz w:val="24"/>
          <w:szCs w:val="24"/>
          <w:lang w:eastAsia="en-IN"/>
        </w:rPr>
        <w:t>labeled</w:t>
      </w:r>
      <w:proofErr w:type="spellEnd"/>
      <w:r w:rsidRPr="00593186">
        <w:rPr>
          <w:rFonts w:ascii="Segoe UI" w:eastAsia="Times New Roman" w:hAnsi="Segoe UI" w:cs="Segoe UI"/>
          <w:color w:val="0D0D0D"/>
          <w:sz w:val="24"/>
          <w:szCs w:val="24"/>
          <w:lang w:eastAsia="en-IN"/>
        </w:rPr>
        <w:t xml:space="preserve"> antibodies in decentralized settings. </w:t>
      </w:r>
      <w:r w:rsidRPr="00593186">
        <w:rPr>
          <w:rFonts w:ascii="Segoe UI" w:eastAsia="Times New Roman" w:hAnsi="Segoe UI" w:cs="Segoe UI"/>
          <w:i/>
          <w:iCs/>
          <w:color w:val="0D0D0D"/>
          <w:sz w:val="24"/>
          <w:szCs w:val="24"/>
          <w:lang w:eastAsia="en-IN"/>
        </w:rPr>
        <w:t>Their adoption is accelerating in the diagnosis of tuberculosis, malaria, and COVID-19, supported by mobile device integration and simplified workflows.</w:t>
      </w:r>
    </w:p>
    <w:p w14:paraId="3B1ACB64"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Strategic Collaborations and M&amp;A Activity</w:t>
      </w:r>
    </w:p>
    <w:p w14:paraId="0DF99BC4"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The past two years have seen a surge in </w:t>
      </w:r>
      <w:r w:rsidRPr="00593186">
        <w:rPr>
          <w:rFonts w:ascii="Segoe UI" w:eastAsia="Times New Roman" w:hAnsi="Segoe UI" w:cs="Segoe UI"/>
          <w:b/>
          <w:bCs/>
          <w:color w:val="0D0D0D"/>
          <w:sz w:val="24"/>
          <w:szCs w:val="24"/>
          <w:lang w:eastAsia="en-IN"/>
        </w:rPr>
        <w:t>strategic partnerships</w:t>
      </w:r>
      <w:r w:rsidRPr="00593186">
        <w:rPr>
          <w:rFonts w:ascii="Segoe UI" w:eastAsia="Times New Roman" w:hAnsi="Segoe UI" w:cs="Segoe UI"/>
          <w:color w:val="0D0D0D"/>
          <w:sz w:val="24"/>
          <w:szCs w:val="24"/>
          <w:lang w:eastAsia="en-IN"/>
        </w:rPr>
        <w:t> between assay developers, software providers, and imaging system manufacturers. These alliances aim to deliver end-to-end immunofluorescence solutions—spanning sample prep to data analytics.</w:t>
      </w:r>
    </w:p>
    <w:p w14:paraId="3BD958EA"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i/>
          <w:iCs/>
          <w:color w:val="0D0D0D"/>
          <w:sz w:val="24"/>
          <w:szCs w:val="24"/>
          <w:lang w:eastAsia="en-IN"/>
        </w:rPr>
        <w:t xml:space="preserve">For example, several biotech </w:t>
      </w:r>
      <w:proofErr w:type="spellStart"/>
      <w:r w:rsidRPr="00593186">
        <w:rPr>
          <w:rFonts w:ascii="Segoe UI" w:eastAsia="Times New Roman" w:hAnsi="Segoe UI" w:cs="Segoe UI"/>
          <w:i/>
          <w:iCs/>
          <w:color w:val="0D0D0D"/>
          <w:sz w:val="24"/>
          <w:szCs w:val="24"/>
          <w:lang w:eastAsia="en-IN"/>
        </w:rPr>
        <w:t>startups</w:t>
      </w:r>
      <w:proofErr w:type="spellEnd"/>
      <w:r w:rsidRPr="00593186">
        <w:rPr>
          <w:rFonts w:ascii="Segoe UI" w:eastAsia="Times New Roman" w:hAnsi="Segoe UI" w:cs="Segoe UI"/>
          <w:i/>
          <w:iCs/>
          <w:color w:val="0D0D0D"/>
          <w:sz w:val="24"/>
          <w:szCs w:val="24"/>
          <w:lang w:eastAsia="en-IN"/>
        </w:rPr>
        <w:t xml:space="preserve"> have partnered with academic hospitals to co-develop AI-assisted multiplex staining protocols tailored to rare cancer diagnostics.</w:t>
      </w:r>
      <w:r w:rsidRPr="00593186">
        <w:rPr>
          <w:rFonts w:ascii="Segoe UI" w:eastAsia="Times New Roman" w:hAnsi="Segoe UI" w:cs="Segoe UI"/>
          <w:color w:val="0D0D0D"/>
          <w:sz w:val="24"/>
          <w:szCs w:val="24"/>
          <w:lang w:eastAsia="en-IN"/>
        </w:rPr>
        <w:t> Meanwhile, acquisitions of small-scale reagent manufacturers by larger life science firms have helped streamline supply chains and scale production.</w:t>
      </w:r>
    </w:p>
    <w:p w14:paraId="1C34D104"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Innovations in Reagents and Antibody Engineering</w:t>
      </w:r>
    </w:p>
    <w:p w14:paraId="31434F49"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The development of </w:t>
      </w:r>
      <w:r w:rsidRPr="00593186">
        <w:rPr>
          <w:rFonts w:ascii="Segoe UI" w:eastAsia="Times New Roman" w:hAnsi="Segoe UI" w:cs="Segoe UI"/>
          <w:b/>
          <w:bCs/>
          <w:color w:val="0D0D0D"/>
          <w:sz w:val="24"/>
          <w:szCs w:val="24"/>
          <w:lang w:eastAsia="en-IN"/>
        </w:rPr>
        <w:t>photostable fluorophores</w:t>
      </w:r>
      <w:r w:rsidRPr="00593186">
        <w:rPr>
          <w:rFonts w:ascii="Segoe UI" w:eastAsia="Times New Roman" w:hAnsi="Segoe UI" w:cs="Segoe UI"/>
          <w:color w:val="0D0D0D"/>
          <w:sz w:val="24"/>
          <w:szCs w:val="24"/>
          <w:lang w:eastAsia="en-IN"/>
        </w:rPr>
        <w:t>, enhanced secondary antibodies, and recombinant antibody fragments is further propelling innovation. These components support better signal-to-noise ratios, longer shelf lives, and higher assay reproducibility. Moreover, the use of </w:t>
      </w:r>
      <w:r w:rsidRPr="00593186">
        <w:rPr>
          <w:rFonts w:ascii="Segoe UI" w:eastAsia="Times New Roman" w:hAnsi="Segoe UI" w:cs="Segoe UI"/>
          <w:b/>
          <w:bCs/>
          <w:color w:val="0D0D0D"/>
          <w:sz w:val="24"/>
          <w:szCs w:val="24"/>
          <w:lang w:eastAsia="en-IN"/>
        </w:rPr>
        <w:t>click chemistry</w:t>
      </w:r>
      <w:r w:rsidRPr="00593186">
        <w:rPr>
          <w:rFonts w:ascii="Segoe UI" w:eastAsia="Times New Roman" w:hAnsi="Segoe UI" w:cs="Segoe UI"/>
          <w:color w:val="0D0D0D"/>
          <w:sz w:val="24"/>
          <w:szCs w:val="24"/>
          <w:lang w:eastAsia="en-IN"/>
        </w:rPr>
        <w:t xml:space="preserve"> and synthetic biology is allowing for customizable </w:t>
      </w:r>
      <w:proofErr w:type="spellStart"/>
      <w:r w:rsidRPr="00593186">
        <w:rPr>
          <w:rFonts w:ascii="Segoe UI" w:eastAsia="Times New Roman" w:hAnsi="Segoe UI" w:cs="Segoe UI"/>
          <w:color w:val="0D0D0D"/>
          <w:sz w:val="24"/>
          <w:szCs w:val="24"/>
          <w:lang w:eastAsia="en-IN"/>
        </w:rPr>
        <w:t>labeling</w:t>
      </w:r>
      <w:proofErr w:type="spellEnd"/>
      <w:r w:rsidRPr="00593186">
        <w:rPr>
          <w:rFonts w:ascii="Segoe UI" w:eastAsia="Times New Roman" w:hAnsi="Segoe UI" w:cs="Segoe UI"/>
          <w:color w:val="0D0D0D"/>
          <w:sz w:val="24"/>
          <w:szCs w:val="24"/>
          <w:lang w:eastAsia="en-IN"/>
        </w:rPr>
        <w:t>, opening doors for more flexible assay design.</w:t>
      </w:r>
    </w:p>
    <w:p w14:paraId="7E456C45" w14:textId="77777777" w:rsidR="00593186" w:rsidRPr="00593186" w:rsidRDefault="00593186" w:rsidP="00593186">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lastRenderedPageBreak/>
        <w:t>Taken together, these innovations are elevating the role of immunofluorescence beyond traditional diagnostic labs into personalized medicine, translational research, and decentralized health ecosystems.</w:t>
      </w:r>
    </w:p>
    <w:p w14:paraId="3FB3D049" w14:textId="77777777" w:rsidR="00593186" w:rsidRPr="00593186" w:rsidRDefault="00593186" w:rsidP="00593186">
      <w:pPr>
        <w:shd w:val="clear" w:color="auto" w:fill="FFFFFF"/>
        <w:spacing w:after="0" w:line="240" w:lineRule="auto"/>
        <w:outlineLvl w:val="2"/>
        <w:rPr>
          <w:rFonts w:ascii="Segoe UI" w:eastAsia="Times New Roman" w:hAnsi="Segoe UI" w:cs="Segoe UI"/>
          <w:b/>
          <w:bCs/>
          <w:color w:val="0D0D0D"/>
          <w:sz w:val="30"/>
          <w:szCs w:val="30"/>
          <w:lang w:eastAsia="en-IN"/>
        </w:rPr>
      </w:pPr>
      <w:r w:rsidRPr="00593186">
        <w:rPr>
          <w:rFonts w:ascii="Segoe UI" w:eastAsia="Times New Roman" w:hAnsi="Segoe UI" w:cs="Segoe UI"/>
          <w:b/>
          <w:bCs/>
          <w:color w:val="0D0D0D"/>
          <w:sz w:val="30"/>
          <w:szCs w:val="30"/>
          <w:lang w:eastAsia="en-IN"/>
        </w:rPr>
        <w:t>4. Competitive Intelligence and Benchmarking</w:t>
      </w:r>
    </w:p>
    <w:p w14:paraId="704A5915" w14:textId="77777777" w:rsidR="00593186" w:rsidRPr="00593186" w:rsidRDefault="00593186" w:rsidP="00593186">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The global immunofluorescence assay market is moderately consolidated, with a blend of established diagnostics giants and specialized assay developers competing across product innovation, platform integration, and regional expansion. Key players are enhancing their market position through targeted acquisitions, proprietary reagent development, and AI-enabled workflow offerings.</w:t>
      </w:r>
    </w:p>
    <w:p w14:paraId="6F486F4A"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1. Thermo Fisher Scientific</w:t>
      </w:r>
    </w:p>
    <w:p w14:paraId="48E2630B"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As one of the global leaders in life sciences tools, </w:t>
      </w:r>
      <w:r w:rsidRPr="00593186">
        <w:rPr>
          <w:rFonts w:ascii="Segoe UI" w:eastAsia="Times New Roman" w:hAnsi="Segoe UI" w:cs="Segoe UI"/>
          <w:b/>
          <w:bCs/>
          <w:color w:val="0D0D0D"/>
          <w:sz w:val="24"/>
          <w:szCs w:val="24"/>
          <w:lang w:eastAsia="en-IN"/>
        </w:rPr>
        <w:t>Thermo Fisher Scientific</w:t>
      </w:r>
      <w:r w:rsidRPr="00593186">
        <w:rPr>
          <w:rFonts w:ascii="Segoe UI" w:eastAsia="Times New Roman" w:hAnsi="Segoe UI" w:cs="Segoe UI"/>
          <w:color w:val="0D0D0D"/>
          <w:sz w:val="24"/>
          <w:szCs w:val="24"/>
          <w:lang w:eastAsia="en-IN"/>
        </w:rPr>
        <w:t> maintains a dominant position through its expansive portfolio of antibodies, reagents, and fluorescence imaging systems. The company’s strategic advantage lies in its </w:t>
      </w:r>
      <w:r w:rsidRPr="00593186">
        <w:rPr>
          <w:rFonts w:ascii="Segoe UI" w:eastAsia="Times New Roman" w:hAnsi="Segoe UI" w:cs="Segoe UI"/>
          <w:b/>
          <w:bCs/>
          <w:color w:val="0D0D0D"/>
          <w:sz w:val="24"/>
          <w:szCs w:val="24"/>
          <w:lang w:eastAsia="en-IN"/>
        </w:rPr>
        <w:t>vertically integrated supply chain</w:t>
      </w:r>
      <w:r w:rsidRPr="00593186">
        <w:rPr>
          <w:rFonts w:ascii="Segoe UI" w:eastAsia="Times New Roman" w:hAnsi="Segoe UI" w:cs="Segoe UI"/>
          <w:color w:val="0D0D0D"/>
          <w:sz w:val="24"/>
          <w:szCs w:val="24"/>
          <w:lang w:eastAsia="en-IN"/>
        </w:rPr>
        <w:t>, enabling rapid production scaling and consistent quality across research and diagnostic applications. Its continued investments in digital imaging and AI-powered analysis tools have made it a preferred vendor for high-throughput and multiplex assay users.</w:t>
      </w:r>
    </w:p>
    <w:p w14:paraId="2FFE6BE6"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2. Bio-Rad Laboratories</w:t>
      </w:r>
    </w:p>
    <w:p w14:paraId="4E7E144C"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Bio-Rad</w:t>
      </w:r>
      <w:r w:rsidRPr="00593186">
        <w:rPr>
          <w:rFonts w:ascii="Segoe UI" w:eastAsia="Times New Roman" w:hAnsi="Segoe UI" w:cs="Segoe UI"/>
          <w:color w:val="0D0D0D"/>
          <w:sz w:val="24"/>
          <w:szCs w:val="24"/>
          <w:lang w:eastAsia="en-IN"/>
        </w:rPr>
        <w:t> is well-regarded for its robust offering of immunoassay reagents and multiplexing tools. Its unique value proposition stems from its </w:t>
      </w:r>
      <w:r w:rsidRPr="00593186">
        <w:rPr>
          <w:rFonts w:ascii="Segoe UI" w:eastAsia="Times New Roman" w:hAnsi="Segoe UI" w:cs="Segoe UI"/>
          <w:b/>
          <w:bCs/>
          <w:color w:val="0D0D0D"/>
          <w:sz w:val="24"/>
          <w:szCs w:val="24"/>
          <w:lang w:eastAsia="en-IN"/>
        </w:rPr>
        <w:t>platform compatibility across immunofluorescence, Western blotting, and ELISA</w:t>
      </w:r>
      <w:r w:rsidRPr="00593186">
        <w:rPr>
          <w:rFonts w:ascii="Segoe UI" w:eastAsia="Times New Roman" w:hAnsi="Segoe UI" w:cs="Segoe UI"/>
          <w:color w:val="0D0D0D"/>
          <w:sz w:val="24"/>
          <w:szCs w:val="24"/>
          <w:lang w:eastAsia="en-IN"/>
        </w:rPr>
        <w:t> workflows, providing end-users with flexibility and efficiency. The company is actively expanding its </w:t>
      </w:r>
      <w:r w:rsidRPr="00593186">
        <w:rPr>
          <w:rFonts w:ascii="Segoe UI" w:eastAsia="Times New Roman" w:hAnsi="Segoe UI" w:cs="Segoe UI"/>
          <w:b/>
          <w:bCs/>
          <w:color w:val="0D0D0D"/>
          <w:sz w:val="24"/>
          <w:szCs w:val="24"/>
          <w:lang w:eastAsia="en-IN"/>
        </w:rPr>
        <w:t>research-use-only (RUO)</w:t>
      </w:r>
      <w:r w:rsidRPr="00593186">
        <w:rPr>
          <w:rFonts w:ascii="Segoe UI" w:eastAsia="Times New Roman" w:hAnsi="Segoe UI" w:cs="Segoe UI"/>
          <w:color w:val="0D0D0D"/>
          <w:sz w:val="24"/>
          <w:szCs w:val="24"/>
          <w:lang w:eastAsia="en-IN"/>
        </w:rPr>
        <w:t xml:space="preserve"> assay segment and has initiated partnerships with academic </w:t>
      </w:r>
      <w:proofErr w:type="spellStart"/>
      <w:r w:rsidRPr="00593186">
        <w:rPr>
          <w:rFonts w:ascii="Segoe UI" w:eastAsia="Times New Roman" w:hAnsi="Segoe UI" w:cs="Segoe UI"/>
          <w:color w:val="0D0D0D"/>
          <w:sz w:val="24"/>
          <w:szCs w:val="24"/>
          <w:lang w:eastAsia="en-IN"/>
        </w:rPr>
        <w:t>centers</w:t>
      </w:r>
      <w:proofErr w:type="spellEnd"/>
      <w:r w:rsidRPr="00593186">
        <w:rPr>
          <w:rFonts w:ascii="Segoe UI" w:eastAsia="Times New Roman" w:hAnsi="Segoe UI" w:cs="Segoe UI"/>
          <w:color w:val="0D0D0D"/>
          <w:sz w:val="24"/>
          <w:szCs w:val="24"/>
          <w:lang w:eastAsia="en-IN"/>
        </w:rPr>
        <w:t xml:space="preserve"> for advanced biomarker studies.</w:t>
      </w:r>
    </w:p>
    <w:p w14:paraId="55DD74DC"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3. Danaher Corporation (through Leica Biosystems)</w:t>
      </w:r>
    </w:p>
    <w:p w14:paraId="2BD9002D"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Danaher</w:t>
      </w:r>
      <w:r w:rsidRPr="00593186">
        <w:rPr>
          <w:rFonts w:ascii="Segoe UI" w:eastAsia="Times New Roman" w:hAnsi="Segoe UI" w:cs="Segoe UI"/>
          <w:color w:val="0D0D0D"/>
          <w:sz w:val="24"/>
          <w:szCs w:val="24"/>
          <w:lang w:eastAsia="en-IN"/>
        </w:rPr>
        <w:t>, via </w:t>
      </w:r>
      <w:r w:rsidRPr="00593186">
        <w:rPr>
          <w:rFonts w:ascii="Segoe UI" w:eastAsia="Times New Roman" w:hAnsi="Segoe UI" w:cs="Segoe UI"/>
          <w:b/>
          <w:bCs/>
          <w:color w:val="0D0D0D"/>
          <w:sz w:val="24"/>
          <w:szCs w:val="24"/>
          <w:lang w:eastAsia="en-IN"/>
        </w:rPr>
        <w:t>Leica Biosystems</w:t>
      </w:r>
      <w:r w:rsidRPr="00593186">
        <w:rPr>
          <w:rFonts w:ascii="Segoe UI" w:eastAsia="Times New Roman" w:hAnsi="Segoe UI" w:cs="Segoe UI"/>
          <w:color w:val="0D0D0D"/>
          <w:sz w:val="24"/>
          <w:szCs w:val="24"/>
          <w:lang w:eastAsia="en-IN"/>
        </w:rPr>
        <w:t>, is aggressively pushing into the clinical immunofluorescence space by combining </w:t>
      </w:r>
      <w:r w:rsidRPr="00593186">
        <w:rPr>
          <w:rFonts w:ascii="Segoe UI" w:eastAsia="Times New Roman" w:hAnsi="Segoe UI" w:cs="Segoe UI"/>
          <w:b/>
          <w:bCs/>
          <w:color w:val="0D0D0D"/>
          <w:sz w:val="24"/>
          <w:szCs w:val="24"/>
          <w:lang w:eastAsia="en-IN"/>
        </w:rPr>
        <w:t>automated slide staining systems</w:t>
      </w:r>
      <w:r w:rsidRPr="00593186">
        <w:rPr>
          <w:rFonts w:ascii="Segoe UI" w:eastAsia="Times New Roman" w:hAnsi="Segoe UI" w:cs="Segoe UI"/>
          <w:color w:val="0D0D0D"/>
          <w:sz w:val="24"/>
          <w:szCs w:val="24"/>
          <w:lang w:eastAsia="en-IN"/>
        </w:rPr>
        <w:t> with high-resolution imaging solutions. The company’s strategic acquisitions and integration with AI-driven software partners have positioned it as a key innovator in </w:t>
      </w:r>
      <w:r w:rsidRPr="00593186">
        <w:rPr>
          <w:rFonts w:ascii="Segoe UI" w:eastAsia="Times New Roman" w:hAnsi="Segoe UI" w:cs="Segoe UI"/>
          <w:b/>
          <w:bCs/>
          <w:color w:val="0D0D0D"/>
          <w:sz w:val="24"/>
          <w:szCs w:val="24"/>
          <w:lang w:eastAsia="en-IN"/>
        </w:rPr>
        <w:t>digital pathology and oncology diagnostics</w:t>
      </w:r>
      <w:r w:rsidRPr="00593186">
        <w:rPr>
          <w:rFonts w:ascii="Segoe UI" w:eastAsia="Times New Roman" w:hAnsi="Segoe UI" w:cs="Segoe UI"/>
          <w:color w:val="0D0D0D"/>
          <w:sz w:val="24"/>
          <w:szCs w:val="24"/>
          <w:lang w:eastAsia="en-IN"/>
        </w:rPr>
        <w:t xml:space="preserve">. Leica’s recent upgrades to its </w:t>
      </w:r>
      <w:proofErr w:type="spellStart"/>
      <w:r w:rsidRPr="00593186">
        <w:rPr>
          <w:rFonts w:ascii="Segoe UI" w:eastAsia="Times New Roman" w:hAnsi="Segoe UI" w:cs="Segoe UI"/>
          <w:color w:val="0D0D0D"/>
          <w:sz w:val="24"/>
          <w:szCs w:val="24"/>
          <w:lang w:eastAsia="en-IN"/>
        </w:rPr>
        <w:t>mIF</w:t>
      </w:r>
      <w:proofErr w:type="spellEnd"/>
      <w:r w:rsidRPr="00593186">
        <w:rPr>
          <w:rFonts w:ascii="Segoe UI" w:eastAsia="Times New Roman" w:hAnsi="Segoe UI" w:cs="Segoe UI"/>
          <w:color w:val="0D0D0D"/>
          <w:sz w:val="24"/>
          <w:szCs w:val="24"/>
          <w:lang w:eastAsia="en-IN"/>
        </w:rPr>
        <w:t xml:space="preserve"> platforms are gaining traction in histopathology labs focused on </w:t>
      </w:r>
      <w:proofErr w:type="spellStart"/>
      <w:r w:rsidRPr="00593186">
        <w:rPr>
          <w:rFonts w:ascii="Segoe UI" w:eastAsia="Times New Roman" w:hAnsi="Segoe UI" w:cs="Segoe UI"/>
          <w:color w:val="0D0D0D"/>
          <w:sz w:val="24"/>
          <w:szCs w:val="24"/>
          <w:lang w:eastAsia="en-IN"/>
        </w:rPr>
        <w:t>tumor</w:t>
      </w:r>
      <w:proofErr w:type="spellEnd"/>
      <w:r w:rsidRPr="00593186">
        <w:rPr>
          <w:rFonts w:ascii="Segoe UI" w:eastAsia="Times New Roman" w:hAnsi="Segoe UI" w:cs="Segoe UI"/>
          <w:color w:val="0D0D0D"/>
          <w:sz w:val="24"/>
          <w:szCs w:val="24"/>
          <w:lang w:eastAsia="en-IN"/>
        </w:rPr>
        <w:t xml:space="preserve"> profiling.</w:t>
      </w:r>
    </w:p>
    <w:p w14:paraId="3EE89989"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4. Abcam</w:t>
      </w:r>
    </w:p>
    <w:p w14:paraId="7C56F8C7"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Abcam</w:t>
      </w:r>
      <w:r w:rsidRPr="00593186">
        <w:rPr>
          <w:rFonts w:ascii="Segoe UI" w:eastAsia="Times New Roman" w:hAnsi="Segoe UI" w:cs="Segoe UI"/>
          <w:color w:val="0D0D0D"/>
          <w:sz w:val="24"/>
          <w:szCs w:val="24"/>
          <w:lang w:eastAsia="en-IN"/>
        </w:rPr>
        <w:t> specializes in antibody and protein reagent development, which forms the backbone of immunofluorescence assays. Its competitive edge lies in </w:t>
      </w:r>
      <w:r w:rsidRPr="00593186">
        <w:rPr>
          <w:rFonts w:ascii="Segoe UI" w:eastAsia="Times New Roman" w:hAnsi="Segoe UI" w:cs="Segoe UI"/>
          <w:b/>
          <w:bCs/>
          <w:color w:val="0D0D0D"/>
          <w:sz w:val="24"/>
          <w:szCs w:val="24"/>
          <w:lang w:eastAsia="en-IN"/>
        </w:rPr>
        <w:t xml:space="preserve">recombinant </w:t>
      </w:r>
      <w:r w:rsidRPr="00593186">
        <w:rPr>
          <w:rFonts w:ascii="Segoe UI" w:eastAsia="Times New Roman" w:hAnsi="Segoe UI" w:cs="Segoe UI"/>
          <w:b/>
          <w:bCs/>
          <w:color w:val="0D0D0D"/>
          <w:sz w:val="24"/>
          <w:szCs w:val="24"/>
          <w:lang w:eastAsia="en-IN"/>
        </w:rPr>
        <w:lastRenderedPageBreak/>
        <w:t>antibody engineering and validation standards</w:t>
      </w:r>
      <w:r w:rsidRPr="00593186">
        <w:rPr>
          <w:rFonts w:ascii="Segoe UI" w:eastAsia="Times New Roman" w:hAnsi="Segoe UI" w:cs="Segoe UI"/>
          <w:color w:val="0D0D0D"/>
          <w:sz w:val="24"/>
          <w:szCs w:val="24"/>
          <w:lang w:eastAsia="en-IN"/>
        </w:rPr>
        <w:t xml:space="preserve">, especially for cancer and neurobiology applications. The company’s focus on reproducibility and its online customization tools </w:t>
      </w:r>
      <w:proofErr w:type="gramStart"/>
      <w:r w:rsidRPr="00593186">
        <w:rPr>
          <w:rFonts w:ascii="Segoe UI" w:eastAsia="Times New Roman" w:hAnsi="Segoe UI" w:cs="Segoe UI"/>
          <w:color w:val="0D0D0D"/>
          <w:sz w:val="24"/>
          <w:szCs w:val="24"/>
          <w:lang w:eastAsia="en-IN"/>
        </w:rPr>
        <w:t>make</w:t>
      </w:r>
      <w:proofErr w:type="gramEnd"/>
      <w:r w:rsidRPr="00593186">
        <w:rPr>
          <w:rFonts w:ascii="Segoe UI" w:eastAsia="Times New Roman" w:hAnsi="Segoe UI" w:cs="Segoe UI"/>
          <w:color w:val="0D0D0D"/>
          <w:sz w:val="24"/>
          <w:szCs w:val="24"/>
          <w:lang w:eastAsia="en-IN"/>
        </w:rPr>
        <w:t xml:space="preserve"> it a </w:t>
      </w:r>
      <w:proofErr w:type="spellStart"/>
      <w:r w:rsidRPr="00593186">
        <w:rPr>
          <w:rFonts w:ascii="Segoe UI" w:eastAsia="Times New Roman" w:hAnsi="Segoe UI" w:cs="Segoe UI"/>
          <w:color w:val="0D0D0D"/>
          <w:sz w:val="24"/>
          <w:szCs w:val="24"/>
          <w:lang w:eastAsia="en-IN"/>
        </w:rPr>
        <w:t>favorite</w:t>
      </w:r>
      <w:proofErr w:type="spellEnd"/>
      <w:r w:rsidRPr="00593186">
        <w:rPr>
          <w:rFonts w:ascii="Segoe UI" w:eastAsia="Times New Roman" w:hAnsi="Segoe UI" w:cs="Segoe UI"/>
          <w:color w:val="0D0D0D"/>
          <w:sz w:val="24"/>
          <w:szCs w:val="24"/>
          <w:lang w:eastAsia="en-IN"/>
        </w:rPr>
        <w:t xml:space="preserve"> among research institutions and CROs seeking consistent assay performance.</w:t>
      </w:r>
    </w:p>
    <w:p w14:paraId="2F92EC98"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 xml:space="preserve">5. Merck </w:t>
      </w:r>
      <w:proofErr w:type="spellStart"/>
      <w:r w:rsidRPr="00593186">
        <w:rPr>
          <w:rFonts w:ascii="Segoe UI" w:eastAsia="Times New Roman" w:hAnsi="Segoe UI" w:cs="Segoe UI"/>
          <w:b/>
          <w:bCs/>
          <w:color w:val="0D0D0D"/>
          <w:sz w:val="24"/>
          <w:szCs w:val="24"/>
          <w:lang w:eastAsia="en-IN"/>
        </w:rPr>
        <w:t>KGaA</w:t>
      </w:r>
      <w:proofErr w:type="spellEnd"/>
      <w:r w:rsidRPr="00593186">
        <w:rPr>
          <w:rFonts w:ascii="Segoe UI" w:eastAsia="Times New Roman" w:hAnsi="Segoe UI" w:cs="Segoe UI"/>
          <w:b/>
          <w:bCs/>
          <w:color w:val="0D0D0D"/>
          <w:sz w:val="24"/>
          <w:szCs w:val="24"/>
          <w:lang w:eastAsia="en-IN"/>
        </w:rPr>
        <w:t xml:space="preserve"> (</w:t>
      </w:r>
      <w:proofErr w:type="spellStart"/>
      <w:r w:rsidRPr="00593186">
        <w:rPr>
          <w:rFonts w:ascii="Segoe UI" w:eastAsia="Times New Roman" w:hAnsi="Segoe UI" w:cs="Segoe UI"/>
          <w:b/>
          <w:bCs/>
          <w:color w:val="0D0D0D"/>
          <w:sz w:val="24"/>
          <w:szCs w:val="24"/>
          <w:lang w:eastAsia="en-IN"/>
        </w:rPr>
        <w:t>MilliporeSigma</w:t>
      </w:r>
      <w:proofErr w:type="spellEnd"/>
      <w:r w:rsidRPr="00593186">
        <w:rPr>
          <w:rFonts w:ascii="Segoe UI" w:eastAsia="Times New Roman" w:hAnsi="Segoe UI" w:cs="Segoe UI"/>
          <w:b/>
          <w:bCs/>
          <w:color w:val="0D0D0D"/>
          <w:sz w:val="24"/>
          <w:szCs w:val="24"/>
          <w:lang w:eastAsia="en-IN"/>
        </w:rPr>
        <w:t>)</w:t>
      </w:r>
    </w:p>
    <w:p w14:paraId="328B5843"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Operating under </w:t>
      </w:r>
      <w:proofErr w:type="spellStart"/>
      <w:r w:rsidRPr="00593186">
        <w:rPr>
          <w:rFonts w:ascii="Segoe UI" w:eastAsia="Times New Roman" w:hAnsi="Segoe UI" w:cs="Segoe UI"/>
          <w:b/>
          <w:bCs/>
          <w:color w:val="0D0D0D"/>
          <w:sz w:val="24"/>
          <w:szCs w:val="24"/>
          <w:lang w:eastAsia="en-IN"/>
        </w:rPr>
        <w:t>MilliporeSigma</w:t>
      </w:r>
      <w:proofErr w:type="spellEnd"/>
      <w:r w:rsidRPr="00593186">
        <w:rPr>
          <w:rFonts w:ascii="Segoe UI" w:eastAsia="Times New Roman" w:hAnsi="Segoe UI" w:cs="Segoe UI"/>
          <w:color w:val="0D0D0D"/>
          <w:sz w:val="24"/>
          <w:szCs w:val="24"/>
          <w:lang w:eastAsia="en-IN"/>
        </w:rPr>
        <w:t> in North America, </w:t>
      </w:r>
      <w:r w:rsidRPr="00593186">
        <w:rPr>
          <w:rFonts w:ascii="Segoe UI" w:eastAsia="Times New Roman" w:hAnsi="Segoe UI" w:cs="Segoe UI"/>
          <w:b/>
          <w:bCs/>
          <w:color w:val="0D0D0D"/>
          <w:sz w:val="24"/>
          <w:szCs w:val="24"/>
          <w:lang w:eastAsia="en-IN"/>
        </w:rPr>
        <w:t xml:space="preserve">Merck </w:t>
      </w:r>
      <w:proofErr w:type="spellStart"/>
      <w:r w:rsidRPr="00593186">
        <w:rPr>
          <w:rFonts w:ascii="Segoe UI" w:eastAsia="Times New Roman" w:hAnsi="Segoe UI" w:cs="Segoe UI"/>
          <w:b/>
          <w:bCs/>
          <w:color w:val="0D0D0D"/>
          <w:sz w:val="24"/>
          <w:szCs w:val="24"/>
          <w:lang w:eastAsia="en-IN"/>
        </w:rPr>
        <w:t>KGaA</w:t>
      </w:r>
      <w:proofErr w:type="spellEnd"/>
      <w:r w:rsidRPr="00593186">
        <w:rPr>
          <w:rFonts w:ascii="Segoe UI" w:eastAsia="Times New Roman" w:hAnsi="Segoe UI" w:cs="Segoe UI"/>
          <w:color w:val="0D0D0D"/>
          <w:sz w:val="24"/>
          <w:szCs w:val="24"/>
          <w:lang w:eastAsia="en-IN"/>
        </w:rPr>
        <w:t> has solidified its reputation through its extensive </w:t>
      </w:r>
      <w:r w:rsidRPr="00593186">
        <w:rPr>
          <w:rFonts w:ascii="Segoe UI" w:eastAsia="Times New Roman" w:hAnsi="Segoe UI" w:cs="Segoe UI"/>
          <w:b/>
          <w:bCs/>
          <w:color w:val="0D0D0D"/>
          <w:sz w:val="24"/>
          <w:szCs w:val="24"/>
          <w:lang w:eastAsia="en-IN"/>
        </w:rPr>
        <w:t>immunodetection reagent portfolio</w:t>
      </w:r>
      <w:r w:rsidRPr="00593186">
        <w:rPr>
          <w:rFonts w:ascii="Segoe UI" w:eastAsia="Times New Roman" w:hAnsi="Segoe UI" w:cs="Segoe UI"/>
          <w:color w:val="0D0D0D"/>
          <w:sz w:val="24"/>
          <w:szCs w:val="24"/>
          <w:lang w:eastAsia="en-IN"/>
        </w:rPr>
        <w:t>. Its competitive strategy includes the development of </w:t>
      </w:r>
      <w:r w:rsidRPr="00593186">
        <w:rPr>
          <w:rFonts w:ascii="Segoe UI" w:eastAsia="Times New Roman" w:hAnsi="Segoe UI" w:cs="Segoe UI"/>
          <w:b/>
          <w:bCs/>
          <w:color w:val="0D0D0D"/>
          <w:sz w:val="24"/>
          <w:szCs w:val="24"/>
          <w:lang w:eastAsia="en-IN"/>
        </w:rPr>
        <w:t>photostable fluorochromes and antibody conjugation kits</w:t>
      </w:r>
      <w:r w:rsidRPr="00593186">
        <w:rPr>
          <w:rFonts w:ascii="Segoe UI" w:eastAsia="Times New Roman" w:hAnsi="Segoe UI" w:cs="Segoe UI"/>
          <w:color w:val="0D0D0D"/>
          <w:sz w:val="24"/>
          <w:szCs w:val="24"/>
          <w:lang w:eastAsia="en-IN"/>
        </w:rPr>
        <w:t>, tailored to both manual and automated platforms. Merck also plays a role in enabling next-gen diagnostics by funding R&amp;D in </w:t>
      </w:r>
      <w:proofErr w:type="spellStart"/>
      <w:r w:rsidRPr="00593186">
        <w:rPr>
          <w:rFonts w:ascii="Segoe UI" w:eastAsia="Times New Roman" w:hAnsi="Segoe UI" w:cs="Segoe UI"/>
          <w:b/>
          <w:bCs/>
          <w:color w:val="0D0D0D"/>
          <w:sz w:val="24"/>
          <w:szCs w:val="24"/>
          <w:lang w:eastAsia="en-IN"/>
        </w:rPr>
        <w:t>biosignal</w:t>
      </w:r>
      <w:proofErr w:type="spellEnd"/>
      <w:r w:rsidRPr="00593186">
        <w:rPr>
          <w:rFonts w:ascii="Segoe UI" w:eastAsia="Times New Roman" w:hAnsi="Segoe UI" w:cs="Segoe UI"/>
          <w:b/>
          <w:bCs/>
          <w:color w:val="0D0D0D"/>
          <w:sz w:val="24"/>
          <w:szCs w:val="24"/>
          <w:lang w:eastAsia="en-IN"/>
        </w:rPr>
        <w:t xml:space="preserve"> amplification and antibody design</w:t>
      </w:r>
      <w:r w:rsidRPr="00593186">
        <w:rPr>
          <w:rFonts w:ascii="Segoe UI" w:eastAsia="Times New Roman" w:hAnsi="Segoe UI" w:cs="Segoe UI"/>
          <w:color w:val="0D0D0D"/>
          <w:sz w:val="24"/>
          <w:szCs w:val="24"/>
          <w:lang w:eastAsia="en-IN"/>
        </w:rPr>
        <w:t>.</w:t>
      </w:r>
    </w:p>
    <w:p w14:paraId="26C5E266"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 xml:space="preserve">6. PerkinElmer (now part of </w:t>
      </w:r>
      <w:proofErr w:type="spellStart"/>
      <w:r w:rsidRPr="00593186">
        <w:rPr>
          <w:rFonts w:ascii="Segoe UI" w:eastAsia="Times New Roman" w:hAnsi="Segoe UI" w:cs="Segoe UI"/>
          <w:b/>
          <w:bCs/>
          <w:color w:val="0D0D0D"/>
          <w:sz w:val="24"/>
          <w:szCs w:val="24"/>
          <w:lang w:eastAsia="en-IN"/>
        </w:rPr>
        <w:t>Revvity</w:t>
      </w:r>
      <w:proofErr w:type="spellEnd"/>
      <w:r w:rsidRPr="00593186">
        <w:rPr>
          <w:rFonts w:ascii="Segoe UI" w:eastAsia="Times New Roman" w:hAnsi="Segoe UI" w:cs="Segoe UI"/>
          <w:b/>
          <w:bCs/>
          <w:color w:val="0D0D0D"/>
          <w:sz w:val="24"/>
          <w:szCs w:val="24"/>
          <w:lang w:eastAsia="en-IN"/>
        </w:rPr>
        <w:t>)</w:t>
      </w:r>
    </w:p>
    <w:p w14:paraId="108B37A7"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PerkinElmer</w:t>
      </w:r>
      <w:r w:rsidRPr="00593186">
        <w:rPr>
          <w:rFonts w:ascii="Segoe UI" w:eastAsia="Times New Roman" w:hAnsi="Segoe UI" w:cs="Segoe UI"/>
          <w:color w:val="0D0D0D"/>
          <w:sz w:val="24"/>
          <w:szCs w:val="24"/>
          <w:lang w:eastAsia="en-IN"/>
        </w:rPr>
        <w:t>, now operating under the name </w:t>
      </w:r>
      <w:proofErr w:type="spellStart"/>
      <w:r w:rsidRPr="00593186">
        <w:rPr>
          <w:rFonts w:ascii="Segoe UI" w:eastAsia="Times New Roman" w:hAnsi="Segoe UI" w:cs="Segoe UI"/>
          <w:b/>
          <w:bCs/>
          <w:color w:val="0D0D0D"/>
          <w:sz w:val="24"/>
          <w:szCs w:val="24"/>
          <w:lang w:eastAsia="en-IN"/>
        </w:rPr>
        <w:t>Revvity</w:t>
      </w:r>
      <w:proofErr w:type="spellEnd"/>
      <w:r w:rsidRPr="00593186">
        <w:rPr>
          <w:rFonts w:ascii="Segoe UI" w:eastAsia="Times New Roman" w:hAnsi="Segoe UI" w:cs="Segoe UI"/>
          <w:color w:val="0D0D0D"/>
          <w:sz w:val="24"/>
          <w:szCs w:val="24"/>
          <w:lang w:eastAsia="en-IN"/>
        </w:rPr>
        <w:t>, is a growing player in the high-content screening (HCS) and immunofluorescence-based drug discovery sector. Its imaging systems, such as high-throughput confocal platforms, are widely used by biopharma companies. The firm’s emphasis on </w:t>
      </w:r>
      <w:r w:rsidRPr="00593186">
        <w:rPr>
          <w:rFonts w:ascii="Segoe UI" w:eastAsia="Times New Roman" w:hAnsi="Segoe UI" w:cs="Segoe UI"/>
          <w:b/>
          <w:bCs/>
          <w:color w:val="0D0D0D"/>
          <w:sz w:val="24"/>
          <w:szCs w:val="24"/>
          <w:lang w:eastAsia="en-IN"/>
        </w:rPr>
        <w:t>automated slide scanning and quantitative image analysis</w:t>
      </w:r>
      <w:r w:rsidRPr="00593186">
        <w:rPr>
          <w:rFonts w:ascii="Segoe UI" w:eastAsia="Times New Roman" w:hAnsi="Segoe UI" w:cs="Segoe UI"/>
          <w:color w:val="0D0D0D"/>
          <w:sz w:val="24"/>
          <w:szCs w:val="24"/>
          <w:lang w:eastAsia="en-IN"/>
        </w:rPr>
        <w:t> makes it a strategic choice for cell-based assay environments.</w:t>
      </w:r>
    </w:p>
    <w:p w14:paraId="47E2B7EA"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7. Agilent Technologies</w:t>
      </w:r>
    </w:p>
    <w:p w14:paraId="5FB67954"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Known for its strength in genomics and pathology tools, </w:t>
      </w:r>
      <w:r w:rsidRPr="00593186">
        <w:rPr>
          <w:rFonts w:ascii="Segoe UI" w:eastAsia="Times New Roman" w:hAnsi="Segoe UI" w:cs="Segoe UI"/>
          <w:b/>
          <w:bCs/>
          <w:color w:val="0D0D0D"/>
          <w:sz w:val="24"/>
          <w:szCs w:val="24"/>
          <w:lang w:eastAsia="en-IN"/>
        </w:rPr>
        <w:t>Agilent Technologies</w:t>
      </w:r>
      <w:r w:rsidRPr="00593186">
        <w:rPr>
          <w:rFonts w:ascii="Segoe UI" w:eastAsia="Times New Roman" w:hAnsi="Segoe UI" w:cs="Segoe UI"/>
          <w:color w:val="0D0D0D"/>
          <w:sz w:val="24"/>
          <w:szCs w:val="24"/>
          <w:lang w:eastAsia="en-IN"/>
        </w:rPr>
        <w:t> is carving a niche in </w:t>
      </w:r>
      <w:r w:rsidRPr="00593186">
        <w:rPr>
          <w:rFonts w:ascii="Segoe UI" w:eastAsia="Times New Roman" w:hAnsi="Segoe UI" w:cs="Segoe UI"/>
          <w:b/>
          <w:bCs/>
          <w:color w:val="0D0D0D"/>
          <w:sz w:val="24"/>
          <w:szCs w:val="24"/>
          <w:lang w:eastAsia="en-IN"/>
        </w:rPr>
        <w:t>tissue-based immunofluorescence</w:t>
      </w:r>
      <w:r w:rsidRPr="00593186">
        <w:rPr>
          <w:rFonts w:ascii="Segoe UI" w:eastAsia="Times New Roman" w:hAnsi="Segoe UI" w:cs="Segoe UI"/>
          <w:color w:val="0D0D0D"/>
          <w:sz w:val="24"/>
          <w:szCs w:val="24"/>
          <w:lang w:eastAsia="en-IN"/>
        </w:rPr>
        <w:t> through optimized antibody panels and imaging workflow solutions. Recent efforts have focused on expanding its </w:t>
      </w:r>
      <w:r w:rsidRPr="00593186">
        <w:rPr>
          <w:rFonts w:ascii="Segoe UI" w:eastAsia="Times New Roman" w:hAnsi="Segoe UI" w:cs="Segoe UI"/>
          <w:b/>
          <w:bCs/>
          <w:color w:val="0D0D0D"/>
          <w:sz w:val="24"/>
          <w:szCs w:val="24"/>
          <w:lang w:eastAsia="en-IN"/>
        </w:rPr>
        <w:t>cross-application compatibility</w:t>
      </w:r>
      <w:r w:rsidRPr="00593186">
        <w:rPr>
          <w:rFonts w:ascii="Segoe UI" w:eastAsia="Times New Roman" w:hAnsi="Segoe UI" w:cs="Segoe UI"/>
          <w:color w:val="0D0D0D"/>
          <w:sz w:val="24"/>
          <w:szCs w:val="24"/>
          <w:lang w:eastAsia="en-IN"/>
        </w:rPr>
        <w:t>, enabling seamless switching between IHC, IF, and ISH modalities—a critical need in multi-modal diagnostics.</w:t>
      </w:r>
    </w:p>
    <w:p w14:paraId="765965E0"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Each of these companies brings differentiated capabilities to the market. Some focus on high-fidelity antibody production, while others are pushing the envelope on automation and data analytics. </w:t>
      </w:r>
      <w:r w:rsidRPr="00593186">
        <w:rPr>
          <w:rFonts w:ascii="Segoe UI" w:eastAsia="Times New Roman" w:hAnsi="Segoe UI" w:cs="Segoe UI"/>
          <w:i/>
          <w:iCs/>
          <w:color w:val="0D0D0D"/>
          <w:sz w:val="24"/>
          <w:szCs w:val="24"/>
          <w:lang w:eastAsia="en-IN"/>
        </w:rPr>
        <w:t>As personalized medicine advances, competitive leadership will increasingly depend on platform integration, cloud connectivity, and regulatory readiness for clinical-grade immunofluorescence tools.</w:t>
      </w:r>
    </w:p>
    <w:p w14:paraId="1889F2AD" w14:textId="77777777" w:rsidR="00593186" w:rsidRPr="00593186" w:rsidRDefault="00593186" w:rsidP="00593186">
      <w:pPr>
        <w:shd w:val="clear" w:color="auto" w:fill="FFFFFF"/>
        <w:spacing w:after="0" w:line="240" w:lineRule="auto"/>
        <w:outlineLvl w:val="2"/>
        <w:rPr>
          <w:rFonts w:ascii="Segoe UI" w:eastAsia="Times New Roman" w:hAnsi="Segoe UI" w:cs="Segoe UI"/>
          <w:b/>
          <w:bCs/>
          <w:color w:val="0D0D0D"/>
          <w:sz w:val="30"/>
          <w:szCs w:val="30"/>
          <w:lang w:eastAsia="en-IN"/>
        </w:rPr>
      </w:pPr>
      <w:r w:rsidRPr="00593186">
        <w:rPr>
          <w:rFonts w:ascii="Segoe UI" w:eastAsia="Times New Roman" w:hAnsi="Segoe UI" w:cs="Segoe UI"/>
          <w:b/>
          <w:bCs/>
          <w:color w:val="0D0D0D"/>
          <w:sz w:val="30"/>
          <w:szCs w:val="30"/>
          <w:lang w:eastAsia="en-IN"/>
        </w:rPr>
        <w:t>5. Regional Landscape and Adoption Outlook</w:t>
      </w:r>
    </w:p>
    <w:p w14:paraId="7F2F8779"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The global immunofluorescence assay market demonstrates varying maturity levels, regulatory frameworks, and infrastructure quality across key geographies. While </w:t>
      </w:r>
      <w:r w:rsidRPr="00593186">
        <w:rPr>
          <w:rFonts w:ascii="Segoe UI" w:eastAsia="Times New Roman" w:hAnsi="Segoe UI" w:cs="Segoe UI"/>
          <w:b/>
          <w:bCs/>
          <w:color w:val="0D0D0D"/>
          <w:sz w:val="24"/>
          <w:szCs w:val="24"/>
          <w:lang w:eastAsia="en-IN"/>
        </w:rPr>
        <w:t>North America</w:t>
      </w:r>
      <w:r w:rsidRPr="00593186">
        <w:rPr>
          <w:rFonts w:ascii="Segoe UI" w:eastAsia="Times New Roman" w:hAnsi="Segoe UI" w:cs="Segoe UI"/>
          <w:color w:val="0D0D0D"/>
          <w:sz w:val="24"/>
          <w:szCs w:val="24"/>
          <w:lang w:eastAsia="en-IN"/>
        </w:rPr>
        <w:t> and </w:t>
      </w:r>
      <w:r w:rsidRPr="00593186">
        <w:rPr>
          <w:rFonts w:ascii="Segoe UI" w:eastAsia="Times New Roman" w:hAnsi="Segoe UI" w:cs="Segoe UI"/>
          <w:b/>
          <w:bCs/>
          <w:color w:val="0D0D0D"/>
          <w:sz w:val="24"/>
          <w:szCs w:val="24"/>
          <w:lang w:eastAsia="en-IN"/>
        </w:rPr>
        <w:t>Europe</w:t>
      </w:r>
      <w:r w:rsidRPr="00593186">
        <w:rPr>
          <w:rFonts w:ascii="Segoe UI" w:eastAsia="Times New Roman" w:hAnsi="Segoe UI" w:cs="Segoe UI"/>
          <w:color w:val="0D0D0D"/>
          <w:sz w:val="24"/>
          <w:szCs w:val="24"/>
          <w:lang w:eastAsia="en-IN"/>
        </w:rPr>
        <w:t> lead in adoption due to well-established healthcare systems and research ecosystems, </w:t>
      </w:r>
      <w:r w:rsidRPr="00593186">
        <w:rPr>
          <w:rFonts w:ascii="Segoe UI" w:eastAsia="Times New Roman" w:hAnsi="Segoe UI" w:cs="Segoe UI"/>
          <w:b/>
          <w:bCs/>
          <w:color w:val="0D0D0D"/>
          <w:sz w:val="24"/>
          <w:szCs w:val="24"/>
          <w:lang w:eastAsia="en-IN"/>
        </w:rPr>
        <w:t>Asia Pacific</w:t>
      </w:r>
      <w:r w:rsidRPr="00593186">
        <w:rPr>
          <w:rFonts w:ascii="Segoe UI" w:eastAsia="Times New Roman" w:hAnsi="Segoe UI" w:cs="Segoe UI"/>
          <w:color w:val="0D0D0D"/>
          <w:sz w:val="24"/>
          <w:szCs w:val="24"/>
          <w:lang w:eastAsia="en-IN"/>
        </w:rPr>
        <w:t> is emerging as a high-</w:t>
      </w:r>
      <w:r w:rsidRPr="00593186">
        <w:rPr>
          <w:rFonts w:ascii="Segoe UI" w:eastAsia="Times New Roman" w:hAnsi="Segoe UI" w:cs="Segoe UI"/>
          <w:color w:val="0D0D0D"/>
          <w:sz w:val="24"/>
          <w:szCs w:val="24"/>
          <w:lang w:eastAsia="en-IN"/>
        </w:rPr>
        <w:lastRenderedPageBreak/>
        <w:t>growth market, driven by expanding diagnostic capabilities and government-funded life sciences programs.</w:t>
      </w:r>
    </w:p>
    <w:p w14:paraId="5D6D28BD"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North America</w:t>
      </w:r>
    </w:p>
    <w:p w14:paraId="3FC0B732"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North America</w:t>
      </w:r>
      <w:r w:rsidRPr="00593186">
        <w:rPr>
          <w:rFonts w:ascii="Segoe UI" w:eastAsia="Times New Roman" w:hAnsi="Segoe UI" w:cs="Segoe UI"/>
          <w:color w:val="0D0D0D"/>
          <w:sz w:val="24"/>
          <w:szCs w:val="24"/>
          <w:lang w:eastAsia="en-IN"/>
        </w:rPr>
        <w:t>, particularly the </w:t>
      </w:r>
      <w:r w:rsidRPr="00593186">
        <w:rPr>
          <w:rFonts w:ascii="Segoe UI" w:eastAsia="Times New Roman" w:hAnsi="Segoe UI" w:cs="Segoe UI"/>
          <w:b/>
          <w:bCs/>
          <w:color w:val="0D0D0D"/>
          <w:sz w:val="24"/>
          <w:szCs w:val="24"/>
          <w:lang w:eastAsia="en-IN"/>
        </w:rPr>
        <w:t>United States</w:t>
      </w:r>
      <w:r w:rsidRPr="00593186">
        <w:rPr>
          <w:rFonts w:ascii="Segoe UI" w:eastAsia="Times New Roman" w:hAnsi="Segoe UI" w:cs="Segoe UI"/>
          <w:color w:val="0D0D0D"/>
          <w:sz w:val="24"/>
          <w:szCs w:val="24"/>
          <w:lang w:eastAsia="en-IN"/>
        </w:rPr>
        <w:t>, represents the largest regional market in 2024, accounting for nearly </w:t>
      </w:r>
      <w:r w:rsidRPr="00593186">
        <w:rPr>
          <w:rFonts w:ascii="Segoe UI" w:eastAsia="Times New Roman" w:hAnsi="Segoe UI" w:cs="Segoe UI"/>
          <w:b/>
          <w:bCs/>
          <w:color w:val="0D0D0D"/>
          <w:sz w:val="24"/>
          <w:szCs w:val="24"/>
          <w:lang w:eastAsia="en-IN"/>
        </w:rPr>
        <w:t>38% of global revenue</w:t>
      </w:r>
      <w:r w:rsidRPr="00593186">
        <w:rPr>
          <w:rFonts w:ascii="Segoe UI" w:eastAsia="Times New Roman" w:hAnsi="Segoe UI" w:cs="Segoe UI"/>
          <w:color w:val="0D0D0D"/>
          <w:sz w:val="24"/>
          <w:szCs w:val="24"/>
          <w:lang w:eastAsia="en-IN"/>
        </w:rPr>
        <w:t>. This dominance is underpinned by:</w:t>
      </w:r>
    </w:p>
    <w:p w14:paraId="5F40DF84" w14:textId="77777777" w:rsidR="00593186" w:rsidRPr="00593186" w:rsidRDefault="00593186" w:rsidP="00593186">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A high burden of autoimmune and oncological diseases</w:t>
      </w:r>
    </w:p>
    <w:p w14:paraId="56CBA970" w14:textId="77777777" w:rsidR="00593186" w:rsidRPr="00593186" w:rsidRDefault="00593186" w:rsidP="00593186">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Widespread use of laboratory-developed tests (LDTs) in clinical labs</w:t>
      </w:r>
    </w:p>
    <w:p w14:paraId="5E300966" w14:textId="77777777" w:rsidR="00593186" w:rsidRPr="00593186" w:rsidRDefault="00593186" w:rsidP="00593186">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Access to advanced immunofluorescence platforms and digital pathology tools</w:t>
      </w:r>
    </w:p>
    <w:p w14:paraId="73E5747B"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The region also benefits from </w:t>
      </w:r>
      <w:r w:rsidRPr="00593186">
        <w:rPr>
          <w:rFonts w:ascii="Segoe UI" w:eastAsia="Times New Roman" w:hAnsi="Segoe UI" w:cs="Segoe UI"/>
          <w:b/>
          <w:bCs/>
          <w:color w:val="0D0D0D"/>
          <w:sz w:val="24"/>
          <w:szCs w:val="24"/>
          <w:lang w:eastAsia="en-IN"/>
        </w:rPr>
        <w:t>strong funding by NIH</w:t>
      </w:r>
      <w:r w:rsidRPr="00593186">
        <w:rPr>
          <w:rFonts w:ascii="Segoe UI" w:eastAsia="Times New Roman" w:hAnsi="Segoe UI" w:cs="Segoe UI"/>
          <w:color w:val="0D0D0D"/>
          <w:sz w:val="24"/>
          <w:szCs w:val="24"/>
          <w:lang w:eastAsia="en-IN"/>
        </w:rPr>
        <w:t>, private equity, and biopharma investment in immuno-oncology. Leading academic institutions and CROs regularly employ multiplex IFA in biomarker discovery and clinical trials. </w:t>
      </w:r>
      <w:r w:rsidRPr="00593186">
        <w:rPr>
          <w:rFonts w:ascii="Segoe UI" w:eastAsia="Times New Roman" w:hAnsi="Segoe UI" w:cs="Segoe UI"/>
          <w:i/>
          <w:iCs/>
          <w:color w:val="0D0D0D"/>
          <w:sz w:val="24"/>
          <w:szCs w:val="24"/>
          <w:lang w:eastAsia="en-IN"/>
        </w:rPr>
        <w:t>The U.S. also leads in regulatory readiness, with a structured FDA approval pathway for assay components, enhancing trust in clinical-grade implementations.</w:t>
      </w:r>
    </w:p>
    <w:p w14:paraId="44B27823"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Europe</w:t>
      </w:r>
    </w:p>
    <w:p w14:paraId="0DB7AE76"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Europe</w:t>
      </w:r>
      <w:r w:rsidRPr="00593186">
        <w:rPr>
          <w:rFonts w:ascii="Segoe UI" w:eastAsia="Times New Roman" w:hAnsi="Segoe UI" w:cs="Segoe UI"/>
          <w:color w:val="0D0D0D"/>
          <w:sz w:val="24"/>
          <w:szCs w:val="24"/>
          <w:lang w:eastAsia="en-IN"/>
        </w:rPr>
        <w:t> is the second-largest region, led by </w:t>
      </w:r>
      <w:r w:rsidRPr="00593186">
        <w:rPr>
          <w:rFonts w:ascii="Segoe UI" w:eastAsia="Times New Roman" w:hAnsi="Segoe UI" w:cs="Segoe UI"/>
          <w:b/>
          <w:bCs/>
          <w:color w:val="0D0D0D"/>
          <w:sz w:val="24"/>
          <w:szCs w:val="24"/>
          <w:lang w:eastAsia="en-IN"/>
        </w:rPr>
        <w:t>Germany, the UK, and France</w:t>
      </w:r>
      <w:r w:rsidRPr="00593186">
        <w:rPr>
          <w:rFonts w:ascii="Segoe UI" w:eastAsia="Times New Roman" w:hAnsi="Segoe UI" w:cs="Segoe UI"/>
          <w:color w:val="0D0D0D"/>
          <w:sz w:val="24"/>
          <w:szCs w:val="24"/>
          <w:lang w:eastAsia="en-IN"/>
        </w:rPr>
        <w:t>. The region is characterized by:</w:t>
      </w:r>
    </w:p>
    <w:p w14:paraId="5AAC8CE1" w14:textId="77777777" w:rsidR="00593186" w:rsidRPr="00593186" w:rsidRDefault="00593186" w:rsidP="00593186">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Robust public healthcare reimbursement systems</w:t>
      </w:r>
    </w:p>
    <w:p w14:paraId="28A56D6E" w14:textId="77777777" w:rsidR="00593186" w:rsidRPr="00593186" w:rsidRDefault="00593186" w:rsidP="00593186">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Large-scale adoption of automated slide staining platforms in pathology labs</w:t>
      </w:r>
    </w:p>
    <w:p w14:paraId="6D63D8B2" w14:textId="77777777" w:rsidR="00593186" w:rsidRPr="00593186" w:rsidRDefault="00593186" w:rsidP="00593186">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Growth in cancer screening programs across national health services</w:t>
      </w:r>
    </w:p>
    <w:p w14:paraId="2A7D064C"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Germany is particularly aggressive in adopting </w:t>
      </w:r>
      <w:r w:rsidRPr="00593186">
        <w:rPr>
          <w:rFonts w:ascii="Segoe UI" w:eastAsia="Times New Roman" w:hAnsi="Segoe UI" w:cs="Segoe UI"/>
          <w:b/>
          <w:bCs/>
          <w:color w:val="0D0D0D"/>
          <w:sz w:val="24"/>
          <w:szCs w:val="24"/>
          <w:lang w:eastAsia="en-IN"/>
        </w:rPr>
        <w:t>standardized autoantibody panels</w:t>
      </w:r>
      <w:r w:rsidRPr="00593186">
        <w:rPr>
          <w:rFonts w:ascii="Segoe UI" w:eastAsia="Times New Roman" w:hAnsi="Segoe UI" w:cs="Segoe UI"/>
          <w:color w:val="0D0D0D"/>
          <w:sz w:val="24"/>
          <w:szCs w:val="24"/>
          <w:lang w:eastAsia="en-IN"/>
        </w:rPr>
        <w:t> using IFA for systemic autoimmune disease diagnosis. Meanwhile, EU-funded initiatives continue to promote </w:t>
      </w:r>
      <w:r w:rsidRPr="00593186">
        <w:rPr>
          <w:rFonts w:ascii="Segoe UI" w:eastAsia="Times New Roman" w:hAnsi="Segoe UI" w:cs="Segoe UI"/>
          <w:b/>
          <w:bCs/>
          <w:color w:val="0D0D0D"/>
          <w:sz w:val="24"/>
          <w:szCs w:val="24"/>
          <w:lang w:eastAsia="en-IN"/>
        </w:rPr>
        <w:t>translational research</w:t>
      </w:r>
      <w:r w:rsidRPr="00593186">
        <w:rPr>
          <w:rFonts w:ascii="Segoe UI" w:eastAsia="Times New Roman" w:hAnsi="Segoe UI" w:cs="Segoe UI"/>
          <w:color w:val="0D0D0D"/>
          <w:sz w:val="24"/>
          <w:szCs w:val="24"/>
          <w:lang w:eastAsia="en-IN"/>
        </w:rPr>
        <w:t>, enabling technology transfer from bench to bedside.</w:t>
      </w:r>
    </w:p>
    <w:p w14:paraId="19675F2A" w14:textId="77777777" w:rsidR="00593186" w:rsidRPr="00593186" w:rsidRDefault="00593186" w:rsidP="00593186">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However, fragmentation in lab testing standards and varying reimbursement codes pose mild adoption challenges across Eastern Europe.</w:t>
      </w:r>
    </w:p>
    <w:p w14:paraId="2DBA81A9"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Asia Pacific</w:t>
      </w:r>
    </w:p>
    <w:p w14:paraId="670CFB19"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Asia Pacific</w:t>
      </w:r>
      <w:r w:rsidRPr="00593186">
        <w:rPr>
          <w:rFonts w:ascii="Segoe UI" w:eastAsia="Times New Roman" w:hAnsi="Segoe UI" w:cs="Segoe UI"/>
          <w:color w:val="0D0D0D"/>
          <w:sz w:val="24"/>
          <w:szCs w:val="24"/>
          <w:lang w:eastAsia="en-IN"/>
        </w:rPr>
        <w:t> is the </w:t>
      </w:r>
      <w:r w:rsidRPr="00593186">
        <w:rPr>
          <w:rFonts w:ascii="Segoe UI" w:eastAsia="Times New Roman" w:hAnsi="Segoe UI" w:cs="Segoe UI"/>
          <w:b/>
          <w:bCs/>
          <w:color w:val="0D0D0D"/>
          <w:sz w:val="24"/>
          <w:szCs w:val="24"/>
          <w:lang w:eastAsia="en-IN"/>
        </w:rPr>
        <w:t>fastest-growing region</w:t>
      </w:r>
      <w:r w:rsidRPr="00593186">
        <w:rPr>
          <w:rFonts w:ascii="Segoe UI" w:eastAsia="Times New Roman" w:hAnsi="Segoe UI" w:cs="Segoe UI"/>
          <w:color w:val="0D0D0D"/>
          <w:sz w:val="24"/>
          <w:szCs w:val="24"/>
          <w:lang w:eastAsia="en-IN"/>
        </w:rPr>
        <w:t>, projected to grow at a </w:t>
      </w:r>
      <w:r w:rsidRPr="00593186">
        <w:rPr>
          <w:rFonts w:ascii="Segoe UI" w:eastAsia="Times New Roman" w:hAnsi="Segoe UI" w:cs="Segoe UI"/>
          <w:b/>
          <w:bCs/>
          <w:color w:val="0D0D0D"/>
          <w:sz w:val="24"/>
          <w:szCs w:val="24"/>
          <w:lang w:eastAsia="en-IN"/>
        </w:rPr>
        <w:t>CAGR exceeding 9%</w:t>
      </w:r>
      <w:r w:rsidRPr="00593186">
        <w:rPr>
          <w:rFonts w:ascii="Segoe UI" w:eastAsia="Times New Roman" w:hAnsi="Segoe UI" w:cs="Segoe UI"/>
          <w:color w:val="0D0D0D"/>
          <w:sz w:val="24"/>
          <w:szCs w:val="24"/>
          <w:lang w:eastAsia="en-IN"/>
        </w:rPr>
        <w:t> from 2024 to 2030. Countries such as </w:t>
      </w:r>
      <w:r w:rsidRPr="00593186">
        <w:rPr>
          <w:rFonts w:ascii="Segoe UI" w:eastAsia="Times New Roman" w:hAnsi="Segoe UI" w:cs="Segoe UI"/>
          <w:b/>
          <w:bCs/>
          <w:color w:val="0D0D0D"/>
          <w:sz w:val="24"/>
          <w:szCs w:val="24"/>
          <w:lang w:eastAsia="en-IN"/>
        </w:rPr>
        <w:t>China, India, Japan</w:t>
      </w:r>
      <w:r w:rsidRPr="00593186">
        <w:rPr>
          <w:rFonts w:ascii="Segoe UI" w:eastAsia="Times New Roman" w:hAnsi="Segoe UI" w:cs="Segoe UI"/>
          <w:color w:val="0D0D0D"/>
          <w:sz w:val="24"/>
          <w:szCs w:val="24"/>
          <w:lang w:eastAsia="en-IN"/>
        </w:rPr>
        <w:t>, and </w:t>
      </w:r>
      <w:r w:rsidRPr="00593186">
        <w:rPr>
          <w:rFonts w:ascii="Segoe UI" w:eastAsia="Times New Roman" w:hAnsi="Segoe UI" w:cs="Segoe UI"/>
          <w:b/>
          <w:bCs/>
          <w:color w:val="0D0D0D"/>
          <w:sz w:val="24"/>
          <w:szCs w:val="24"/>
          <w:lang w:eastAsia="en-IN"/>
        </w:rPr>
        <w:t>South Korea</w:t>
      </w:r>
      <w:r w:rsidRPr="00593186">
        <w:rPr>
          <w:rFonts w:ascii="Segoe UI" w:eastAsia="Times New Roman" w:hAnsi="Segoe UI" w:cs="Segoe UI"/>
          <w:color w:val="0D0D0D"/>
          <w:sz w:val="24"/>
          <w:szCs w:val="24"/>
          <w:lang w:eastAsia="en-IN"/>
        </w:rPr>
        <w:t> are leading the charge due to:</w:t>
      </w:r>
    </w:p>
    <w:p w14:paraId="7809CB97" w14:textId="77777777" w:rsidR="00593186" w:rsidRPr="00593186" w:rsidRDefault="00593186" w:rsidP="00593186">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Rapid expansion of diagnostic laboratory networks</w:t>
      </w:r>
    </w:p>
    <w:p w14:paraId="2AD45412" w14:textId="77777777" w:rsidR="00593186" w:rsidRPr="00593186" w:rsidRDefault="00593186" w:rsidP="00593186">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Increasing chronic disease burden</w:t>
      </w:r>
    </w:p>
    <w:p w14:paraId="2EAA05E4" w14:textId="77777777" w:rsidR="00593186" w:rsidRPr="00593186" w:rsidRDefault="00593186" w:rsidP="00593186">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lastRenderedPageBreak/>
        <w:t>Public and private investments in molecular diagnostics and biosciences</w:t>
      </w:r>
    </w:p>
    <w:p w14:paraId="4BB0BD04"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i/>
          <w:iCs/>
          <w:color w:val="0D0D0D"/>
          <w:sz w:val="24"/>
          <w:szCs w:val="24"/>
          <w:lang w:eastAsia="en-IN"/>
        </w:rPr>
        <w:t>China has prioritized IFA technologies in its “Healthy China 2030” policy agenda</w:t>
      </w:r>
      <w:r w:rsidRPr="00593186">
        <w:rPr>
          <w:rFonts w:ascii="Segoe UI" w:eastAsia="Times New Roman" w:hAnsi="Segoe UI" w:cs="Segoe UI"/>
          <w:color w:val="0D0D0D"/>
          <w:sz w:val="24"/>
          <w:szCs w:val="24"/>
          <w:lang w:eastAsia="en-IN"/>
        </w:rPr>
        <w:t>, focusing on cancer and infectious disease screening. Similarly, India’s government-supported diagnostic schemes (e.g., Ayushman Bharat) are expanding access to fluorescence-based screening tools, especially in urban tertiary care hospitals.</w:t>
      </w:r>
    </w:p>
    <w:p w14:paraId="56501D57" w14:textId="77777777" w:rsidR="00593186" w:rsidRPr="00593186" w:rsidRDefault="00593186" w:rsidP="00593186">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Japan and South Korea are mature markets with high-tech adoption, particularly in neuroscience and oncology research. However, local validation requirements and reagent import dependencies remain bottlenecks in certain APAC markets.</w:t>
      </w:r>
    </w:p>
    <w:p w14:paraId="5A82791B"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LAMEA (Latin America, Middle East &amp; Africa)</w:t>
      </w:r>
    </w:p>
    <w:p w14:paraId="5A6CED3B"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The </w:t>
      </w:r>
      <w:r w:rsidRPr="00593186">
        <w:rPr>
          <w:rFonts w:ascii="Segoe UI" w:eastAsia="Times New Roman" w:hAnsi="Segoe UI" w:cs="Segoe UI"/>
          <w:b/>
          <w:bCs/>
          <w:color w:val="0D0D0D"/>
          <w:sz w:val="24"/>
          <w:szCs w:val="24"/>
          <w:lang w:eastAsia="en-IN"/>
        </w:rPr>
        <w:t>LAMEA</w:t>
      </w:r>
      <w:r w:rsidRPr="00593186">
        <w:rPr>
          <w:rFonts w:ascii="Segoe UI" w:eastAsia="Times New Roman" w:hAnsi="Segoe UI" w:cs="Segoe UI"/>
          <w:color w:val="0D0D0D"/>
          <w:sz w:val="24"/>
          <w:szCs w:val="24"/>
          <w:lang w:eastAsia="en-IN"/>
        </w:rPr>
        <w:t> region holds untapped potential but remains underpenetrated due to limited infrastructure, import dependence, and regulatory inconsistencies. Brazil leads Latin America in academic immunology research, while </w:t>
      </w:r>
      <w:r w:rsidRPr="00593186">
        <w:rPr>
          <w:rFonts w:ascii="Segoe UI" w:eastAsia="Times New Roman" w:hAnsi="Segoe UI" w:cs="Segoe UI"/>
          <w:b/>
          <w:bCs/>
          <w:color w:val="0D0D0D"/>
          <w:sz w:val="24"/>
          <w:szCs w:val="24"/>
          <w:lang w:eastAsia="en-IN"/>
        </w:rPr>
        <w:t>UAE and Saudi Arabia</w:t>
      </w:r>
      <w:r w:rsidRPr="00593186">
        <w:rPr>
          <w:rFonts w:ascii="Segoe UI" w:eastAsia="Times New Roman" w:hAnsi="Segoe UI" w:cs="Segoe UI"/>
          <w:color w:val="0D0D0D"/>
          <w:sz w:val="24"/>
          <w:szCs w:val="24"/>
          <w:lang w:eastAsia="en-IN"/>
        </w:rPr>
        <w:t> are investing in diagnostic modernization as part of national health transformation programs.</w:t>
      </w:r>
    </w:p>
    <w:p w14:paraId="1FD5C3E8"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i/>
          <w:iCs/>
          <w:color w:val="0D0D0D"/>
          <w:sz w:val="24"/>
          <w:szCs w:val="24"/>
          <w:lang w:eastAsia="en-IN"/>
        </w:rPr>
        <w:t>In Africa, initiatives by global health alliances are introducing simplified, portable IFA kits for disease surveillance (e.g., for malaria and HIV), although affordability and training remain critical constraints.</w:t>
      </w:r>
    </w:p>
    <w:p w14:paraId="66C95C18"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Regional White Space &amp; Strategic Focus</w:t>
      </w:r>
    </w:p>
    <w:p w14:paraId="55DEE321" w14:textId="77777777" w:rsidR="00593186" w:rsidRPr="00593186" w:rsidRDefault="00593186" w:rsidP="00593186">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Africa and rural Southeast Asia</w:t>
      </w:r>
      <w:r w:rsidRPr="00593186">
        <w:rPr>
          <w:rFonts w:ascii="Segoe UI" w:eastAsia="Times New Roman" w:hAnsi="Segoe UI" w:cs="Segoe UI"/>
          <w:color w:val="0D0D0D"/>
          <w:sz w:val="24"/>
          <w:szCs w:val="24"/>
          <w:lang w:eastAsia="en-IN"/>
        </w:rPr>
        <w:t> present white space for </w:t>
      </w:r>
      <w:r w:rsidRPr="00593186">
        <w:rPr>
          <w:rFonts w:ascii="Segoe UI" w:eastAsia="Times New Roman" w:hAnsi="Segoe UI" w:cs="Segoe UI"/>
          <w:b/>
          <w:bCs/>
          <w:color w:val="0D0D0D"/>
          <w:sz w:val="24"/>
          <w:szCs w:val="24"/>
          <w:lang w:eastAsia="en-IN"/>
        </w:rPr>
        <w:t>low-cost, point-of-care IFA devices</w:t>
      </w:r>
    </w:p>
    <w:p w14:paraId="62BC3DBB" w14:textId="77777777" w:rsidR="00593186" w:rsidRPr="00593186" w:rsidRDefault="00593186" w:rsidP="00593186">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Eastern Europe and Latin America</w:t>
      </w:r>
      <w:r w:rsidRPr="00593186">
        <w:rPr>
          <w:rFonts w:ascii="Segoe UI" w:eastAsia="Times New Roman" w:hAnsi="Segoe UI" w:cs="Segoe UI"/>
          <w:color w:val="0D0D0D"/>
          <w:sz w:val="24"/>
          <w:szCs w:val="24"/>
          <w:lang w:eastAsia="en-IN"/>
        </w:rPr>
        <w:t> offer potential for </w:t>
      </w:r>
      <w:r w:rsidRPr="00593186">
        <w:rPr>
          <w:rFonts w:ascii="Segoe UI" w:eastAsia="Times New Roman" w:hAnsi="Segoe UI" w:cs="Segoe UI"/>
          <w:b/>
          <w:bCs/>
          <w:color w:val="0D0D0D"/>
          <w:sz w:val="24"/>
          <w:szCs w:val="24"/>
          <w:lang w:eastAsia="en-IN"/>
        </w:rPr>
        <w:t>localized reagent production</w:t>
      </w:r>
      <w:r w:rsidRPr="00593186">
        <w:rPr>
          <w:rFonts w:ascii="Segoe UI" w:eastAsia="Times New Roman" w:hAnsi="Segoe UI" w:cs="Segoe UI"/>
          <w:color w:val="0D0D0D"/>
          <w:sz w:val="24"/>
          <w:szCs w:val="24"/>
          <w:lang w:eastAsia="en-IN"/>
        </w:rPr>
        <w:t> to reduce cost and improve turnaround time</w:t>
      </w:r>
    </w:p>
    <w:p w14:paraId="6A99197B" w14:textId="77777777" w:rsidR="00593186" w:rsidRPr="00593186" w:rsidRDefault="00593186" w:rsidP="00593186">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Cloud-integrated digital pathology</w:t>
      </w:r>
      <w:r w:rsidRPr="00593186">
        <w:rPr>
          <w:rFonts w:ascii="Segoe UI" w:eastAsia="Times New Roman" w:hAnsi="Segoe UI" w:cs="Segoe UI"/>
          <w:color w:val="0D0D0D"/>
          <w:sz w:val="24"/>
          <w:szCs w:val="24"/>
          <w:lang w:eastAsia="en-IN"/>
        </w:rPr>
        <w:t> is a major opportunity in </w:t>
      </w:r>
      <w:r w:rsidRPr="00593186">
        <w:rPr>
          <w:rFonts w:ascii="Segoe UI" w:eastAsia="Times New Roman" w:hAnsi="Segoe UI" w:cs="Segoe UI"/>
          <w:b/>
          <w:bCs/>
          <w:color w:val="0D0D0D"/>
          <w:sz w:val="24"/>
          <w:szCs w:val="24"/>
          <w:lang w:eastAsia="en-IN"/>
        </w:rPr>
        <w:t>Asia Pacific</w:t>
      </w:r>
      <w:r w:rsidRPr="00593186">
        <w:rPr>
          <w:rFonts w:ascii="Segoe UI" w:eastAsia="Times New Roman" w:hAnsi="Segoe UI" w:cs="Segoe UI"/>
          <w:color w:val="0D0D0D"/>
          <w:sz w:val="24"/>
          <w:szCs w:val="24"/>
          <w:lang w:eastAsia="en-IN"/>
        </w:rPr>
        <w:t>, where centralized analysis can offset local talent shortages</w:t>
      </w:r>
    </w:p>
    <w:p w14:paraId="0E7368C4" w14:textId="77777777" w:rsidR="00593186" w:rsidRPr="00593186" w:rsidRDefault="00593186" w:rsidP="00593186">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Overall, regional strategies must align with disease prevalence, healthcare infrastructure, and government priorities to unlock sustained growth.</w:t>
      </w:r>
    </w:p>
    <w:p w14:paraId="42F63D0C" w14:textId="77777777" w:rsidR="00593186" w:rsidRPr="00593186" w:rsidRDefault="00593186" w:rsidP="00593186">
      <w:pPr>
        <w:shd w:val="clear" w:color="auto" w:fill="FFFFFF"/>
        <w:spacing w:after="0" w:line="240" w:lineRule="auto"/>
        <w:outlineLvl w:val="2"/>
        <w:rPr>
          <w:rFonts w:ascii="Segoe UI" w:eastAsia="Times New Roman" w:hAnsi="Segoe UI" w:cs="Segoe UI"/>
          <w:b/>
          <w:bCs/>
          <w:color w:val="0D0D0D"/>
          <w:sz w:val="30"/>
          <w:szCs w:val="30"/>
          <w:lang w:eastAsia="en-IN"/>
        </w:rPr>
      </w:pPr>
      <w:r w:rsidRPr="00593186">
        <w:rPr>
          <w:rFonts w:ascii="Segoe UI" w:eastAsia="Times New Roman" w:hAnsi="Segoe UI" w:cs="Segoe UI"/>
          <w:b/>
          <w:bCs/>
          <w:color w:val="0D0D0D"/>
          <w:sz w:val="30"/>
          <w:szCs w:val="30"/>
          <w:lang w:eastAsia="en-IN"/>
        </w:rPr>
        <w:t>6. End-User Dynamics and Use Case</w:t>
      </w:r>
    </w:p>
    <w:p w14:paraId="7B90CBD3" w14:textId="77777777" w:rsidR="00593186" w:rsidRPr="00593186" w:rsidRDefault="00593186" w:rsidP="00593186">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The immunofluorescence assay (IFA) market serves a diverse set of end users, each with distinct operational demands and technological priorities. From high-throughput clinical labs to precision-focused research institutions, the way IFAs are deployed varies substantially across sectors.</w:t>
      </w:r>
    </w:p>
    <w:p w14:paraId="7CE84F04"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Key End Users</w:t>
      </w:r>
    </w:p>
    <w:p w14:paraId="772C45E9" w14:textId="77777777" w:rsidR="00593186" w:rsidRPr="00593186" w:rsidRDefault="00593186" w:rsidP="00593186">
      <w:pPr>
        <w:shd w:val="clear" w:color="auto" w:fill="FFFFFF"/>
        <w:spacing w:after="0" w:line="240" w:lineRule="auto"/>
        <w:outlineLvl w:val="4"/>
        <w:rPr>
          <w:rFonts w:ascii="Segoe UI" w:eastAsia="Times New Roman" w:hAnsi="Segoe UI" w:cs="Segoe UI"/>
          <w:b/>
          <w:bCs/>
          <w:color w:val="0D0D0D"/>
          <w:sz w:val="20"/>
          <w:szCs w:val="20"/>
          <w:lang w:eastAsia="en-IN"/>
        </w:rPr>
      </w:pPr>
      <w:r w:rsidRPr="00593186">
        <w:rPr>
          <w:rFonts w:ascii="Segoe UI" w:eastAsia="Times New Roman" w:hAnsi="Segoe UI" w:cs="Segoe UI"/>
          <w:b/>
          <w:bCs/>
          <w:color w:val="0D0D0D"/>
          <w:sz w:val="20"/>
          <w:szCs w:val="20"/>
          <w:lang w:eastAsia="en-IN"/>
        </w:rPr>
        <w:t>1. Clinical Laboratories</w:t>
      </w:r>
    </w:p>
    <w:p w14:paraId="7882E66A"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lastRenderedPageBreak/>
        <w:t>Clinical laboratories are the </w:t>
      </w:r>
      <w:r w:rsidRPr="00593186">
        <w:rPr>
          <w:rFonts w:ascii="Segoe UI" w:eastAsia="Times New Roman" w:hAnsi="Segoe UI" w:cs="Segoe UI"/>
          <w:b/>
          <w:bCs/>
          <w:color w:val="0D0D0D"/>
          <w:sz w:val="24"/>
          <w:szCs w:val="24"/>
          <w:lang w:eastAsia="en-IN"/>
        </w:rPr>
        <w:t>largest consumers</w:t>
      </w:r>
      <w:r w:rsidRPr="00593186">
        <w:rPr>
          <w:rFonts w:ascii="Segoe UI" w:eastAsia="Times New Roman" w:hAnsi="Segoe UI" w:cs="Segoe UI"/>
          <w:color w:val="0D0D0D"/>
          <w:sz w:val="24"/>
          <w:szCs w:val="24"/>
          <w:lang w:eastAsia="en-IN"/>
        </w:rPr>
        <w:t xml:space="preserve"> of immunofluorescence assays globally. Their usage </w:t>
      </w:r>
      <w:proofErr w:type="spellStart"/>
      <w:r w:rsidRPr="00593186">
        <w:rPr>
          <w:rFonts w:ascii="Segoe UI" w:eastAsia="Times New Roman" w:hAnsi="Segoe UI" w:cs="Segoe UI"/>
          <w:color w:val="0D0D0D"/>
          <w:sz w:val="24"/>
          <w:szCs w:val="24"/>
          <w:lang w:eastAsia="en-IN"/>
        </w:rPr>
        <w:t>centers</w:t>
      </w:r>
      <w:proofErr w:type="spellEnd"/>
      <w:r w:rsidRPr="00593186">
        <w:rPr>
          <w:rFonts w:ascii="Segoe UI" w:eastAsia="Times New Roman" w:hAnsi="Segoe UI" w:cs="Segoe UI"/>
          <w:color w:val="0D0D0D"/>
          <w:sz w:val="24"/>
          <w:szCs w:val="24"/>
          <w:lang w:eastAsia="en-IN"/>
        </w:rPr>
        <w:t xml:space="preserve"> around:</w:t>
      </w:r>
    </w:p>
    <w:p w14:paraId="50CE6A91" w14:textId="77777777" w:rsidR="00593186" w:rsidRPr="00593186" w:rsidRDefault="00593186" w:rsidP="00593186">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Autoimmune disease screening (e.g., ANA, ANCA panels)</w:t>
      </w:r>
    </w:p>
    <w:p w14:paraId="19DB1279" w14:textId="77777777" w:rsidR="00593186" w:rsidRPr="00593186" w:rsidRDefault="00593186" w:rsidP="00593186">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Infectious disease confirmation (e.g., herpes simplex virus, malaria)</w:t>
      </w:r>
    </w:p>
    <w:p w14:paraId="04605E9D" w14:textId="77777777" w:rsidR="00593186" w:rsidRPr="00593186" w:rsidRDefault="00593186" w:rsidP="00593186">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Routine batch testing with semi-automated platforms</w:t>
      </w:r>
    </w:p>
    <w:p w14:paraId="001A586C"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i/>
          <w:iCs/>
          <w:color w:val="0D0D0D"/>
          <w:sz w:val="24"/>
          <w:szCs w:val="24"/>
          <w:lang w:eastAsia="en-IN"/>
        </w:rPr>
        <w:t>These labs prioritize standardized workflows, robust signal clarity, and reproducible results.</w:t>
      </w:r>
      <w:r w:rsidRPr="00593186">
        <w:rPr>
          <w:rFonts w:ascii="Segoe UI" w:eastAsia="Times New Roman" w:hAnsi="Segoe UI" w:cs="Segoe UI"/>
          <w:color w:val="0D0D0D"/>
          <w:sz w:val="24"/>
          <w:szCs w:val="24"/>
          <w:lang w:eastAsia="en-IN"/>
        </w:rPr>
        <w:t xml:space="preserve"> As reimbursement models shift toward value-based diagnostics, labs increasingly </w:t>
      </w:r>
      <w:proofErr w:type="spellStart"/>
      <w:r w:rsidRPr="00593186">
        <w:rPr>
          <w:rFonts w:ascii="Segoe UI" w:eastAsia="Times New Roman" w:hAnsi="Segoe UI" w:cs="Segoe UI"/>
          <w:color w:val="0D0D0D"/>
          <w:sz w:val="24"/>
          <w:szCs w:val="24"/>
          <w:lang w:eastAsia="en-IN"/>
        </w:rPr>
        <w:t>favor</w:t>
      </w:r>
      <w:proofErr w:type="spellEnd"/>
      <w:r w:rsidRPr="00593186">
        <w:rPr>
          <w:rFonts w:ascii="Segoe UI" w:eastAsia="Times New Roman" w:hAnsi="Segoe UI" w:cs="Segoe UI"/>
          <w:color w:val="0D0D0D"/>
          <w:sz w:val="24"/>
          <w:szCs w:val="24"/>
          <w:lang w:eastAsia="en-IN"/>
        </w:rPr>
        <w:t xml:space="preserve"> kits with automated calibration and validated clinical utility.</w:t>
      </w:r>
    </w:p>
    <w:p w14:paraId="0DBEE13B" w14:textId="77777777" w:rsidR="00593186" w:rsidRPr="00593186" w:rsidRDefault="00593186" w:rsidP="00593186">
      <w:pPr>
        <w:shd w:val="clear" w:color="auto" w:fill="FFFFFF"/>
        <w:spacing w:after="0" w:line="240" w:lineRule="auto"/>
        <w:outlineLvl w:val="4"/>
        <w:rPr>
          <w:rFonts w:ascii="Segoe UI" w:eastAsia="Times New Roman" w:hAnsi="Segoe UI" w:cs="Segoe UI"/>
          <w:b/>
          <w:bCs/>
          <w:color w:val="0D0D0D"/>
          <w:sz w:val="20"/>
          <w:szCs w:val="20"/>
          <w:lang w:eastAsia="en-IN"/>
        </w:rPr>
      </w:pPr>
      <w:r w:rsidRPr="00593186">
        <w:rPr>
          <w:rFonts w:ascii="Segoe UI" w:eastAsia="Times New Roman" w:hAnsi="Segoe UI" w:cs="Segoe UI"/>
          <w:b/>
          <w:bCs/>
          <w:color w:val="0D0D0D"/>
          <w:sz w:val="20"/>
          <w:szCs w:val="20"/>
          <w:lang w:eastAsia="en-IN"/>
        </w:rPr>
        <w:t xml:space="preserve">2. Hospitals and Diagnostic </w:t>
      </w:r>
      <w:proofErr w:type="spellStart"/>
      <w:r w:rsidRPr="00593186">
        <w:rPr>
          <w:rFonts w:ascii="Segoe UI" w:eastAsia="Times New Roman" w:hAnsi="Segoe UI" w:cs="Segoe UI"/>
          <w:b/>
          <w:bCs/>
          <w:color w:val="0D0D0D"/>
          <w:sz w:val="20"/>
          <w:szCs w:val="20"/>
          <w:lang w:eastAsia="en-IN"/>
        </w:rPr>
        <w:t>Centers</w:t>
      </w:r>
      <w:proofErr w:type="spellEnd"/>
    </w:p>
    <w:p w14:paraId="6ED35E89"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Hospitals deploy IFA largely for </w:t>
      </w:r>
      <w:r w:rsidRPr="00593186">
        <w:rPr>
          <w:rFonts w:ascii="Segoe UI" w:eastAsia="Times New Roman" w:hAnsi="Segoe UI" w:cs="Segoe UI"/>
          <w:b/>
          <w:bCs/>
          <w:color w:val="0D0D0D"/>
          <w:sz w:val="24"/>
          <w:szCs w:val="24"/>
          <w:lang w:eastAsia="en-IN"/>
        </w:rPr>
        <w:t>diagnostic confirmation and acute disease management</w:t>
      </w:r>
      <w:r w:rsidRPr="00593186">
        <w:rPr>
          <w:rFonts w:ascii="Segoe UI" w:eastAsia="Times New Roman" w:hAnsi="Segoe UI" w:cs="Segoe UI"/>
          <w:color w:val="0D0D0D"/>
          <w:sz w:val="24"/>
          <w:szCs w:val="24"/>
          <w:lang w:eastAsia="en-IN"/>
        </w:rPr>
        <w:t>. The adoption is highest in tertiary care hospitals with in-house pathology units, where turnaround time and diagnostic accuracy are critical. IFA is commonly used in nephrology, dermatology, and oncology departments for tissue-based disease visualization.</w:t>
      </w:r>
    </w:p>
    <w:p w14:paraId="3DDEAEA1" w14:textId="77777777" w:rsidR="00593186" w:rsidRPr="00593186" w:rsidRDefault="00593186" w:rsidP="00593186">
      <w:pPr>
        <w:shd w:val="clear" w:color="auto" w:fill="FFFFFF"/>
        <w:spacing w:after="0" w:line="240" w:lineRule="auto"/>
        <w:outlineLvl w:val="4"/>
        <w:rPr>
          <w:rFonts w:ascii="Segoe UI" w:eastAsia="Times New Roman" w:hAnsi="Segoe UI" w:cs="Segoe UI"/>
          <w:b/>
          <w:bCs/>
          <w:color w:val="0D0D0D"/>
          <w:sz w:val="20"/>
          <w:szCs w:val="20"/>
          <w:lang w:eastAsia="en-IN"/>
        </w:rPr>
      </w:pPr>
      <w:r w:rsidRPr="00593186">
        <w:rPr>
          <w:rFonts w:ascii="Segoe UI" w:eastAsia="Times New Roman" w:hAnsi="Segoe UI" w:cs="Segoe UI"/>
          <w:b/>
          <w:bCs/>
          <w:color w:val="0D0D0D"/>
          <w:sz w:val="20"/>
          <w:szCs w:val="20"/>
          <w:lang w:eastAsia="en-IN"/>
        </w:rPr>
        <w:t>3. Academic and Research Institutions</w:t>
      </w:r>
    </w:p>
    <w:p w14:paraId="22DE2218" w14:textId="77777777" w:rsidR="00593186" w:rsidRPr="00593186" w:rsidRDefault="00593186" w:rsidP="00593186">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Universities, government-funded institutes, and research hospitals use IFA extensively in:</w:t>
      </w:r>
    </w:p>
    <w:p w14:paraId="3ECEB0C3" w14:textId="77777777" w:rsidR="00593186" w:rsidRPr="00593186" w:rsidRDefault="00593186" w:rsidP="00593186">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Protein localization studies</w:t>
      </w:r>
    </w:p>
    <w:p w14:paraId="1A5FEB9B" w14:textId="77777777" w:rsidR="00593186" w:rsidRPr="00593186" w:rsidRDefault="00593186" w:rsidP="00593186">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Immune cell profiling</w:t>
      </w:r>
    </w:p>
    <w:p w14:paraId="6CDE46B6" w14:textId="77777777" w:rsidR="00593186" w:rsidRPr="00593186" w:rsidRDefault="00593186" w:rsidP="00593186">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Developmental biology and neurodegenerative disease research</w:t>
      </w:r>
    </w:p>
    <w:p w14:paraId="264BB72B"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i/>
          <w:iCs/>
          <w:color w:val="0D0D0D"/>
          <w:sz w:val="24"/>
          <w:szCs w:val="24"/>
          <w:lang w:eastAsia="en-IN"/>
        </w:rPr>
        <w:t xml:space="preserve">Researchers typically </w:t>
      </w:r>
      <w:proofErr w:type="spellStart"/>
      <w:r w:rsidRPr="00593186">
        <w:rPr>
          <w:rFonts w:ascii="Segoe UI" w:eastAsia="Times New Roman" w:hAnsi="Segoe UI" w:cs="Segoe UI"/>
          <w:i/>
          <w:iCs/>
          <w:color w:val="0D0D0D"/>
          <w:sz w:val="24"/>
          <w:szCs w:val="24"/>
          <w:lang w:eastAsia="en-IN"/>
        </w:rPr>
        <w:t>favor</w:t>
      </w:r>
      <w:proofErr w:type="spellEnd"/>
      <w:r w:rsidRPr="00593186">
        <w:rPr>
          <w:rFonts w:ascii="Segoe UI" w:eastAsia="Times New Roman" w:hAnsi="Segoe UI" w:cs="Segoe UI"/>
          <w:i/>
          <w:iCs/>
          <w:color w:val="0D0D0D"/>
          <w:sz w:val="24"/>
          <w:szCs w:val="24"/>
          <w:lang w:eastAsia="en-IN"/>
        </w:rPr>
        <w:t xml:space="preserve"> indirect or multiplex assays for complex cell-tissue analysis.</w:t>
      </w:r>
      <w:r w:rsidRPr="00593186">
        <w:rPr>
          <w:rFonts w:ascii="Segoe UI" w:eastAsia="Times New Roman" w:hAnsi="Segoe UI" w:cs="Segoe UI"/>
          <w:color w:val="0D0D0D"/>
          <w:sz w:val="24"/>
          <w:szCs w:val="24"/>
          <w:lang w:eastAsia="en-IN"/>
        </w:rPr>
        <w:t> Custom assay configurations and open-ended system flexibility are crucial in this segment.</w:t>
      </w:r>
    </w:p>
    <w:p w14:paraId="41BEBA9F" w14:textId="77777777" w:rsidR="00593186" w:rsidRPr="00593186" w:rsidRDefault="00593186" w:rsidP="00593186">
      <w:pPr>
        <w:shd w:val="clear" w:color="auto" w:fill="FFFFFF"/>
        <w:spacing w:after="0" w:line="240" w:lineRule="auto"/>
        <w:outlineLvl w:val="4"/>
        <w:rPr>
          <w:rFonts w:ascii="Segoe UI" w:eastAsia="Times New Roman" w:hAnsi="Segoe UI" w:cs="Segoe UI"/>
          <w:b/>
          <w:bCs/>
          <w:color w:val="0D0D0D"/>
          <w:sz w:val="20"/>
          <w:szCs w:val="20"/>
          <w:lang w:eastAsia="en-IN"/>
        </w:rPr>
      </w:pPr>
      <w:r w:rsidRPr="00593186">
        <w:rPr>
          <w:rFonts w:ascii="Segoe UI" w:eastAsia="Times New Roman" w:hAnsi="Segoe UI" w:cs="Segoe UI"/>
          <w:b/>
          <w:bCs/>
          <w:color w:val="0D0D0D"/>
          <w:sz w:val="20"/>
          <w:szCs w:val="20"/>
          <w:lang w:eastAsia="en-IN"/>
        </w:rPr>
        <w:t>4. Pharmaceutical and Biotechnology Companies</w:t>
      </w:r>
    </w:p>
    <w:p w14:paraId="4D0A42F9"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Biopharma and biotech companies represent the </w:t>
      </w:r>
      <w:r w:rsidRPr="00593186">
        <w:rPr>
          <w:rFonts w:ascii="Segoe UI" w:eastAsia="Times New Roman" w:hAnsi="Segoe UI" w:cs="Segoe UI"/>
          <w:b/>
          <w:bCs/>
          <w:color w:val="0D0D0D"/>
          <w:sz w:val="24"/>
          <w:szCs w:val="24"/>
          <w:lang w:eastAsia="en-IN"/>
        </w:rPr>
        <w:t>fastest-growing end-user segment</w:t>
      </w:r>
      <w:r w:rsidRPr="00593186">
        <w:rPr>
          <w:rFonts w:ascii="Segoe UI" w:eastAsia="Times New Roman" w:hAnsi="Segoe UI" w:cs="Segoe UI"/>
          <w:color w:val="0D0D0D"/>
          <w:sz w:val="24"/>
          <w:szCs w:val="24"/>
          <w:lang w:eastAsia="en-IN"/>
        </w:rPr>
        <w:t>. These organizations apply IFA in:</w:t>
      </w:r>
    </w:p>
    <w:p w14:paraId="1DB822CD" w14:textId="77777777" w:rsidR="00593186" w:rsidRPr="00593186" w:rsidRDefault="00593186" w:rsidP="00593186">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Preclinical drug efficacy studies</w:t>
      </w:r>
    </w:p>
    <w:p w14:paraId="3C1BCBDE" w14:textId="77777777" w:rsidR="00593186" w:rsidRPr="00593186" w:rsidRDefault="00593186" w:rsidP="00593186">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Target validation for biologics</w:t>
      </w:r>
    </w:p>
    <w:p w14:paraId="1168E2BC" w14:textId="77777777" w:rsidR="00593186" w:rsidRPr="00593186" w:rsidRDefault="00593186" w:rsidP="00593186">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Mechanism-of-action profiling</w:t>
      </w:r>
    </w:p>
    <w:p w14:paraId="7FCF0D07"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The shift toward personalized and precision medicine is driving demand for </w:t>
      </w:r>
      <w:r w:rsidRPr="00593186">
        <w:rPr>
          <w:rFonts w:ascii="Segoe UI" w:eastAsia="Times New Roman" w:hAnsi="Segoe UI" w:cs="Segoe UI"/>
          <w:b/>
          <w:bCs/>
          <w:color w:val="0D0D0D"/>
          <w:sz w:val="24"/>
          <w:szCs w:val="24"/>
          <w:lang w:eastAsia="en-IN"/>
        </w:rPr>
        <w:t>high-content immunofluorescence imaging</w:t>
      </w:r>
      <w:r w:rsidRPr="00593186">
        <w:rPr>
          <w:rFonts w:ascii="Segoe UI" w:eastAsia="Times New Roman" w:hAnsi="Segoe UI" w:cs="Segoe UI"/>
          <w:color w:val="0D0D0D"/>
          <w:sz w:val="24"/>
          <w:szCs w:val="24"/>
          <w:lang w:eastAsia="en-IN"/>
        </w:rPr>
        <w:t> and </w:t>
      </w:r>
      <w:r w:rsidRPr="00593186">
        <w:rPr>
          <w:rFonts w:ascii="Segoe UI" w:eastAsia="Times New Roman" w:hAnsi="Segoe UI" w:cs="Segoe UI"/>
          <w:b/>
          <w:bCs/>
          <w:color w:val="0D0D0D"/>
          <w:sz w:val="24"/>
          <w:szCs w:val="24"/>
          <w:lang w:eastAsia="en-IN"/>
        </w:rPr>
        <w:t>multiplexed quantification</w:t>
      </w:r>
      <w:r w:rsidRPr="00593186">
        <w:rPr>
          <w:rFonts w:ascii="Segoe UI" w:eastAsia="Times New Roman" w:hAnsi="Segoe UI" w:cs="Segoe UI"/>
          <w:color w:val="0D0D0D"/>
          <w:sz w:val="24"/>
          <w:szCs w:val="24"/>
          <w:lang w:eastAsia="en-IN"/>
        </w:rPr>
        <w:t> in drug development. These companies often integrate IFA into broader workflows involving flow cytometry, immunohistochemistry (IHC), and omics-based analysis.</w:t>
      </w:r>
    </w:p>
    <w:p w14:paraId="4533B15D" w14:textId="77777777" w:rsidR="00593186" w:rsidRPr="00593186" w:rsidRDefault="00593186" w:rsidP="00593186">
      <w:pPr>
        <w:spacing w:before="720" w:after="720" w:line="240" w:lineRule="auto"/>
        <w:rPr>
          <w:rFonts w:ascii="Times New Roman" w:eastAsia="Times New Roman" w:hAnsi="Times New Roman" w:cs="Times New Roman"/>
          <w:sz w:val="24"/>
          <w:szCs w:val="24"/>
          <w:lang w:eastAsia="en-IN"/>
        </w:rPr>
      </w:pPr>
      <w:r w:rsidRPr="00593186">
        <w:rPr>
          <w:rFonts w:ascii="Times New Roman" w:eastAsia="Times New Roman" w:hAnsi="Times New Roman" w:cs="Times New Roman"/>
          <w:sz w:val="24"/>
          <w:szCs w:val="24"/>
          <w:lang w:eastAsia="en-IN"/>
        </w:rPr>
        <w:lastRenderedPageBreak/>
        <w:pict w14:anchorId="5811EE77">
          <v:rect id="_x0000_i1025" style="width:0;height:0" o:hralign="center" o:hrstd="t" o:hrnoshade="t" o:hr="t" fillcolor="#0d0d0d" stroked="f"/>
        </w:pict>
      </w:r>
    </w:p>
    <w:p w14:paraId="6B28254F" w14:textId="77777777" w:rsidR="00593186" w:rsidRPr="00593186" w:rsidRDefault="00593186" w:rsidP="00593186">
      <w:pPr>
        <w:shd w:val="clear" w:color="auto" w:fill="FFFFFF"/>
        <w:spacing w:after="0" w:line="240" w:lineRule="auto"/>
        <w:outlineLvl w:val="2"/>
        <w:rPr>
          <w:rFonts w:ascii="Segoe UI" w:eastAsia="Times New Roman" w:hAnsi="Segoe UI" w:cs="Segoe UI"/>
          <w:b/>
          <w:bCs/>
          <w:color w:val="0D0D0D"/>
          <w:sz w:val="30"/>
          <w:szCs w:val="30"/>
          <w:lang w:eastAsia="en-IN"/>
        </w:rPr>
      </w:pPr>
      <w:r w:rsidRPr="00593186">
        <w:rPr>
          <w:rFonts w:ascii="Segoe UI" w:eastAsia="Times New Roman" w:hAnsi="Segoe UI" w:cs="Segoe UI"/>
          <w:b/>
          <w:bCs/>
          <w:color w:val="0D0D0D"/>
          <w:sz w:val="30"/>
          <w:szCs w:val="30"/>
          <w:lang w:eastAsia="en-IN"/>
        </w:rPr>
        <w:t>Realistic Use Case</w:t>
      </w:r>
    </w:p>
    <w:p w14:paraId="7E2C3072"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i/>
          <w:iCs/>
          <w:color w:val="0D0D0D"/>
          <w:sz w:val="24"/>
          <w:szCs w:val="24"/>
          <w:lang w:eastAsia="en-IN"/>
        </w:rPr>
        <w:t xml:space="preserve">A tertiary care hospital in Seoul, South Korea, implemented a multiplex immunofluorescence protocol to stratify lung cancer patients for immune checkpoint inhibitor therapy. By </w:t>
      </w:r>
      <w:proofErr w:type="spellStart"/>
      <w:r w:rsidRPr="00593186">
        <w:rPr>
          <w:rFonts w:ascii="Segoe UI" w:eastAsia="Times New Roman" w:hAnsi="Segoe UI" w:cs="Segoe UI"/>
          <w:i/>
          <w:iCs/>
          <w:color w:val="0D0D0D"/>
          <w:sz w:val="24"/>
          <w:szCs w:val="24"/>
          <w:lang w:eastAsia="en-IN"/>
        </w:rPr>
        <w:t>analyzing</w:t>
      </w:r>
      <w:proofErr w:type="spellEnd"/>
      <w:r w:rsidRPr="00593186">
        <w:rPr>
          <w:rFonts w:ascii="Segoe UI" w:eastAsia="Times New Roman" w:hAnsi="Segoe UI" w:cs="Segoe UI"/>
          <w:i/>
          <w:iCs/>
          <w:color w:val="0D0D0D"/>
          <w:sz w:val="24"/>
          <w:szCs w:val="24"/>
          <w:lang w:eastAsia="en-IN"/>
        </w:rPr>
        <w:t xml:space="preserve"> </w:t>
      </w:r>
      <w:proofErr w:type="spellStart"/>
      <w:r w:rsidRPr="00593186">
        <w:rPr>
          <w:rFonts w:ascii="Segoe UI" w:eastAsia="Times New Roman" w:hAnsi="Segoe UI" w:cs="Segoe UI"/>
          <w:i/>
          <w:iCs/>
          <w:color w:val="0D0D0D"/>
          <w:sz w:val="24"/>
          <w:szCs w:val="24"/>
          <w:lang w:eastAsia="en-IN"/>
        </w:rPr>
        <w:t>tumor</w:t>
      </w:r>
      <w:proofErr w:type="spellEnd"/>
      <w:r w:rsidRPr="00593186">
        <w:rPr>
          <w:rFonts w:ascii="Segoe UI" w:eastAsia="Times New Roman" w:hAnsi="Segoe UI" w:cs="Segoe UI"/>
          <w:i/>
          <w:iCs/>
          <w:color w:val="0D0D0D"/>
          <w:sz w:val="24"/>
          <w:szCs w:val="24"/>
          <w:lang w:eastAsia="en-IN"/>
        </w:rPr>
        <w:t xml:space="preserve"> samples using a 6-marker </w:t>
      </w:r>
      <w:proofErr w:type="spellStart"/>
      <w:r w:rsidRPr="00593186">
        <w:rPr>
          <w:rFonts w:ascii="Segoe UI" w:eastAsia="Times New Roman" w:hAnsi="Segoe UI" w:cs="Segoe UI"/>
          <w:i/>
          <w:iCs/>
          <w:color w:val="0D0D0D"/>
          <w:sz w:val="24"/>
          <w:szCs w:val="24"/>
          <w:lang w:eastAsia="en-IN"/>
        </w:rPr>
        <w:t>mIF</w:t>
      </w:r>
      <w:proofErr w:type="spellEnd"/>
      <w:r w:rsidRPr="00593186">
        <w:rPr>
          <w:rFonts w:ascii="Segoe UI" w:eastAsia="Times New Roman" w:hAnsi="Segoe UI" w:cs="Segoe UI"/>
          <w:i/>
          <w:iCs/>
          <w:color w:val="0D0D0D"/>
          <w:sz w:val="24"/>
          <w:szCs w:val="24"/>
          <w:lang w:eastAsia="en-IN"/>
        </w:rPr>
        <w:t xml:space="preserve"> panel, pathologists could simultaneously assess PD-L1 expression, T-cell infiltration, and macrophage activity within the </w:t>
      </w:r>
      <w:proofErr w:type="spellStart"/>
      <w:r w:rsidRPr="00593186">
        <w:rPr>
          <w:rFonts w:ascii="Segoe UI" w:eastAsia="Times New Roman" w:hAnsi="Segoe UI" w:cs="Segoe UI"/>
          <w:i/>
          <w:iCs/>
          <w:color w:val="0D0D0D"/>
          <w:sz w:val="24"/>
          <w:szCs w:val="24"/>
          <w:lang w:eastAsia="en-IN"/>
        </w:rPr>
        <w:t>tumor</w:t>
      </w:r>
      <w:proofErr w:type="spellEnd"/>
      <w:r w:rsidRPr="00593186">
        <w:rPr>
          <w:rFonts w:ascii="Segoe UI" w:eastAsia="Times New Roman" w:hAnsi="Segoe UI" w:cs="Segoe UI"/>
          <w:i/>
          <w:iCs/>
          <w:color w:val="0D0D0D"/>
          <w:sz w:val="24"/>
          <w:szCs w:val="24"/>
          <w:lang w:eastAsia="en-IN"/>
        </w:rPr>
        <w:t xml:space="preserve"> microenvironment. The visual data was digitized and </w:t>
      </w:r>
      <w:proofErr w:type="spellStart"/>
      <w:r w:rsidRPr="00593186">
        <w:rPr>
          <w:rFonts w:ascii="Segoe UI" w:eastAsia="Times New Roman" w:hAnsi="Segoe UI" w:cs="Segoe UI"/>
          <w:i/>
          <w:iCs/>
          <w:color w:val="0D0D0D"/>
          <w:sz w:val="24"/>
          <w:szCs w:val="24"/>
          <w:lang w:eastAsia="en-IN"/>
        </w:rPr>
        <w:t>analyzed</w:t>
      </w:r>
      <w:proofErr w:type="spellEnd"/>
      <w:r w:rsidRPr="00593186">
        <w:rPr>
          <w:rFonts w:ascii="Segoe UI" w:eastAsia="Times New Roman" w:hAnsi="Segoe UI" w:cs="Segoe UI"/>
          <w:i/>
          <w:iCs/>
          <w:color w:val="0D0D0D"/>
          <w:sz w:val="24"/>
          <w:szCs w:val="24"/>
          <w:lang w:eastAsia="en-IN"/>
        </w:rPr>
        <w:t xml:space="preserve"> using AI-assisted imaging software, which helped the oncology team identify patients more likely to benefit from PD-1 blockade therapy. As a result, the hospital reported a 25% improvement in treatment-response prediction rates and a 30% reduction in unnecessary treatment administration over a 12-month period.</w:t>
      </w:r>
    </w:p>
    <w:p w14:paraId="004B8339"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This case illustrates the </w:t>
      </w:r>
      <w:r w:rsidRPr="00593186">
        <w:rPr>
          <w:rFonts w:ascii="Segoe UI" w:eastAsia="Times New Roman" w:hAnsi="Segoe UI" w:cs="Segoe UI"/>
          <w:b/>
          <w:bCs/>
          <w:color w:val="0D0D0D"/>
          <w:sz w:val="24"/>
          <w:szCs w:val="24"/>
          <w:lang w:eastAsia="en-IN"/>
        </w:rPr>
        <w:t>clinical impact of advanced IFA</w:t>
      </w:r>
      <w:r w:rsidRPr="00593186">
        <w:rPr>
          <w:rFonts w:ascii="Segoe UI" w:eastAsia="Times New Roman" w:hAnsi="Segoe UI" w:cs="Segoe UI"/>
          <w:color w:val="0D0D0D"/>
          <w:sz w:val="24"/>
          <w:szCs w:val="24"/>
          <w:lang w:eastAsia="en-IN"/>
        </w:rPr>
        <w:t> in real-world decision-making and highlights how hospitals can combine pathology with computational tools for precision therapy.</w:t>
      </w:r>
    </w:p>
    <w:p w14:paraId="64643C5F" w14:textId="450A7C71" w:rsidR="00593186" w:rsidRPr="00593186" w:rsidRDefault="00593186" w:rsidP="00593186">
      <w:pPr>
        <w:shd w:val="clear" w:color="auto" w:fill="FFFFFF"/>
        <w:spacing w:after="0" w:line="240" w:lineRule="auto"/>
        <w:outlineLvl w:val="2"/>
        <w:rPr>
          <w:rFonts w:ascii="Segoe UI" w:eastAsia="Times New Roman" w:hAnsi="Segoe UI" w:cs="Segoe UI"/>
          <w:b/>
          <w:bCs/>
          <w:color w:val="0D0D0D"/>
          <w:sz w:val="30"/>
          <w:szCs w:val="30"/>
          <w:lang w:eastAsia="en-IN"/>
        </w:rPr>
      </w:pPr>
      <w:r w:rsidRPr="00593186">
        <w:rPr>
          <w:rFonts w:ascii="Segoe UI" w:eastAsia="Times New Roman" w:hAnsi="Segoe UI" w:cs="Segoe UI"/>
          <w:b/>
          <w:bCs/>
          <w:color w:val="0D0D0D"/>
          <w:sz w:val="30"/>
          <w:szCs w:val="30"/>
          <w:lang w:eastAsia="en-IN"/>
        </w:rPr>
        <w:t>7. Recent Developments + Opportunities &amp; Restraints</w:t>
      </w:r>
      <w:r w:rsidRPr="00593186">
        <w:rPr>
          <w:rFonts w:ascii="Segoe UI" w:eastAsia="Times New Roman" w:hAnsi="Segoe UI" w:cs="Segoe UI"/>
          <w:b/>
          <w:bCs/>
          <w:i/>
          <w:iCs/>
          <w:color w:val="0D0D0D"/>
          <w:sz w:val="30"/>
          <w:szCs w:val="30"/>
          <w:lang w:eastAsia="en-IN"/>
        </w:rPr>
        <w:t xml:space="preserve"> </w:t>
      </w:r>
    </w:p>
    <w:p w14:paraId="746CF8AD"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Emoji" w:eastAsia="Times New Roman" w:hAnsi="Segoe UI Emoji" w:cs="Segoe UI Emoji"/>
          <w:b/>
          <w:bCs/>
          <w:color w:val="0D0D0D"/>
          <w:sz w:val="24"/>
          <w:szCs w:val="24"/>
          <w:lang w:eastAsia="en-IN"/>
        </w:rPr>
        <w:t>🆕</w:t>
      </w:r>
      <w:r w:rsidRPr="00593186">
        <w:rPr>
          <w:rFonts w:ascii="Segoe UI" w:eastAsia="Times New Roman" w:hAnsi="Segoe UI" w:cs="Segoe UI"/>
          <w:b/>
          <w:bCs/>
          <w:color w:val="0D0D0D"/>
          <w:sz w:val="24"/>
          <w:szCs w:val="24"/>
          <w:lang w:eastAsia="en-IN"/>
        </w:rPr>
        <w:t> Recent Developments (2023–2024)</w:t>
      </w:r>
    </w:p>
    <w:p w14:paraId="138D01D5" w14:textId="4E19783F" w:rsidR="00593186" w:rsidRPr="00593186" w:rsidRDefault="00593186" w:rsidP="00593186">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Thermo Fisher Scientific launched a new AI-enhanced immunofluorescence imaging system</w:t>
      </w:r>
      <w:r w:rsidRPr="00593186">
        <w:rPr>
          <w:rFonts w:ascii="Segoe UI" w:eastAsia="Times New Roman" w:hAnsi="Segoe UI" w:cs="Segoe UI"/>
          <w:color w:val="0D0D0D"/>
          <w:sz w:val="24"/>
          <w:szCs w:val="24"/>
          <w:lang w:eastAsia="en-IN"/>
        </w:rPr>
        <w:t> in late 2023, aimed at improving high-throughput screening accuracy in oncology and autoimmune disease research.</w:t>
      </w:r>
      <w:r w:rsidRPr="00593186">
        <w:rPr>
          <w:rFonts w:ascii="Segoe UI" w:eastAsia="Times New Roman" w:hAnsi="Segoe UI" w:cs="Segoe UI"/>
          <w:color w:val="0D0D0D"/>
          <w:sz w:val="24"/>
          <w:szCs w:val="24"/>
          <w:lang w:eastAsia="en-IN"/>
        </w:rPr>
        <w:br/>
      </w:r>
    </w:p>
    <w:p w14:paraId="238BFAF5" w14:textId="28D352BA" w:rsidR="00593186" w:rsidRPr="00593186" w:rsidRDefault="00593186" w:rsidP="00593186">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Bio-Rad Laboratories introduced a fully automated indirect IFA workflow platform</w:t>
      </w:r>
      <w:r w:rsidRPr="00593186">
        <w:rPr>
          <w:rFonts w:ascii="Segoe UI" w:eastAsia="Times New Roman" w:hAnsi="Segoe UI" w:cs="Segoe UI"/>
          <w:color w:val="0D0D0D"/>
          <w:sz w:val="24"/>
          <w:szCs w:val="24"/>
          <w:lang w:eastAsia="en-IN"/>
        </w:rPr>
        <w:t>, including digital imaging and antibody optimization, targeting small and mid-sized clinical laboratories.</w:t>
      </w:r>
      <w:r w:rsidRPr="00593186">
        <w:rPr>
          <w:rFonts w:ascii="Segoe UI" w:eastAsia="Times New Roman" w:hAnsi="Segoe UI" w:cs="Segoe UI"/>
          <w:color w:val="0D0D0D"/>
          <w:sz w:val="24"/>
          <w:szCs w:val="24"/>
          <w:lang w:eastAsia="en-IN"/>
        </w:rPr>
        <w:br/>
      </w:r>
    </w:p>
    <w:p w14:paraId="4C2753C8" w14:textId="5F4302E7" w:rsidR="00593186" w:rsidRPr="00593186" w:rsidRDefault="00593186" w:rsidP="00593186">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In early 2024, </w:t>
      </w:r>
      <w:proofErr w:type="spellStart"/>
      <w:r w:rsidRPr="00593186">
        <w:rPr>
          <w:rFonts w:ascii="Segoe UI" w:eastAsia="Times New Roman" w:hAnsi="Segoe UI" w:cs="Segoe UI"/>
          <w:b/>
          <w:bCs/>
          <w:color w:val="0D0D0D"/>
          <w:sz w:val="24"/>
          <w:szCs w:val="24"/>
          <w:lang w:eastAsia="en-IN"/>
        </w:rPr>
        <w:t>Revvity</w:t>
      </w:r>
      <w:proofErr w:type="spellEnd"/>
      <w:r w:rsidRPr="00593186">
        <w:rPr>
          <w:rFonts w:ascii="Segoe UI" w:eastAsia="Times New Roman" w:hAnsi="Segoe UI" w:cs="Segoe UI"/>
          <w:b/>
          <w:bCs/>
          <w:color w:val="0D0D0D"/>
          <w:sz w:val="24"/>
          <w:szCs w:val="24"/>
          <w:lang w:eastAsia="en-IN"/>
        </w:rPr>
        <w:t xml:space="preserve"> (formerly PerkinElmer)</w:t>
      </w:r>
      <w:r w:rsidRPr="00593186">
        <w:rPr>
          <w:rFonts w:ascii="Segoe UI" w:eastAsia="Times New Roman" w:hAnsi="Segoe UI" w:cs="Segoe UI"/>
          <w:color w:val="0D0D0D"/>
          <w:sz w:val="24"/>
          <w:szCs w:val="24"/>
          <w:lang w:eastAsia="en-IN"/>
        </w:rPr>
        <w:t> partnered with multiple academic research labs to co-develop multiplex immunofluorescence protocols for Alzheimer’s disease and glioblastoma diagnostics.</w:t>
      </w:r>
      <w:r w:rsidRPr="00593186">
        <w:rPr>
          <w:rFonts w:ascii="Segoe UI" w:eastAsia="Times New Roman" w:hAnsi="Segoe UI" w:cs="Segoe UI"/>
          <w:color w:val="0D0D0D"/>
          <w:sz w:val="24"/>
          <w:szCs w:val="24"/>
          <w:lang w:eastAsia="en-IN"/>
        </w:rPr>
        <w:br/>
      </w:r>
    </w:p>
    <w:p w14:paraId="1BC60423" w14:textId="72F5EAF1" w:rsidR="00593186" w:rsidRPr="00593186" w:rsidRDefault="00593186" w:rsidP="00593186">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Abcam received CE-IVD clearance</w:t>
      </w:r>
      <w:r w:rsidRPr="00593186">
        <w:rPr>
          <w:rFonts w:ascii="Segoe UI" w:eastAsia="Times New Roman" w:hAnsi="Segoe UI" w:cs="Segoe UI"/>
          <w:color w:val="0D0D0D"/>
          <w:sz w:val="24"/>
          <w:szCs w:val="24"/>
          <w:lang w:eastAsia="en-IN"/>
        </w:rPr>
        <w:t> for a new autoimmune disease assay kit designed for indirect immunofluorescence in European diagnostic labs.</w:t>
      </w:r>
      <w:r w:rsidRPr="00593186">
        <w:rPr>
          <w:rFonts w:ascii="Segoe UI" w:eastAsia="Times New Roman" w:hAnsi="Segoe UI" w:cs="Segoe UI"/>
          <w:color w:val="0D0D0D"/>
          <w:sz w:val="24"/>
          <w:szCs w:val="24"/>
          <w:lang w:eastAsia="en-IN"/>
        </w:rPr>
        <w:br/>
      </w:r>
    </w:p>
    <w:p w14:paraId="16997C72" w14:textId="3654EC31" w:rsidR="00593186" w:rsidRPr="00593186" w:rsidRDefault="00593186" w:rsidP="00593186">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 xml:space="preserve">Merck </w:t>
      </w:r>
      <w:proofErr w:type="spellStart"/>
      <w:r w:rsidRPr="00593186">
        <w:rPr>
          <w:rFonts w:ascii="Segoe UI" w:eastAsia="Times New Roman" w:hAnsi="Segoe UI" w:cs="Segoe UI"/>
          <w:b/>
          <w:bCs/>
          <w:color w:val="0D0D0D"/>
          <w:sz w:val="24"/>
          <w:szCs w:val="24"/>
          <w:lang w:eastAsia="en-IN"/>
        </w:rPr>
        <w:t>KGaA</w:t>
      </w:r>
      <w:proofErr w:type="spellEnd"/>
      <w:r w:rsidRPr="00593186">
        <w:rPr>
          <w:rFonts w:ascii="Segoe UI" w:eastAsia="Times New Roman" w:hAnsi="Segoe UI" w:cs="Segoe UI"/>
          <w:b/>
          <w:bCs/>
          <w:color w:val="0D0D0D"/>
          <w:sz w:val="24"/>
          <w:szCs w:val="24"/>
          <w:lang w:eastAsia="en-IN"/>
        </w:rPr>
        <w:t xml:space="preserve"> invested €35 million in a new reagent manufacturing plant in Switzerland</w:t>
      </w:r>
      <w:r w:rsidRPr="00593186">
        <w:rPr>
          <w:rFonts w:ascii="Segoe UI" w:eastAsia="Times New Roman" w:hAnsi="Segoe UI" w:cs="Segoe UI"/>
          <w:color w:val="0D0D0D"/>
          <w:sz w:val="24"/>
          <w:szCs w:val="24"/>
          <w:lang w:eastAsia="en-IN"/>
        </w:rPr>
        <w:t>, intended to boost production of high-performance immunoassay components.</w:t>
      </w:r>
      <w:r w:rsidRPr="00593186">
        <w:rPr>
          <w:rFonts w:ascii="Segoe UI" w:eastAsia="Times New Roman" w:hAnsi="Segoe UI" w:cs="Segoe UI"/>
          <w:color w:val="0D0D0D"/>
          <w:sz w:val="24"/>
          <w:szCs w:val="24"/>
          <w:lang w:eastAsia="en-IN"/>
        </w:rPr>
        <w:br/>
      </w:r>
    </w:p>
    <w:p w14:paraId="1947F111" w14:textId="77777777" w:rsidR="00593186" w:rsidRPr="00593186" w:rsidRDefault="00593186" w:rsidP="00593186">
      <w:pPr>
        <w:spacing w:before="720" w:after="720" w:line="240" w:lineRule="auto"/>
        <w:rPr>
          <w:rFonts w:ascii="Times New Roman" w:eastAsia="Times New Roman" w:hAnsi="Times New Roman" w:cs="Times New Roman"/>
          <w:sz w:val="24"/>
          <w:szCs w:val="24"/>
          <w:lang w:eastAsia="en-IN"/>
        </w:rPr>
      </w:pPr>
      <w:r w:rsidRPr="00593186">
        <w:rPr>
          <w:rFonts w:ascii="Times New Roman" w:eastAsia="Times New Roman" w:hAnsi="Times New Roman" w:cs="Times New Roman"/>
          <w:sz w:val="24"/>
          <w:szCs w:val="24"/>
          <w:lang w:eastAsia="en-IN"/>
        </w:rPr>
        <w:lastRenderedPageBreak/>
        <w:pict w14:anchorId="39E6C018">
          <v:rect id="_x0000_i1027" style="width:0;height:0" o:hralign="center" o:hrstd="t" o:hrnoshade="t" o:hr="t" fillcolor="#0d0d0d" stroked="f"/>
        </w:pict>
      </w:r>
    </w:p>
    <w:p w14:paraId="77F7CFDF" w14:textId="77777777" w:rsidR="00593186" w:rsidRPr="00593186" w:rsidRDefault="00593186" w:rsidP="00593186">
      <w:pPr>
        <w:shd w:val="clear" w:color="auto" w:fill="FFFFFF"/>
        <w:spacing w:after="0" w:line="240" w:lineRule="auto"/>
        <w:outlineLvl w:val="2"/>
        <w:rPr>
          <w:rFonts w:ascii="Segoe UI" w:eastAsia="Times New Roman" w:hAnsi="Segoe UI" w:cs="Segoe UI"/>
          <w:b/>
          <w:bCs/>
          <w:color w:val="0D0D0D"/>
          <w:sz w:val="30"/>
          <w:szCs w:val="30"/>
          <w:lang w:eastAsia="en-IN"/>
        </w:rPr>
      </w:pPr>
      <w:r w:rsidRPr="00593186">
        <w:rPr>
          <w:rFonts w:ascii="Segoe UI Emoji" w:eastAsia="Times New Roman" w:hAnsi="Segoe UI Emoji" w:cs="Segoe UI Emoji"/>
          <w:b/>
          <w:bCs/>
          <w:color w:val="0D0D0D"/>
          <w:sz w:val="30"/>
          <w:szCs w:val="30"/>
          <w:lang w:eastAsia="en-IN"/>
        </w:rPr>
        <w:t>🔁</w:t>
      </w:r>
      <w:r w:rsidRPr="00593186">
        <w:rPr>
          <w:rFonts w:ascii="Segoe UI" w:eastAsia="Times New Roman" w:hAnsi="Segoe UI" w:cs="Segoe UI"/>
          <w:b/>
          <w:bCs/>
          <w:color w:val="0D0D0D"/>
          <w:sz w:val="30"/>
          <w:szCs w:val="30"/>
          <w:lang w:eastAsia="en-IN"/>
        </w:rPr>
        <w:t> Opportunities &amp; Restraints</w:t>
      </w:r>
    </w:p>
    <w:p w14:paraId="78EE8EC7"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Opportunities</w:t>
      </w:r>
    </w:p>
    <w:p w14:paraId="72E8505E" w14:textId="77777777" w:rsidR="00593186" w:rsidRPr="00593186" w:rsidRDefault="00593186" w:rsidP="00593186">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Rapid growth in multiplex diagnostics</w:t>
      </w:r>
      <w:r w:rsidRPr="00593186">
        <w:rPr>
          <w:rFonts w:ascii="Segoe UI" w:eastAsia="Times New Roman" w:hAnsi="Segoe UI" w:cs="Segoe UI"/>
          <w:color w:val="0D0D0D"/>
          <w:sz w:val="24"/>
          <w:szCs w:val="24"/>
          <w:lang w:eastAsia="en-IN"/>
        </w:rPr>
        <w:t xml:space="preserve">: </w:t>
      </w:r>
      <w:proofErr w:type="spellStart"/>
      <w:r w:rsidRPr="00593186">
        <w:rPr>
          <w:rFonts w:ascii="Segoe UI" w:eastAsia="Times New Roman" w:hAnsi="Segoe UI" w:cs="Segoe UI"/>
          <w:color w:val="0D0D0D"/>
          <w:sz w:val="24"/>
          <w:szCs w:val="24"/>
          <w:lang w:eastAsia="en-IN"/>
        </w:rPr>
        <w:t>mIF</w:t>
      </w:r>
      <w:proofErr w:type="spellEnd"/>
      <w:r w:rsidRPr="00593186">
        <w:rPr>
          <w:rFonts w:ascii="Segoe UI" w:eastAsia="Times New Roman" w:hAnsi="Segoe UI" w:cs="Segoe UI"/>
          <w:color w:val="0D0D0D"/>
          <w:sz w:val="24"/>
          <w:szCs w:val="24"/>
          <w:lang w:eastAsia="en-IN"/>
        </w:rPr>
        <w:t xml:space="preserve"> systems are increasingly essential in oncology and personalized medicine, offering drug developers a deeper understanding of the </w:t>
      </w:r>
      <w:proofErr w:type="spellStart"/>
      <w:r w:rsidRPr="00593186">
        <w:rPr>
          <w:rFonts w:ascii="Segoe UI" w:eastAsia="Times New Roman" w:hAnsi="Segoe UI" w:cs="Segoe UI"/>
          <w:color w:val="0D0D0D"/>
          <w:sz w:val="24"/>
          <w:szCs w:val="24"/>
          <w:lang w:eastAsia="en-IN"/>
        </w:rPr>
        <w:t>tumor</w:t>
      </w:r>
      <w:proofErr w:type="spellEnd"/>
      <w:r w:rsidRPr="00593186">
        <w:rPr>
          <w:rFonts w:ascii="Segoe UI" w:eastAsia="Times New Roman" w:hAnsi="Segoe UI" w:cs="Segoe UI"/>
          <w:color w:val="0D0D0D"/>
          <w:sz w:val="24"/>
          <w:szCs w:val="24"/>
          <w:lang w:eastAsia="en-IN"/>
        </w:rPr>
        <w:t xml:space="preserve"> microenvironment.</w:t>
      </w:r>
    </w:p>
    <w:p w14:paraId="55600B87" w14:textId="77777777" w:rsidR="00593186" w:rsidRPr="00593186" w:rsidRDefault="00593186" w:rsidP="00593186">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 xml:space="preserve">Emerging markets </w:t>
      </w:r>
      <w:proofErr w:type="spellStart"/>
      <w:r w:rsidRPr="00593186">
        <w:rPr>
          <w:rFonts w:ascii="Segoe UI" w:eastAsia="Times New Roman" w:hAnsi="Segoe UI" w:cs="Segoe UI"/>
          <w:b/>
          <w:bCs/>
          <w:color w:val="0D0D0D"/>
          <w:sz w:val="24"/>
          <w:szCs w:val="24"/>
          <w:lang w:eastAsia="en-IN"/>
        </w:rPr>
        <w:t>fueling</w:t>
      </w:r>
      <w:proofErr w:type="spellEnd"/>
      <w:r w:rsidRPr="00593186">
        <w:rPr>
          <w:rFonts w:ascii="Segoe UI" w:eastAsia="Times New Roman" w:hAnsi="Segoe UI" w:cs="Segoe UI"/>
          <w:b/>
          <w:bCs/>
          <w:color w:val="0D0D0D"/>
          <w:sz w:val="24"/>
          <w:szCs w:val="24"/>
          <w:lang w:eastAsia="en-IN"/>
        </w:rPr>
        <w:t xml:space="preserve"> decentralization</w:t>
      </w:r>
      <w:r w:rsidRPr="00593186">
        <w:rPr>
          <w:rFonts w:ascii="Segoe UI" w:eastAsia="Times New Roman" w:hAnsi="Segoe UI" w:cs="Segoe UI"/>
          <w:color w:val="0D0D0D"/>
          <w:sz w:val="24"/>
          <w:szCs w:val="24"/>
          <w:lang w:eastAsia="en-IN"/>
        </w:rPr>
        <w:t>: Expanding diagnostic capabilities in India, Brazil, and Southeast Asia offer room for point-of-care IFA adoption, especially for infectious disease screening.</w:t>
      </w:r>
    </w:p>
    <w:p w14:paraId="60A70ABD" w14:textId="77777777" w:rsidR="00593186" w:rsidRPr="00593186" w:rsidRDefault="00593186" w:rsidP="00593186">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Integration with digital pathology &amp; AI</w:t>
      </w:r>
      <w:r w:rsidRPr="00593186">
        <w:rPr>
          <w:rFonts w:ascii="Segoe UI" w:eastAsia="Times New Roman" w:hAnsi="Segoe UI" w:cs="Segoe UI"/>
          <w:color w:val="0D0D0D"/>
          <w:sz w:val="24"/>
          <w:szCs w:val="24"/>
          <w:lang w:eastAsia="en-IN"/>
        </w:rPr>
        <w:t>: As labs move toward data-rich imaging and cloud analysis, IFA systems that integrate seamlessly with AI tools will see enhanced demand.</w:t>
      </w:r>
    </w:p>
    <w:p w14:paraId="0353E68E"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Restraints</w:t>
      </w:r>
    </w:p>
    <w:p w14:paraId="44C08CA9" w14:textId="77777777" w:rsidR="00593186" w:rsidRPr="00593186" w:rsidRDefault="00593186" w:rsidP="00593186">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High capital cost of multiplex IFA systems</w:t>
      </w:r>
      <w:r w:rsidRPr="00593186">
        <w:rPr>
          <w:rFonts w:ascii="Segoe UI" w:eastAsia="Times New Roman" w:hAnsi="Segoe UI" w:cs="Segoe UI"/>
          <w:color w:val="0D0D0D"/>
          <w:sz w:val="24"/>
          <w:szCs w:val="24"/>
          <w:lang w:eastAsia="en-IN"/>
        </w:rPr>
        <w:t>: Advanced imaging platforms and staining automation can exceed budgetary capacities for mid-tier and public institutions.</w:t>
      </w:r>
    </w:p>
    <w:p w14:paraId="29E0F648" w14:textId="77777777" w:rsidR="00593186" w:rsidRPr="00593186" w:rsidRDefault="00593186" w:rsidP="00593186">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Shortage of skilled personnel</w:t>
      </w:r>
      <w:r w:rsidRPr="00593186">
        <w:rPr>
          <w:rFonts w:ascii="Segoe UI" w:eastAsia="Times New Roman" w:hAnsi="Segoe UI" w:cs="Segoe UI"/>
          <w:color w:val="0D0D0D"/>
          <w:sz w:val="24"/>
          <w:szCs w:val="24"/>
          <w:lang w:eastAsia="en-IN"/>
        </w:rPr>
        <w:t>: Proper execution and interpretation of IFA require technical expertise, limiting uptake in resource-constrained settings.</w:t>
      </w:r>
    </w:p>
    <w:p w14:paraId="23F2CCB1" w14:textId="17772EB8" w:rsidR="00593186" w:rsidRDefault="00593186">
      <w:r>
        <w:br w:type="page"/>
      </w:r>
    </w:p>
    <w:p w14:paraId="00C9CEDD" w14:textId="77777777" w:rsidR="00593186" w:rsidRPr="00593186" w:rsidRDefault="00593186" w:rsidP="00593186">
      <w:pPr>
        <w:shd w:val="clear" w:color="auto" w:fill="FFFFFF"/>
        <w:spacing w:after="0" w:line="240" w:lineRule="auto"/>
        <w:outlineLvl w:val="2"/>
        <w:rPr>
          <w:rFonts w:ascii="Segoe UI" w:eastAsia="Times New Roman" w:hAnsi="Segoe UI" w:cs="Segoe UI"/>
          <w:b/>
          <w:bCs/>
          <w:color w:val="0D0D0D"/>
          <w:sz w:val="30"/>
          <w:szCs w:val="30"/>
          <w:lang w:eastAsia="en-IN"/>
        </w:rPr>
      </w:pPr>
      <w:r w:rsidRPr="00593186">
        <w:rPr>
          <w:rFonts w:ascii="Segoe UI" w:eastAsia="Times New Roman" w:hAnsi="Segoe UI" w:cs="Segoe UI"/>
          <w:b/>
          <w:bCs/>
          <w:color w:val="0D0D0D"/>
          <w:sz w:val="30"/>
          <w:szCs w:val="30"/>
          <w:lang w:eastAsia="en-IN"/>
        </w:rPr>
        <w:lastRenderedPageBreak/>
        <w:t>8. Report Summary, FAQs, and SEO Schema</w:t>
      </w:r>
    </w:p>
    <w:p w14:paraId="5911ABA8"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A.1. Full Report Title</w:t>
      </w:r>
    </w:p>
    <w:p w14:paraId="15F32ECA"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 xml:space="preserve">Immunofluorescence Assay Market </w:t>
      </w:r>
      <w:proofErr w:type="gramStart"/>
      <w:r w:rsidRPr="00593186">
        <w:rPr>
          <w:rFonts w:ascii="Segoe UI" w:eastAsia="Times New Roman" w:hAnsi="Segoe UI" w:cs="Segoe UI"/>
          <w:b/>
          <w:bCs/>
          <w:color w:val="0D0D0D"/>
          <w:sz w:val="24"/>
          <w:szCs w:val="24"/>
          <w:lang w:eastAsia="en-IN"/>
        </w:rPr>
        <w:t>By</w:t>
      </w:r>
      <w:proofErr w:type="gramEnd"/>
      <w:r w:rsidRPr="00593186">
        <w:rPr>
          <w:rFonts w:ascii="Segoe UI" w:eastAsia="Times New Roman" w:hAnsi="Segoe UI" w:cs="Segoe UI"/>
          <w:b/>
          <w:bCs/>
          <w:color w:val="0D0D0D"/>
          <w:sz w:val="24"/>
          <w:szCs w:val="24"/>
          <w:lang w:eastAsia="en-IN"/>
        </w:rPr>
        <w:t xml:space="preserve"> Type (Direct, Indirect); By Application (Cancer Diagnostics, Autoimmune Disease Diagnosis, Infectious Disease Detection, Neuroscience Research, Others); By End User (Clinical Laboratories, Hospitals &amp; Diagnostic </w:t>
      </w:r>
      <w:proofErr w:type="spellStart"/>
      <w:r w:rsidRPr="00593186">
        <w:rPr>
          <w:rFonts w:ascii="Segoe UI" w:eastAsia="Times New Roman" w:hAnsi="Segoe UI" w:cs="Segoe UI"/>
          <w:b/>
          <w:bCs/>
          <w:color w:val="0D0D0D"/>
          <w:sz w:val="24"/>
          <w:szCs w:val="24"/>
          <w:lang w:eastAsia="en-IN"/>
        </w:rPr>
        <w:t>Centers</w:t>
      </w:r>
      <w:proofErr w:type="spellEnd"/>
      <w:r w:rsidRPr="00593186">
        <w:rPr>
          <w:rFonts w:ascii="Segoe UI" w:eastAsia="Times New Roman" w:hAnsi="Segoe UI" w:cs="Segoe UI"/>
          <w:b/>
          <w:bCs/>
          <w:color w:val="0D0D0D"/>
          <w:sz w:val="24"/>
          <w:szCs w:val="24"/>
          <w:lang w:eastAsia="en-IN"/>
        </w:rPr>
        <w:t>, Academic &amp; Research Institutions, Pharmaceutical &amp; Biotechnology Companies); By Geography, Segment Revenue Estimation, Forecast, 2024–2030.</w:t>
      </w:r>
    </w:p>
    <w:p w14:paraId="2D56C9C2" w14:textId="77777777" w:rsidR="00593186" w:rsidRPr="00593186" w:rsidRDefault="00593186" w:rsidP="00593186">
      <w:pPr>
        <w:spacing w:before="720" w:after="720" w:line="240" w:lineRule="auto"/>
        <w:rPr>
          <w:rFonts w:ascii="Times New Roman" w:eastAsia="Times New Roman" w:hAnsi="Times New Roman" w:cs="Times New Roman"/>
          <w:sz w:val="24"/>
          <w:szCs w:val="24"/>
          <w:lang w:eastAsia="en-IN"/>
        </w:rPr>
      </w:pPr>
      <w:r w:rsidRPr="00593186">
        <w:rPr>
          <w:rFonts w:ascii="Times New Roman" w:eastAsia="Times New Roman" w:hAnsi="Times New Roman" w:cs="Times New Roman"/>
          <w:sz w:val="24"/>
          <w:szCs w:val="24"/>
          <w:lang w:eastAsia="en-IN"/>
        </w:rPr>
        <w:pict w14:anchorId="3E77BDE8">
          <v:rect id="_x0000_i1029" style="width:0;height:0" o:hralign="center" o:hrstd="t" o:hrnoshade="t" o:hr="t" fillcolor="#0d0d0d" stroked="f"/>
        </w:pict>
      </w:r>
    </w:p>
    <w:p w14:paraId="7586F12A"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A.2. SEO-Friendly Market Name</w:t>
      </w:r>
    </w:p>
    <w:p w14:paraId="54DEC25B"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immunofluorescence assay market</w:t>
      </w:r>
    </w:p>
    <w:p w14:paraId="00D2FEB2" w14:textId="77777777" w:rsidR="00593186" w:rsidRPr="00593186" w:rsidRDefault="00593186" w:rsidP="00593186">
      <w:pPr>
        <w:spacing w:before="720" w:after="720" w:line="240" w:lineRule="auto"/>
        <w:rPr>
          <w:rFonts w:ascii="Times New Roman" w:eastAsia="Times New Roman" w:hAnsi="Times New Roman" w:cs="Times New Roman"/>
          <w:sz w:val="24"/>
          <w:szCs w:val="24"/>
          <w:lang w:eastAsia="en-IN"/>
        </w:rPr>
      </w:pPr>
      <w:r w:rsidRPr="00593186">
        <w:rPr>
          <w:rFonts w:ascii="Times New Roman" w:eastAsia="Times New Roman" w:hAnsi="Times New Roman" w:cs="Times New Roman"/>
          <w:sz w:val="24"/>
          <w:szCs w:val="24"/>
          <w:lang w:eastAsia="en-IN"/>
        </w:rPr>
        <w:pict w14:anchorId="12BD4015">
          <v:rect id="_x0000_i1030" style="width:0;height:0" o:hralign="center" o:hrstd="t" o:hrnoshade="t" o:hr="t" fillcolor="#0d0d0d" stroked="f"/>
        </w:pict>
      </w:r>
    </w:p>
    <w:p w14:paraId="398199C7"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A.3. Title Tag for Market Size</w:t>
      </w:r>
    </w:p>
    <w:p w14:paraId="3BF53A17" w14:textId="2A4D73BE"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Immunofluorescence Assay Market Size ($</w:t>
      </w:r>
      <w:r w:rsidR="00D14133">
        <w:rPr>
          <w:rFonts w:ascii="Segoe UI" w:eastAsia="Times New Roman" w:hAnsi="Segoe UI" w:cs="Segoe UI"/>
          <w:b/>
          <w:bCs/>
          <w:color w:val="0D0D0D"/>
          <w:sz w:val="24"/>
          <w:szCs w:val="24"/>
          <w:lang w:eastAsia="en-IN"/>
        </w:rPr>
        <w:t>3.15</w:t>
      </w:r>
      <w:r w:rsidRPr="00593186">
        <w:rPr>
          <w:rFonts w:ascii="Segoe UI" w:eastAsia="Times New Roman" w:hAnsi="Segoe UI" w:cs="Segoe UI"/>
          <w:b/>
          <w:bCs/>
          <w:color w:val="0D0D0D"/>
          <w:sz w:val="24"/>
          <w:szCs w:val="24"/>
          <w:lang w:eastAsia="en-IN"/>
        </w:rPr>
        <w:t xml:space="preserve"> Billion) 2030</w:t>
      </w:r>
    </w:p>
    <w:p w14:paraId="49C25EA5" w14:textId="77777777" w:rsidR="00593186" w:rsidRPr="00593186" w:rsidRDefault="00593186" w:rsidP="00593186">
      <w:pPr>
        <w:spacing w:before="720" w:after="720" w:line="240" w:lineRule="auto"/>
        <w:rPr>
          <w:rFonts w:ascii="Times New Roman" w:eastAsia="Times New Roman" w:hAnsi="Times New Roman" w:cs="Times New Roman"/>
          <w:sz w:val="24"/>
          <w:szCs w:val="24"/>
          <w:lang w:eastAsia="en-IN"/>
        </w:rPr>
      </w:pPr>
      <w:r w:rsidRPr="00593186">
        <w:rPr>
          <w:rFonts w:ascii="Times New Roman" w:eastAsia="Times New Roman" w:hAnsi="Times New Roman" w:cs="Times New Roman"/>
          <w:sz w:val="24"/>
          <w:szCs w:val="24"/>
          <w:lang w:eastAsia="en-IN"/>
        </w:rPr>
        <w:pict w14:anchorId="01500E18">
          <v:rect id="_x0000_i1031" style="width:0;height:0" o:hralign="center" o:hrstd="t" o:hrnoshade="t" o:hr="t" fillcolor="#0d0d0d" stroked="f"/>
        </w:pict>
      </w:r>
    </w:p>
    <w:p w14:paraId="40B5B50F" w14:textId="77777777" w:rsidR="00593186" w:rsidRPr="00593186" w:rsidRDefault="00593186" w:rsidP="00593186">
      <w:pPr>
        <w:shd w:val="clear" w:color="auto" w:fill="FFFFFF"/>
        <w:spacing w:after="0" w:line="240" w:lineRule="auto"/>
        <w:outlineLvl w:val="2"/>
        <w:rPr>
          <w:rFonts w:ascii="Segoe UI" w:eastAsia="Times New Roman" w:hAnsi="Segoe UI" w:cs="Segoe UI"/>
          <w:b/>
          <w:bCs/>
          <w:color w:val="0D0D0D"/>
          <w:sz w:val="30"/>
          <w:szCs w:val="30"/>
          <w:lang w:eastAsia="en-IN"/>
        </w:rPr>
      </w:pPr>
      <w:r w:rsidRPr="00593186">
        <w:rPr>
          <w:rFonts w:ascii="Segoe UI" w:eastAsia="Times New Roman" w:hAnsi="Segoe UI" w:cs="Segoe UI"/>
          <w:b/>
          <w:bCs/>
          <w:color w:val="0D0D0D"/>
          <w:sz w:val="30"/>
          <w:szCs w:val="30"/>
          <w:lang w:eastAsia="en-IN"/>
        </w:rPr>
        <w:t>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29"/>
        <w:gridCol w:w="6791"/>
      </w:tblGrid>
      <w:tr w:rsidR="00593186" w:rsidRPr="00593186" w14:paraId="42EE5FBB" w14:textId="77777777" w:rsidTr="00593186">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5EFE77A" w14:textId="77777777" w:rsidR="00593186" w:rsidRPr="00593186" w:rsidRDefault="00593186" w:rsidP="00593186">
            <w:pPr>
              <w:spacing w:after="0" w:line="240" w:lineRule="atLeast"/>
              <w:jc w:val="center"/>
              <w:rPr>
                <w:rFonts w:ascii="Times New Roman" w:eastAsia="Times New Roman" w:hAnsi="Times New Roman" w:cs="Times New Roman"/>
                <w:b/>
                <w:bCs/>
                <w:color w:val="0D0D0D"/>
                <w:sz w:val="21"/>
                <w:szCs w:val="21"/>
                <w:lang w:eastAsia="en-IN"/>
              </w:rPr>
            </w:pPr>
            <w:r w:rsidRPr="00593186">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F9003CB" w14:textId="77777777" w:rsidR="00593186" w:rsidRPr="00593186" w:rsidRDefault="00593186" w:rsidP="00593186">
            <w:pPr>
              <w:spacing w:after="0" w:line="240" w:lineRule="atLeast"/>
              <w:jc w:val="center"/>
              <w:rPr>
                <w:rFonts w:ascii="Times New Roman" w:eastAsia="Times New Roman" w:hAnsi="Times New Roman" w:cs="Times New Roman"/>
                <w:b/>
                <w:bCs/>
                <w:color w:val="0D0D0D"/>
                <w:sz w:val="21"/>
                <w:szCs w:val="21"/>
                <w:lang w:eastAsia="en-IN"/>
              </w:rPr>
            </w:pPr>
            <w:r w:rsidRPr="00593186">
              <w:rPr>
                <w:rFonts w:ascii="Times New Roman" w:eastAsia="Times New Roman" w:hAnsi="Times New Roman" w:cs="Times New Roman"/>
                <w:b/>
                <w:bCs/>
                <w:color w:val="0D0D0D"/>
                <w:sz w:val="21"/>
                <w:szCs w:val="21"/>
                <w:lang w:eastAsia="en-IN"/>
              </w:rPr>
              <w:t>Details</w:t>
            </w:r>
          </w:p>
        </w:tc>
      </w:tr>
      <w:tr w:rsidR="00593186" w:rsidRPr="00593186" w14:paraId="3F51630C" w14:textId="77777777" w:rsidTr="0059318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DDB72BB"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b/>
                <w:bCs/>
                <w:color w:val="0D0D0D"/>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CD5C0D"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sz w:val="21"/>
                <w:szCs w:val="21"/>
                <w:lang w:eastAsia="en-IN"/>
              </w:rPr>
              <w:t>2024 – 2030</w:t>
            </w:r>
          </w:p>
        </w:tc>
      </w:tr>
      <w:tr w:rsidR="00593186" w:rsidRPr="00593186" w14:paraId="10364D2A" w14:textId="77777777" w:rsidTr="0059318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05194CF"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b/>
                <w:bCs/>
                <w:color w:val="0D0D0D"/>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C68DAF"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b/>
                <w:bCs/>
                <w:color w:val="0D0D0D"/>
                <w:sz w:val="21"/>
                <w:szCs w:val="21"/>
                <w:lang w:eastAsia="en-IN"/>
              </w:rPr>
              <w:t>USD 2.1 Billion</w:t>
            </w:r>
          </w:p>
        </w:tc>
      </w:tr>
      <w:tr w:rsidR="00593186" w:rsidRPr="00593186" w14:paraId="2748ABB3" w14:textId="77777777" w:rsidTr="0059318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E3B0EE4"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b/>
                <w:bCs/>
                <w:color w:val="0D0D0D"/>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B6F103" w14:textId="4B8936AD"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b/>
                <w:bCs/>
                <w:color w:val="0D0D0D"/>
                <w:sz w:val="21"/>
                <w:szCs w:val="21"/>
                <w:lang w:eastAsia="en-IN"/>
              </w:rPr>
              <w:t xml:space="preserve">USD </w:t>
            </w:r>
            <w:r w:rsidR="00D14133">
              <w:rPr>
                <w:rFonts w:ascii="Times New Roman" w:eastAsia="Times New Roman" w:hAnsi="Times New Roman" w:cs="Times New Roman"/>
                <w:b/>
                <w:bCs/>
                <w:color w:val="0D0D0D"/>
                <w:sz w:val="21"/>
                <w:szCs w:val="21"/>
                <w:lang w:eastAsia="en-IN"/>
              </w:rPr>
              <w:t>3.15</w:t>
            </w:r>
            <w:r w:rsidRPr="00593186">
              <w:rPr>
                <w:rFonts w:ascii="Times New Roman" w:eastAsia="Times New Roman" w:hAnsi="Times New Roman" w:cs="Times New Roman"/>
                <w:b/>
                <w:bCs/>
                <w:color w:val="0D0D0D"/>
                <w:sz w:val="21"/>
                <w:szCs w:val="21"/>
                <w:lang w:eastAsia="en-IN"/>
              </w:rPr>
              <w:t xml:space="preserve"> Billion</w:t>
            </w:r>
          </w:p>
        </w:tc>
      </w:tr>
      <w:tr w:rsidR="00593186" w:rsidRPr="00593186" w14:paraId="59182024" w14:textId="77777777" w:rsidTr="0059318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9EFC0EE"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b/>
                <w:bCs/>
                <w:color w:val="0D0D0D"/>
                <w:sz w:val="21"/>
                <w:szCs w:val="21"/>
                <w:lang w:eastAsia="en-IN"/>
              </w:rPr>
              <w:t>Overall Growth Rate (CAGR)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C92833" w14:textId="4E5D4AC0" w:rsidR="00593186" w:rsidRPr="00593186" w:rsidRDefault="00D14133" w:rsidP="00593186">
            <w:pPr>
              <w:spacing w:after="0" w:line="240" w:lineRule="auto"/>
              <w:rPr>
                <w:rFonts w:ascii="Times New Roman" w:eastAsia="Times New Roman" w:hAnsi="Times New Roman" w:cs="Times New Roman"/>
                <w:sz w:val="21"/>
                <w:szCs w:val="21"/>
                <w:lang w:eastAsia="en-IN"/>
              </w:rPr>
            </w:pPr>
            <w:r>
              <w:rPr>
                <w:rFonts w:ascii="Times New Roman" w:eastAsia="Times New Roman" w:hAnsi="Times New Roman" w:cs="Times New Roman"/>
                <w:b/>
                <w:bCs/>
                <w:color w:val="0D0D0D"/>
                <w:sz w:val="21"/>
                <w:szCs w:val="21"/>
                <w:lang w:eastAsia="en-IN"/>
              </w:rPr>
              <w:t>7.2</w:t>
            </w:r>
            <w:r w:rsidR="00593186" w:rsidRPr="00593186">
              <w:rPr>
                <w:rFonts w:ascii="Times New Roman" w:eastAsia="Times New Roman" w:hAnsi="Times New Roman" w:cs="Times New Roman"/>
                <w:b/>
                <w:bCs/>
                <w:color w:val="0D0D0D"/>
                <w:sz w:val="21"/>
                <w:szCs w:val="21"/>
                <w:lang w:eastAsia="en-IN"/>
              </w:rPr>
              <w:t>% (2024 – 2030)</w:t>
            </w:r>
          </w:p>
        </w:tc>
      </w:tr>
      <w:tr w:rsidR="00593186" w:rsidRPr="00593186" w14:paraId="5CEAFB14" w14:textId="77777777" w:rsidTr="0059318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D95E969"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b/>
                <w:bCs/>
                <w:color w:val="0D0D0D"/>
                <w:sz w:val="21"/>
                <w:szCs w:val="21"/>
                <w:lang w:eastAsia="en-IN"/>
              </w:rPr>
              <w:lastRenderedPageBreak/>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281CF0"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sz w:val="21"/>
                <w:szCs w:val="21"/>
                <w:lang w:eastAsia="en-IN"/>
              </w:rPr>
              <w:t>2023</w:t>
            </w:r>
          </w:p>
        </w:tc>
      </w:tr>
      <w:tr w:rsidR="00593186" w:rsidRPr="00593186" w14:paraId="47767F77" w14:textId="77777777" w:rsidTr="0059318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DAF0A94"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b/>
                <w:bCs/>
                <w:color w:val="0D0D0D"/>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35A136"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sz w:val="21"/>
                <w:szCs w:val="21"/>
                <w:lang w:eastAsia="en-IN"/>
              </w:rPr>
              <w:t>2017 – 2021</w:t>
            </w:r>
          </w:p>
        </w:tc>
      </w:tr>
      <w:tr w:rsidR="00593186" w:rsidRPr="00593186" w14:paraId="116FBDB3" w14:textId="77777777" w:rsidTr="0059318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804D2F8"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b/>
                <w:bCs/>
                <w:color w:val="0D0D0D"/>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1E4CA8"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sz w:val="21"/>
                <w:szCs w:val="21"/>
                <w:lang w:eastAsia="en-IN"/>
              </w:rPr>
              <w:t>USD Million, CAGR (2024 – 2030)</w:t>
            </w:r>
          </w:p>
        </w:tc>
      </w:tr>
      <w:tr w:rsidR="00593186" w:rsidRPr="00593186" w14:paraId="331ECA8C" w14:textId="77777777" w:rsidTr="0059318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6CD2864"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b/>
                <w:bCs/>
                <w:color w:val="0D0D0D"/>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9325D3"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sz w:val="21"/>
                <w:szCs w:val="21"/>
                <w:lang w:eastAsia="en-IN"/>
              </w:rPr>
              <w:t>By Type, By Application, By End User, By Geography</w:t>
            </w:r>
          </w:p>
        </w:tc>
      </w:tr>
      <w:tr w:rsidR="00593186" w:rsidRPr="00593186" w14:paraId="04EED753" w14:textId="77777777" w:rsidTr="0059318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F4D2DDB"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b/>
                <w:bCs/>
                <w:color w:val="0D0D0D"/>
                <w:sz w:val="21"/>
                <w:szCs w:val="21"/>
                <w:lang w:eastAsia="en-IN"/>
              </w:rPr>
              <w:t>By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E511F7"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sz w:val="21"/>
                <w:szCs w:val="21"/>
                <w:lang w:eastAsia="en-IN"/>
              </w:rPr>
              <w:t>Direct, Indirect</w:t>
            </w:r>
          </w:p>
        </w:tc>
      </w:tr>
      <w:tr w:rsidR="00593186" w:rsidRPr="00593186" w14:paraId="6D8A35C2" w14:textId="77777777" w:rsidTr="0059318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C72D2B"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b/>
                <w:bCs/>
                <w:color w:val="0D0D0D"/>
                <w:sz w:val="21"/>
                <w:szCs w:val="21"/>
                <w:lang w:eastAsia="en-IN"/>
              </w:rPr>
              <w:t>By Application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1CB64B"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sz w:val="21"/>
                <w:szCs w:val="21"/>
                <w:lang w:eastAsia="en-IN"/>
              </w:rPr>
              <w:t>Cancer Diagnostics, Autoimmune Disease Diagnosis, Infectious Disease Detection, Neuroscience Research, Others</w:t>
            </w:r>
          </w:p>
        </w:tc>
      </w:tr>
      <w:tr w:rsidR="00593186" w:rsidRPr="00593186" w14:paraId="5A2D26B9" w14:textId="77777777" w:rsidTr="0059318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A3D3D7F"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b/>
                <w:bCs/>
                <w:color w:val="0D0D0D"/>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6D323D"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sz w:val="21"/>
                <w:szCs w:val="21"/>
                <w:lang w:eastAsia="en-IN"/>
              </w:rPr>
              <w:t xml:space="preserve">Clinical Laboratories, Hospitals &amp; Diagnostic </w:t>
            </w:r>
            <w:proofErr w:type="spellStart"/>
            <w:r w:rsidRPr="00593186">
              <w:rPr>
                <w:rFonts w:ascii="Times New Roman" w:eastAsia="Times New Roman" w:hAnsi="Times New Roman" w:cs="Times New Roman"/>
                <w:sz w:val="21"/>
                <w:szCs w:val="21"/>
                <w:lang w:eastAsia="en-IN"/>
              </w:rPr>
              <w:t>Centers</w:t>
            </w:r>
            <w:proofErr w:type="spellEnd"/>
            <w:r w:rsidRPr="00593186">
              <w:rPr>
                <w:rFonts w:ascii="Times New Roman" w:eastAsia="Times New Roman" w:hAnsi="Times New Roman" w:cs="Times New Roman"/>
                <w:sz w:val="21"/>
                <w:szCs w:val="21"/>
                <w:lang w:eastAsia="en-IN"/>
              </w:rPr>
              <w:t>, Academic &amp; Research Institutions, Pharmaceutical &amp; Biotechnology Companies</w:t>
            </w:r>
          </w:p>
        </w:tc>
      </w:tr>
      <w:tr w:rsidR="00593186" w:rsidRPr="00593186" w14:paraId="203DB028" w14:textId="77777777" w:rsidTr="0059318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1337BE0"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b/>
                <w:bCs/>
                <w:color w:val="0D0D0D"/>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23ECBB"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sz w:val="21"/>
                <w:szCs w:val="21"/>
                <w:lang w:eastAsia="en-IN"/>
              </w:rPr>
              <w:t>North America, Europe, Asia-Pacific, Latin America, Middle East &amp; Africa</w:t>
            </w:r>
          </w:p>
        </w:tc>
      </w:tr>
      <w:tr w:rsidR="00593186" w:rsidRPr="00593186" w14:paraId="34A197A9" w14:textId="77777777" w:rsidTr="0059318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99BA97F"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b/>
                <w:bCs/>
                <w:color w:val="0D0D0D"/>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C26B77"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sz w:val="21"/>
                <w:szCs w:val="21"/>
                <w:lang w:eastAsia="en-IN"/>
              </w:rPr>
              <w:t>U.S., UK, Germany, China, India, Japan, Brazil, etc.</w:t>
            </w:r>
          </w:p>
        </w:tc>
      </w:tr>
      <w:tr w:rsidR="00593186" w:rsidRPr="00593186" w14:paraId="2B512BE8" w14:textId="77777777" w:rsidTr="0059318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4409A8"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b/>
                <w:bCs/>
                <w:color w:val="0D0D0D"/>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335502"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sz w:val="21"/>
                <w:szCs w:val="21"/>
                <w:lang w:eastAsia="en-IN"/>
              </w:rPr>
              <w:t>- Growth in autoimmune disease diagnostics</w:t>
            </w:r>
            <w:r w:rsidRPr="00593186">
              <w:rPr>
                <w:rFonts w:ascii="Times New Roman" w:eastAsia="Times New Roman" w:hAnsi="Times New Roman" w:cs="Times New Roman"/>
                <w:sz w:val="21"/>
                <w:szCs w:val="21"/>
                <w:lang w:eastAsia="en-IN"/>
              </w:rPr>
              <w:br/>
              <w:t>- Rise in cancer immunotherapy research</w:t>
            </w:r>
            <w:r w:rsidRPr="00593186">
              <w:rPr>
                <w:rFonts w:ascii="Times New Roman" w:eastAsia="Times New Roman" w:hAnsi="Times New Roman" w:cs="Times New Roman"/>
                <w:sz w:val="21"/>
                <w:szCs w:val="21"/>
                <w:lang w:eastAsia="en-IN"/>
              </w:rPr>
              <w:br/>
              <w:t>- Expansion of digital pathology platforms</w:t>
            </w:r>
          </w:p>
        </w:tc>
      </w:tr>
      <w:tr w:rsidR="00593186" w:rsidRPr="00593186" w14:paraId="44C29BC6" w14:textId="77777777" w:rsidTr="00593186">
        <w:trPr>
          <w:tblCellSpacing w:w="15" w:type="dxa"/>
        </w:trPr>
        <w:tc>
          <w:tcPr>
            <w:tcW w:w="0" w:type="auto"/>
            <w:tcMar>
              <w:top w:w="137" w:type="dxa"/>
              <w:left w:w="0" w:type="dxa"/>
              <w:bottom w:w="360" w:type="dxa"/>
              <w:right w:w="137" w:type="dxa"/>
            </w:tcMar>
            <w:vAlign w:val="bottom"/>
            <w:hideMark/>
          </w:tcPr>
          <w:p w14:paraId="640E389F"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b/>
                <w:bCs/>
                <w:color w:val="0D0D0D"/>
                <w:sz w:val="21"/>
                <w:szCs w:val="21"/>
                <w:lang w:eastAsia="en-IN"/>
              </w:rPr>
              <w:t>Customization Option</w:t>
            </w:r>
          </w:p>
        </w:tc>
        <w:tc>
          <w:tcPr>
            <w:tcW w:w="0" w:type="auto"/>
            <w:tcMar>
              <w:top w:w="137" w:type="dxa"/>
              <w:left w:w="137" w:type="dxa"/>
              <w:bottom w:w="360" w:type="dxa"/>
              <w:right w:w="0" w:type="dxa"/>
            </w:tcMar>
            <w:vAlign w:val="bottom"/>
            <w:hideMark/>
          </w:tcPr>
          <w:p w14:paraId="109F27B2" w14:textId="77777777" w:rsidR="00593186" w:rsidRPr="00593186" w:rsidRDefault="00593186" w:rsidP="00593186">
            <w:pPr>
              <w:spacing w:after="0" w:line="240" w:lineRule="auto"/>
              <w:rPr>
                <w:rFonts w:ascii="Times New Roman" w:eastAsia="Times New Roman" w:hAnsi="Times New Roman" w:cs="Times New Roman"/>
                <w:sz w:val="21"/>
                <w:szCs w:val="21"/>
                <w:lang w:eastAsia="en-IN"/>
              </w:rPr>
            </w:pPr>
            <w:r w:rsidRPr="00593186">
              <w:rPr>
                <w:rFonts w:ascii="Times New Roman" w:eastAsia="Times New Roman" w:hAnsi="Times New Roman" w:cs="Times New Roman"/>
                <w:sz w:val="21"/>
                <w:szCs w:val="21"/>
                <w:lang w:eastAsia="en-IN"/>
              </w:rPr>
              <w:t>Available upon request</w:t>
            </w:r>
          </w:p>
        </w:tc>
      </w:tr>
    </w:tbl>
    <w:p w14:paraId="78DED909" w14:textId="77777777" w:rsidR="00593186" w:rsidRPr="00593186" w:rsidRDefault="00593186" w:rsidP="00593186">
      <w:pPr>
        <w:spacing w:before="720" w:after="720" w:line="240" w:lineRule="auto"/>
        <w:rPr>
          <w:rFonts w:ascii="Times New Roman" w:eastAsia="Times New Roman" w:hAnsi="Times New Roman" w:cs="Times New Roman"/>
          <w:sz w:val="24"/>
          <w:szCs w:val="24"/>
          <w:lang w:eastAsia="en-IN"/>
        </w:rPr>
      </w:pPr>
      <w:r w:rsidRPr="00593186">
        <w:rPr>
          <w:rFonts w:ascii="Times New Roman" w:eastAsia="Times New Roman" w:hAnsi="Times New Roman" w:cs="Times New Roman"/>
          <w:sz w:val="24"/>
          <w:szCs w:val="24"/>
          <w:lang w:eastAsia="en-IN"/>
        </w:rPr>
        <w:pict w14:anchorId="7739657D">
          <v:rect id="_x0000_i1032" style="width:0;height:0" o:hralign="center" o:hrstd="t" o:hrnoshade="t" o:hr="t" fillcolor="#0d0d0d" stroked="f"/>
        </w:pict>
      </w:r>
    </w:p>
    <w:p w14:paraId="183933DF" w14:textId="77777777" w:rsidR="00593186" w:rsidRPr="00593186" w:rsidRDefault="00593186" w:rsidP="00593186">
      <w:pPr>
        <w:shd w:val="clear" w:color="auto" w:fill="FFFFFF"/>
        <w:spacing w:after="0" w:line="240" w:lineRule="auto"/>
        <w:outlineLvl w:val="2"/>
        <w:rPr>
          <w:rFonts w:ascii="Segoe UI" w:eastAsia="Times New Roman" w:hAnsi="Segoe UI" w:cs="Segoe UI"/>
          <w:b/>
          <w:bCs/>
          <w:color w:val="0D0D0D"/>
          <w:sz w:val="30"/>
          <w:szCs w:val="30"/>
          <w:lang w:eastAsia="en-IN"/>
        </w:rPr>
      </w:pPr>
      <w:r w:rsidRPr="00593186">
        <w:rPr>
          <w:rFonts w:ascii="Segoe UI" w:eastAsia="Times New Roman" w:hAnsi="Segoe UI" w:cs="Segoe UI"/>
          <w:b/>
          <w:bCs/>
          <w:color w:val="0D0D0D"/>
          <w:sz w:val="30"/>
          <w:szCs w:val="30"/>
          <w:lang w:eastAsia="en-IN"/>
        </w:rPr>
        <w:t>C. Top 5 FAQs (with Answers)</w:t>
      </w:r>
    </w:p>
    <w:p w14:paraId="6587A064"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Q1: How big is the immunofluorescence assay market?</w:t>
      </w:r>
      <w:r w:rsidRPr="00593186">
        <w:rPr>
          <w:rFonts w:ascii="Segoe UI" w:eastAsia="Times New Roman" w:hAnsi="Segoe UI" w:cs="Segoe UI"/>
          <w:color w:val="0D0D0D"/>
          <w:sz w:val="24"/>
          <w:szCs w:val="24"/>
          <w:lang w:eastAsia="en-IN"/>
        </w:rPr>
        <w:br/>
      </w:r>
      <w:r w:rsidRPr="00593186">
        <w:rPr>
          <w:rFonts w:ascii="Segoe UI" w:eastAsia="Times New Roman" w:hAnsi="Segoe UI" w:cs="Segoe UI"/>
          <w:i/>
          <w:iCs/>
          <w:color w:val="0D0D0D"/>
          <w:sz w:val="24"/>
          <w:szCs w:val="24"/>
          <w:lang w:eastAsia="en-IN"/>
        </w:rPr>
        <w:t>A1: The global immunofluorescence assay market was valued at </w:t>
      </w:r>
      <w:r w:rsidRPr="00593186">
        <w:rPr>
          <w:rFonts w:ascii="Segoe UI" w:eastAsia="Times New Roman" w:hAnsi="Segoe UI" w:cs="Segoe UI"/>
          <w:b/>
          <w:bCs/>
          <w:i/>
          <w:iCs/>
          <w:color w:val="0D0D0D"/>
          <w:sz w:val="24"/>
          <w:szCs w:val="24"/>
          <w:lang w:eastAsia="en-IN"/>
        </w:rPr>
        <w:t>USD 2.1 billion in 2024</w:t>
      </w:r>
      <w:r w:rsidRPr="00593186">
        <w:rPr>
          <w:rFonts w:ascii="Segoe UI" w:eastAsia="Times New Roman" w:hAnsi="Segoe UI" w:cs="Segoe UI"/>
          <w:i/>
          <w:iCs/>
          <w:color w:val="0D0D0D"/>
          <w:sz w:val="24"/>
          <w:szCs w:val="24"/>
          <w:lang w:eastAsia="en-IN"/>
        </w:rPr>
        <w:t>.</w:t>
      </w:r>
    </w:p>
    <w:p w14:paraId="1F2106E1" w14:textId="41A98774"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Q2: What is the CAGR for the immunofluorescence assay market during the forecast period?</w:t>
      </w:r>
      <w:r w:rsidRPr="00593186">
        <w:rPr>
          <w:rFonts w:ascii="Segoe UI" w:eastAsia="Times New Roman" w:hAnsi="Segoe UI" w:cs="Segoe UI"/>
          <w:color w:val="0D0D0D"/>
          <w:sz w:val="24"/>
          <w:szCs w:val="24"/>
          <w:lang w:eastAsia="en-IN"/>
        </w:rPr>
        <w:br/>
      </w:r>
      <w:r w:rsidRPr="00593186">
        <w:rPr>
          <w:rFonts w:ascii="Segoe UI" w:eastAsia="Times New Roman" w:hAnsi="Segoe UI" w:cs="Segoe UI"/>
          <w:i/>
          <w:iCs/>
          <w:color w:val="0D0D0D"/>
          <w:sz w:val="24"/>
          <w:szCs w:val="24"/>
          <w:lang w:eastAsia="en-IN"/>
        </w:rPr>
        <w:t>A2: The market is expected to grow at a </w:t>
      </w:r>
      <w:r w:rsidRPr="00593186">
        <w:rPr>
          <w:rFonts w:ascii="Segoe UI" w:eastAsia="Times New Roman" w:hAnsi="Segoe UI" w:cs="Segoe UI"/>
          <w:b/>
          <w:bCs/>
          <w:i/>
          <w:iCs/>
          <w:color w:val="0D0D0D"/>
          <w:sz w:val="24"/>
          <w:szCs w:val="24"/>
          <w:lang w:eastAsia="en-IN"/>
        </w:rPr>
        <w:t xml:space="preserve">CAGR of </w:t>
      </w:r>
      <w:r w:rsidR="00D14133">
        <w:rPr>
          <w:rFonts w:ascii="Segoe UI" w:eastAsia="Times New Roman" w:hAnsi="Segoe UI" w:cs="Segoe UI"/>
          <w:b/>
          <w:bCs/>
          <w:i/>
          <w:iCs/>
          <w:color w:val="0D0D0D"/>
          <w:sz w:val="24"/>
          <w:szCs w:val="24"/>
          <w:lang w:eastAsia="en-IN"/>
        </w:rPr>
        <w:t>7.2</w:t>
      </w:r>
      <w:r w:rsidRPr="00593186">
        <w:rPr>
          <w:rFonts w:ascii="Segoe UI" w:eastAsia="Times New Roman" w:hAnsi="Segoe UI" w:cs="Segoe UI"/>
          <w:b/>
          <w:bCs/>
          <w:i/>
          <w:iCs/>
          <w:color w:val="0D0D0D"/>
          <w:sz w:val="24"/>
          <w:szCs w:val="24"/>
          <w:lang w:eastAsia="en-IN"/>
        </w:rPr>
        <w:t>% from 2024 to 2030</w:t>
      </w:r>
      <w:r w:rsidRPr="00593186">
        <w:rPr>
          <w:rFonts w:ascii="Segoe UI" w:eastAsia="Times New Roman" w:hAnsi="Segoe UI" w:cs="Segoe UI"/>
          <w:i/>
          <w:iCs/>
          <w:color w:val="0D0D0D"/>
          <w:sz w:val="24"/>
          <w:szCs w:val="24"/>
          <w:lang w:eastAsia="en-IN"/>
        </w:rPr>
        <w:t>.</w:t>
      </w:r>
    </w:p>
    <w:p w14:paraId="5111A474"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Q3: Who are the major players in the immunofluorescence assay market?</w:t>
      </w:r>
      <w:r w:rsidRPr="00593186">
        <w:rPr>
          <w:rFonts w:ascii="Segoe UI" w:eastAsia="Times New Roman" w:hAnsi="Segoe UI" w:cs="Segoe UI"/>
          <w:color w:val="0D0D0D"/>
          <w:sz w:val="24"/>
          <w:szCs w:val="24"/>
          <w:lang w:eastAsia="en-IN"/>
        </w:rPr>
        <w:br/>
      </w:r>
      <w:r w:rsidRPr="00593186">
        <w:rPr>
          <w:rFonts w:ascii="Segoe UI" w:eastAsia="Times New Roman" w:hAnsi="Segoe UI" w:cs="Segoe UI"/>
          <w:i/>
          <w:iCs/>
          <w:color w:val="0D0D0D"/>
          <w:sz w:val="24"/>
          <w:szCs w:val="24"/>
          <w:lang w:eastAsia="en-IN"/>
        </w:rPr>
        <w:t>A3: Leading players include </w:t>
      </w:r>
      <w:r w:rsidRPr="00593186">
        <w:rPr>
          <w:rFonts w:ascii="Segoe UI" w:eastAsia="Times New Roman" w:hAnsi="Segoe UI" w:cs="Segoe UI"/>
          <w:b/>
          <w:bCs/>
          <w:i/>
          <w:iCs/>
          <w:color w:val="0D0D0D"/>
          <w:sz w:val="24"/>
          <w:szCs w:val="24"/>
          <w:lang w:eastAsia="en-IN"/>
        </w:rPr>
        <w:t>Thermo Fisher Scientific</w:t>
      </w:r>
      <w:r w:rsidRPr="00593186">
        <w:rPr>
          <w:rFonts w:ascii="Segoe UI" w:eastAsia="Times New Roman" w:hAnsi="Segoe UI" w:cs="Segoe UI"/>
          <w:i/>
          <w:iCs/>
          <w:color w:val="0D0D0D"/>
          <w:sz w:val="24"/>
          <w:szCs w:val="24"/>
          <w:lang w:eastAsia="en-IN"/>
        </w:rPr>
        <w:t>, </w:t>
      </w:r>
      <w:r w:rsidRPr="00593186">
        <w:rPr>
          <w:rFonts w:ascii="Segoe UI" w:eastAsia="Times New Roman" w:hAnsi="Segoe UI" w:cs="Segoe UI"/>
          <w:b/>
          <w:bCs/>
          <w:i/>
          <w:iCs/>
          <w:color w:val="0D0D0D"/>
          <w:sz w:val="24"/>
          <w:szCs w:val="24"/>
          <w:lang w:eastAsia="en-IN"/>
        </w:rPr>
        <w:t>Bio-Rad Laboratories</w:t>
      </w:r>
      <w:r w:rsidRPr="00593186">
        <w:rPr>
          <w:rFonts w:ascii="Segoe UI" w:eastAsia="Times New Roman" w:hAnsi="Segoe UI" w:cs="Segoe UI"/>
          <w:i/>
          <w:iCs/>
          <w:color w:val="0D0D0D"/>
          <w:sz w:val="24"/>
          <w:szCs w:val="24"/>
          <w:lang w:eastAsia="en-IN"/>
        </w:rPr>
        <w:t>, and </w:t>
      </w:r>
      <w:r w:rsidRPr="00593186">
        <w:rPr>
          <w:rFonts w:ascii="Segoe UI" w:eastAsia="Times New Roman" w:hAnsi="Segoe UI" w:cs="Segoe UI"/>
          <w:b/>
          <w:bCs/>
          <w:i/>
          <w:iCs/>
          <w:color w:val="0D0D0D"/>
          <w:sz w:val="24"/>
          <w:szCs w:val="24"/>
          <w:lang w:eastAsia="en-IN"/>
        </w:rPr>
        <w:t>Danaher Corporation</w:t>
      </w:r>
      <w:r w:rsidRPr="00593186">
        <w:rPr>
          <w:rFonts w:ascii="Segoe UI" w:eastAsia="Times New Roman" w:hAnsi="Segoe UI" w:cs="Segoe UI"/>
          <w:i/>
          <w:iCs/>
          <w:color w:val="0D0D0D"/>
          <w:sz w:val="24"/>
          <w:szCs w:val="24"/>
          <w:lang w:eastAsia="en-IN"/>
        </w:rPr>
        <w:t>.</w:t>
      </w:r>
    </w:p>
    <w:p w14:paraId="2CDED141"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lastRenderedPageBreak/>
        <w:t>Q4: Which region dominates the immunofluorescence assay market?</w:t>
      </w:r>
      <w:r w:rsidRPr="00593186">
        <w:rPr>
          <w:rFonts w:ascii="Segoe UI" w:eastAsia="Times New Roman" w:hAnsi="Segoe UI" w:cs="Segoe UI"/>
          <w:color w:val="0D0D0D"/>
          <w:sz w:val="24"/>
          <w:szCs w:val="24"/>
          <w:lang w:eastAsia="en-IN"/>
        </w:rPr>
        <w:br/>
      </w:r>
      <w:r w:rsidRPr="00593186">
        <w:rPr>
          <w:rFonts w:ascii="Segoe UI" w:eastAsia="Times New Roman" w:hAnsi="Segoe UI" w:cs="Segoe UI"/>
          <w:i/>
          <w:iCs/>
          <w:color w:val="0D0D0D"/>
          <w:sz w:val="24"/>
          <w:szCs w:val="24"/>
          <w:lang w:eastAsia="en-IN"/>
        </w:rPr>
        <w:t>A4: </w:t>
      </w:r>
      <w:r w:rsidRPr="00593186">
        <w:rPr>
          <w:rFonts w:ascii="Segoe UI" w:eastAsia="Times New Roman" w:hAnsi="Segoe UI" w:cs="Segoe UI"/>
          <w:b/>
          <w:bCs/>
          <w:i/>
          <w:iCs/>
          <w:color w:val="0D0D0D"/>
          <w:sz w:val="24"/>
          <w:szCs w:val="24"/>
          <w:lang w:eastAsia="en-IN"/>
        </w:rPr>
        <w:t>North America</w:t>
      </w:r>
      <w:r w:rsidRPr="00593186">
        <w:rPr>
          <w:rFonts w:ascii="Segoe UI" w:eastAsia="Times New Roman" w:hAnsi="Segoe UI" w:cs="Segoe UI"/>
          <w:i/>
          <w:iCs/>
          <w:color w:val="0D0D0D"/>
          <w:sz w:val="24"/>
          <w:szCs w:val="24"/>
          <w:lang w:eastAsia="en-IN"/>
        </w:rPr>
        <w:t> leads due to strong lab infrastructure, R&amp;D intensity, and diagnostic funding.</w:t>
      </w:r>
    </w:p>
    <w:p w14:paraId="7B0E7FA7"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Q5: What factors are driving the immunofluorescence assay market?</w:t>
      </w:r>
      <w:r w:rsidRPr="00593186">
        <w:rPr>
          <w:rFonts w:ascii="Segoe UI" w:eastAsia="Times New Roman" w:hAnsi="Segoe UI" w:cs="Segoe UI"/>
          <w:color w:val="0D0D0D"/>
          <w:sz w:val="24"/>
          <w:szCs w:val="24"/>
          <w:lang w:eastAsia="en-IN"/>
        </w:rPr>
        <w:br/>
      </w:r>
      <w:r w:rsidRPr="00593186">
        <w:rPr>
          <w:rFonts w:ascii="Segoe UI" w:eastAsia="Times New Roman" w:hAnsi="Segoe UI" w:cs="Segoe UI"/>
          <w:i/>
          <w:iCs/>
          <w:color w:val="0D0D0D"/>
          <w:sz w:val="24"/>
          <w:szCs w:val="24"/>
          <w:lang w:eastAsia="en-IN"/>
        </w:rPr>
        <w:t xml:space="preserve">A5: Growth is </w:t>
      </w:r>
      <w:proofErr w:type="spellStart"/>
      <w:r w:rsidRPr="00593186">
        <w:rPr>
          <w:rFonts w:ascii="Segoe UI" w:eastAsia="Times New Roman" w:hAnsi="Segoe UI" w:cs="Segoe UI"/>
          <w:i/>
          <w:iCs/>
          <w:color w:val="0D0D0D"/>
          <w:sz w:val="24"/>
          <w:szCs w:val="24"/>
          <w:lang w:eastAsia="en-IN"/>
        </w:rPr>
        <w:t>fueled</w:t>
      </w:r>
      <w:proofErr w:type="spellEnd"/>
      <w:r w:rsidRPr="00593186">
        <w:rPr>
          <w:rFonts w:ascii="Segoe UI" w:eastAsia="Times New Roman" w:hAnsi="Segoe UI" w:cs="Segoe UI"/>
          <w:i/>
          <w:iCs/>
          <w:color w:val="0D0D0D"/>
          <w:sz w:val="24"/>
          <w:szCs w:val="24"/>
          <w:lang w:eastAsia="en-IN"/>
        </w:rPr>
        <w:t xml:space="preserve"> by the </w:t>
      </w:r>
      <w:r w:rsidRPr="00593186">
        <w:rPr>
          <w:rFonts w:ascii="Segoe UI" w:eastAsia="Times New Roman" w:hAnsi="Segoe UI" w:cs="Segoe UI"/>
          <w:b/>
          <w:bCs/>
          <w:i/>
          <w:iCs/>
          <w:color w:val="0D0D0D"/>
          <w:sz w:val="24"/>
          <w:szCs w:val="24"/>
          <w:lang w:eastAsia="en-IN"/>
        </w:rPr>
        <w:t>rise in chronic disease diagnostics</w:t>
      </w:r>
      <w:r w:rsidRPr="00593186">
        <w:rPr>
          <w:rFonts w:ascii="Segoe UI" w:eastAsia="Times New Roman" w:hAnsi="Segoe UI" w:cs="Segoe UI"/>
          <w:i/>
          <w:iCs/>
          <w:color w:val="0D0D0D"/>
          <w:sz w:val="24"/>
          <w:szCs w:val="24"/>
          <w:lang w:eastAsia="en-IN"/>
        </w:rPr>
        <w:t>, </w:t>
      </w:r>
      <w:r w:rsidRPr="00593186">
        <w:rPr>
          <w:rFonts w:ascii="Segoe UI" w:eastAsia="Times New Roman" w:hAnsi="Segoe UI" w:cs="Segoe UI"/>
          <w:b/>
          <w:bCs/>
          <w:i/>
          <w:iCs/>
          <w:color w:val="0D0D0D"/>
          <w:sz w:val="24"/>
          <w:szCs w:val="24"/>
          <w:lang w:eastAsia="en-IN"/>
        </w:rPr>
        <w:t>multiplex assay innovations</w:t>
      </w:r>
      <w:r w:rsidRPr="00593186">
        <w:rPr>
          <w:rFonts w:ascii="Segoe UI" w:eastAsia="Times New Roman" w:hAnsi="Segoe UI" w:cs="Segoe UI"/>
          <w:i/>
          <w:iCs/>
          <w:color w:val="0D0D0D"/>
          <w:sz w:val="24"/>
          <w:szCs w:val="24"/>
          <w:lang w:eastAsia="en-IN"/>
        </w:rPr>
        <w:t>, and </w:t>
      </w:r>
      <w:r w:rsidRPr="00593186">
        <w:rPr>
          <w:rFonts w:ascii="Segoe UI" w:eastAsia="Times New Roman" w:hAnsi="Segoe UI" w:cs="Segoe UI"/>
          <w:b/>
          <w:bCs/>
          <w:i/>
          <w:iCs/>
          <w:color w:val="0D0D0D"/>
          <w:sz w:val="24"/>
          <w:szCs w:val="24"/>
          <w:lang w:eastAsia="en-IN"/>
        </w:rPr>
        <w:t>integration with AI-based imaging tools</w:t>
      </w:r>
      <w:r w:rsidRPr="00593186">
        <w:rPr>
          <w:rFonts w:ascii="Segoe UI" w:eastAsia="Times New Roman" w:hAnsi="Segoe UI" w:cs="Segoe UI"/>
          <w:i/>
          <w:iCs/>
          <w:color w:val="0D0D0D"/>
          <w:sz w:val="24"/>
          <w:szCs w:val="24"/>
          <w:lang w:eastAsia="en-IN"/>
        </w:rPr>
        <w:t>.</w:t>
      </w:r>
    </w:p>
    <w:p w14:paraId="76443016" w14:textId="77777777" w:rsidR="00593186" w:rsidRPr="00593186" w:rsidRDefault="00593186" w:rsidP="00593186">
      <w:pPr>
        <w:spacing w:before="720" w:after="720" w:line="240" w:lineRule="auto"/>
        <w:rPr>
          <w:rFonts w:ascii="Times New Roman" w:eastAsia="Times New Roman" w:hAnsi="Times New Roman" w:cs="Times New Roman"/>
          <w:sz w:val="24"/>
          <w:szCs w:val="24"/>
          <w:lang w:eastAsia="en-IN"/>
        </w:rPr>
      </w:pPr>
      <w:r w:rsidRPr="00593186">
        <w:rPr>
          <w:rFonts w:ascii="Times New Roman" w:eastAsia="Times New Roman" w:hAnsi="Times New Roman" w:cs="Times New Roman"/>
          <w:sz w:val="24"/>
          <w:szCs w:val="24"/>
          <w:lang w:eastAsia="en-IN"/>
        </w:rPr>
        <w:pict w14:anchorId="6FF76425">
          <v:rect id="_x0000_i1033" style="width:0;height:0" o:hralign="center" o:hrstd="t" o:hrnoshade="t" o:hr="t" fillcolor="#0d0d0d" stroked="f"/>
        </w:pict>
      </w:r>
    </w:p>
    <w:p w14:paraId="30F5B71A" w14:textId="77777777" w:rsidR="00593186" w:rsidRPr="00593186" w:rsidRDefault="00593186" w:rsidP="00593186">
      <w:pPr>
        <w:shd w:val="clear" w:color="auto" w:fill="FFFFFF"/>
        <w:spacing w:after="0" w:line="240" w:lineRule="auto"/>
        <w:outlineLvl w:val="2"/>
        <w:rPr>
          <w:rFonts w:ascii="Segoe UI" w:eastAsia="Times New Roman" w:hAnsi="Segoe UI" w:cs="Segoe UI"/>
          <w:b/>
          <w:bCs/>
          <w:color w:val="0D0D0D"/>
          <w:sz w:val="30"/>
          <w:szCs w:val="30"/>
          <w:lang w:eastAsia="en-IN"/>
        </w:rPr>
      </w:pPr>
      <w:r w:rsidRPr="00593186">
        <w:rPr>
          <w:rFonts w:ascii="Segoe UI" w:eastAsia="Times New Roman" w:hAnsi="Segoe UI" w:cs="Segoe UI"/>
          <w:b/>
          <w:bCs/>
          <w:color w:val="0D0D0D"/>
          <w:sz w:val="30"/>
          <w:szCs w:val="30"/>
          <w:lang w:eastAsia="en-IN"/>
        </w:rPr>
        <w:t>D. JSON-LD Schema Markup</w:t>
      </w:r>
    </w:p>
    <w:p w14:paraId="5D7E24B4"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Breadcrumb Schema</w:t>
      </w:r>
    </w:p>
    <w:p w14:paraId="4B52F970" w14:textId="77777777" w:rsidR="00593186" w:rsidRPr="00593186" w:rsidRDefault="00593186" w:rsidP="0059318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593186">
        <w:rPr>
          <w:rFonts w:ascii="Segoe UI" w:eastAsia="Times New Roman" w:hAnsi="Segoe UI" w:cs="Segoe UI"/>
          <w:color w:val="5D5D5D"/>
          <w:sz w:val="18"/>
          <w:szCs w:val="18"/>
          <w:lang w:eastAsia="en-IN"/>
        </w:rPr>
        <w:t>json</w:t>
      </w:r>
    </w:p>
    <w:p w14:paraId="493814AE" w14:textId="77777777" w:rsidR="00593186" w:rsidRPr="00593186" w:rsidRDefault="00593186" w:rsidP="0059318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593186">
        <w:rPr>
          <w:rFonts w:ascii="Segoe UI" w:eastAsia="Times New Roman" w:hAnsi="Segoe UI" w:cs="Segoe UI"/>
          <w:color w:val="5D5D5D"/>
          <w:sz w:val="18"/>
          <w:szCs w:val="18"/>
          <w:lang w:eastAsia="en-IN"/>
        </w:rPr>
        <w:t>Copy code</w:t>
      </w:r>
    </w:p>
    <w:p w14:paraId="077E2CA2" w14:textId="6BEBCB85" w:rsidR="00593186" w:rsidRPr="00593186" w:rsidRDefault="00593186" w:rsidP="0059318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"@context"</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"https://schema.org"</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"@type"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w:t>
      </w:r>
      <w:proofErr w:type="spellStart"/>
      <w:r w:rsidRPr="00593186">
        <w:rPr>
          <w:rFonts w:ascii="Courier New" w:eastAsia="Times New Roman" w:hAnsi="Courier New" w:cs="Courier New"/>
          <w:color w:val="50A14F"/>
          <w:sz w:val="20"/>
          <w:szCs w:val="20"/>
          <w:lang w:eastAsia="en-IN"/>
        </w:rPr>
        <w:t>BreadcrumbList</w:t>
      </w:r>
      <w:proofErr w:type="spellEnd"/>
      <w:r w:rsidRPr="00593186">
        <w:rPr>
          <w:rFonts w:ascii="Courier New" w:eastAsia="Times New Roman" w:hAnsi="Courier New" w:cs="Courier New"/>
          <w:color w:val="50A14F"/>
          <w:sz w:val="20"/>
          <w:szCs w:val="20"/>
          <w:lang w:eastAsia="en-IN"/>
        </w:rPr>
        <w:t>"</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w:t>
      </w:r>
      <w:proofErr w:type="spellStart"/>
      <w:r w:rsidRPr="00593186">
        <w:rPr>
          <w:rFonts w:ascii="Courier New" w:eastAsia="Times New Roman" w:hAnsi="Courier New" w:cs="Courier New"/>
          <w:color w:val="986801"/>
          <w:sz w:val="20"/>
          <w:szCs w:val="20"/>
          <w:lang w:eastAsia="en-IN"/>
        </w:rPr>
        <w:t>itemListElement</w:t>
      </w:r>
      <w:proofErr w:type="spellEnd"/>
      <w:r w:rsidRPr="00593186">
        <w:rPr>
          <w:rFonts w:ascii="Courier New" w:eastAsia="Times New Roman" w:hAnsi="Courier New" w:cs="Courier New"/>
          <w:color w:val="986801"/>
          <w:sz w:val="20"/>
          <w:szCs w:val="20"/>
          <w:lang w:eastAsia="en-IN"/>
        </w:rPr>
        <w:t>"</w:t>
      </w:r>
      <w:r w:rsidRPr="00593186">
        <w:rPr>
          <w:rFonts w:ascii="Courier New" w:eastAsia="Times New Roman" w:hAnsi="Courier New" w:cs="Courier New"/>
          <w:color w:val="383A42"/>
          <w:sz w:val="20"/>
          <w:szCs w:val="20"/>
          <w:lang w:eastAsia="en-IN"/>
        </w:rPr>
        <w:t xml:space="preserve">: [ { </w:t>
      </w:r>
      <w:r w:rsidRPr="00593186">
        <w:rPr>
          <w:rFonts w:ascii="Courier New" w:eastAsia="Times New Roman" w:hAnsi="Courier New" w:cs="Courier New"/>
          <w:color w:val="986801"/>
          <w:sz w:val="20"/>
          <w:szCs w:val="20"/>
          <w:lang w:eastAsia="en-IN"/>
        </w:rPr>
        <w:t>"@type"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w:t>
      </w:r>
      <w:proofErr w:type="spellStart"/>
      <w:r w:rsidRPr="00593186">
        <w:rPr>
          <w:rFonts w:ascii="Courier New" w:eastAsia="Times New Roman" w:hAnsi="Courier New" w:cs="Courier New"/>
          <w:color w:val="50A14F"/>
          <w:sz w:val="20"/>
          <w:szCs w:val="20"/>
          <w:lang w:eastAsia="en-IN"/>
        </w:rPr>
        <w:t>ListItem</w:t>
      </w:r>
      <w:proofErr w:type="spellEnd"/>
      <w:r w:rsidRPr="00593186">
        <w:rPr>
          <w:rFonts w:ascii="Courier New" w:eastAsia="Times New Roman" w:hAnsi="Courier New" w:cs="Courier New"/>
          <w:color w:val="50A14F"/>
          <w:sz w:val="20"/>
          <w:szCs w:val="20"/>
          <w:lang w:eastAsia="en-IN"/>
        </w:rPr>
        <w:t>"</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"position"</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1</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"name"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"Home"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"item"</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"https://www.strategicmarketresearch.com/"</w:t>
      </w:r>
      <w:r w:rsidRPr="00593186">
        <w:rPr>
          <w:rFonts w:ascii="Courier New" w:eastAsia="Times New Roman" w:hAnsi="Courier New" w:cs="Courier New"/>
          <w:color w:val="383A42"/>
          <w:sz w:val="20"/>
          <w:szCs w:val="20"/>
          <w:lang w:eastAsia="en-IN"/>
        </w:rPr>
        <w:t xml:space="preserve"> }, { </w:t>
      </w:r>
      <w:r w:rsidRPr="00593186">
        <w:rPr>
          <w:rFonts w:ascii="Courier New" w:eastAsia="Times New Roman" w:hAnsi="Courier New" w:cs="Courier New"/>
          <w:color w:val="986801"/>
          <w:sz w:val="20"/>
          <w:szCs w:val="20"/>
          <w:lang w:eastAsia="en-IN"/>
        </w:rPr>
        <w:t>"@type"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w:t>
      </w:r>
      <w:proofErr w:type="spellStart"/>
      <w:r w:rsidRPr="00593186">
        <w:rPr>
          <w:rFonts w:ascii="Courier New" w:eastAsia="Times New Roman" w:hAnsi="Courier New" w:cs="Courier New"/>
          <w:color w:val="50A14F"/>
          <w:sz w:val="20"/>
          <w:szCs w:val="20"/>
          <w:lang w:eastAsia="en-IN"/>
        </w:rPr>
        <w:t>ListItem</w:t>
      </w:r>
      <w:proofErr w:type="spellEnd"/>
      <w:r w:rsidRPr="00593186">
        <w:rPr>
          <w:rFonts w:ascii="Courier New" w:eastAsia="Times New Roman" w:hAnsi="Courier New" w:cs="Courier New"/>
          <w:color w:val="50A14F"/>
          <w:sz w:val="20"/>
          <w:szCs w:val="20"/>
          <w:lang w:eastAsia="en-IN"/>
        </w:rPr>
        <w:t>"</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"position"</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2</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"name"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w:t>
      </w:r>
      <w:r>
        <w:rPr>
          <w:rFonts w:ascii="Courier New" w:eastAsia="Times New Roman" w:hAnsi="Courier New" w:cs="Courier New"/>
          <w:color w:val="50A14F"/>
          <w:sz w:val="20"/>
          <w:szCs w:val="20"/>
          <w:lang w:eastAsia="en-IN"/>
        </w:rPr>
        <w:t>Healthcare</w:t>
      </w:r>
      <w:r w:rsidRPr="00593186">
        <w:rPr>
          <w:rFonts w:ascii="Courier New" w:eastAsia="Times New Roman" w:hAnsi="Courier New" w:cs="Courier New"/>
          <w:color w:val="50A14F"/>
          <w:sz w:val="20"/>
          <w:szCs w:val="20"/>
          <w:lang w:eastAsia="en-IN"/>
        </w:rPr>
        <w:t>"</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"item"</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"https://www.strategicmarketresearch.com/reports/</w:t>
      </w:r>
      <w:r>
        <w:rPr>
          <w:rFonts w:ascii="Courier New" w:eastAsia="Times New Roman" w:hAnsi="Courier New" w:cs="Courier New"/>
          <w:color w:val="50A14F"/>
          <w:sz w:val="20"/>
          <w:szCs w:val="20"/>
          <w:lang w:eastAsia="en-IN"/>
        </w:rPr>
        <w:t>healthcare</w:t>
      </w:r>
      <w:r w:rsidRPr="00593186">
        <w:rPr>
          <w:rFonts w:ascii="Courier New" w:eastAsia="Times New Roman" w:hAnsi="Courier New" w:cs="Courier New"/>
          <w:color w:val="50A14F"/>
          <w:sz w:val="20"/>
          <w:szCs w:val="20"/>
          <w:lang w:eastAsia="en-IN"/>
        </w:rPr>
        <w:t>"</w:t>
      </w:r>
      <w:r w:rsidRPr="00593186">
        <w:rPr>
          <w:rFonts w:ascii="Courier New" w:eastAsia="Times New Roman" w:hAnsi="Courier New" w:cs="Courier New"/>
          <w:color w:val="383A42"/>
          <w:sz w:val="20"/>
          <w:szCs w:val="20"/>
          <w:lang w:eastAsia="en-IN"/>
        </w:rPr>
        <w:t xml:space="preserve"> }, { </w:t>
      </w:r>
      <w:r w:rsidRPr="00593186">
        <w:rPr>
          <w:rFonts w:ascii="Courier New" w:eastAsia="Times New Roman" w:hAnsi="Courier New" w:cs="Courier New"/>
          <w:color w:val="986801"/>
          <w:sz w:val="20"/>
          <w:szCs w:val="20"/>
          <w:lang w:eastAsia="en-IN"/>
        </w:rPr>
        <w:t>"@type"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w:t>
      </w:r>
      <w:proofErr w:type="spellStart"/>
      <w:r w:rsidRPr="00593186">
        <w:rPr>
          <w:rFonts w:ascii="Courier New" w:eastAsia="Times New Roman" w:hAnsi="Courier New" w:cs="Courier New"/>
          <w:color w:val="50A14F"/>
          <w:sz w:val="20"/>
          <w:szCs w:val="20"/>
          <w:lang w:eastAsia="en-IN"/>
        </w:rPr>
        <w:t>ListItem</w:t>
      </w:r>
      <w:proofErr w:type="spellEnd"/>
      <w:r w:rsidRPr="00593186">
        <w:rPr>
          <w:rFonts w:ascii="Courier New" w:eastAsia="Times New Roman" w:hAnsi="Courier New" w:cs="Courier New"/>
          <w:color w:val="50A14F"/>
          <w:sz w:val="20"/>
          <w:szCs w:val="20"/>
          <w:lang w:eastAsia="en-IN"/>
        </w:rPr>
        <w:t>"</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"position"</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3</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"name"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"Immunofluorescence Assay Market Report 2030"</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"item"</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"https://www.strategicmarketresearch.com/market-report/immunofluorescence-assay-market"</w:t>
      </w:r>
      <w:r w:rsidRPr="00593186">
        <w:rPr>
          <w:rFonts w:ascii="Courier New" w:eastAsia="Times New Roman" w:hAnsi="Courier New" w:cs="Courier New"/>
          <w:color w:val="383A42"/>
          <w:sz w:val="20"/>
          <w:szCs w:val="20"/>
          <w:lang w:eastAsia="en-IN"/>
        </w:rPr>
        <w:t xml:space="preserve"> } ] } </w:t>
      </w:r>
    </w:p>
    <w:p w14:paraId="0E82F907"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FAQ Schema</w:t>
      </w:r>
    </w:p>
    <w:p w14:paraId="51984188" w14:textId="77777777" w:rsidR="00593186" w:rsidRPr="00593186" w:rsidRDefault="00593186" w:rsidP="0059318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593186">
        <w:rPr>
          <w:rFonts w:ascii="Segoe UI" w:eastAsia="Times New Roman" w:hAnsi="Segoe UI" w:cs="Segoe UI"/>
          <w:color w:val="5D5D5D"/>
          <w:sz w:val="18"/>
          <w:szCs w:val="18"/>
          <w:lang w:eastAsia="en-IN"/>
        </w:rPr>
        <w:t>json</w:t>
      </w:r>
    </w:p>
    <w:p w14:paraId="5916DCE4" w14:textId="77777777" w:rsidR="00593186" w:rsidRPr="00593186" w:rsidRDefault="00593186" w:rsidP="0059318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593186">
        <w:rPr>
          <w:rFonts w:ascii="Segoe UI" w:eastAsia="Times New Roman" w:hAnsi="Segoe UI" w:cs="Segoe UI"/>
          <w:color w:val="5D5D5D"/>
          <w:sz w:val="18"/>
          <w:szCs w:val="18"/>
          <w:lang w:eastAsia="en-IN"/>
        </w:rPr>
        <w:t>Copy code</w:t>
      </w:r>
    </w:p>
    <w:p w14:paraId="5D24F28A" w14:textId="60ECA5E8" w:rsidR="00593186" w:rsidRPr="00593186" w:rsidRDefault="00593186" w:rsidP="0059318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"@context"</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"https://schema.org"</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"@type"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w:t>
      </w:r>
      <w:proofErr w:type="spellStart"/>
      <w:r w:rsidRPr="00593186">
        <w:rPr>
          <w:rFonts w:ascii="Courier New" w:eastAsia="Times New Roman" w:hAnsi="Courier New" w:cs="Courier New"/>
          <w:color w:val="50A14F"/>
          <w:sz w:val="20"/>
          <w:szCs w:val="20"/>
          <w:lang w:eastAsia="en-IN"/>
        </w:rPr>
        <w:t>FAQPage</w:t>
      </w:r>
      <w:proofErr w:type="spellEnd"/>
      <w:r w:rsidRPr="00593186">
        <w:rPr>
          <w:rFonts w:ascii="Courier New" w:eastAsia="Times New Roman" w:hAnsi="Courier New" w:cs="Courier New"/>
          <w:color w:val="50A14F"/>
          <w:sz w:val="20"/>
          <w:szCs w:val="20"/>
          <w:lang w:eastAsia="en-IN"/>
        </w:rPr>
        <w:t>"</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w:t>
      </w:r>
      <w:proofErr w:type="spellStart"/>
      <w:r w:rsidRPr="00593186">
        <w:rPr>
          <w:rFonts w:ascii="Courier New" w:eastAsia="Times New Roman" w:hAnsi="Courier New" w:cs="Courier New"/>
          <w:color w:val="986801"/>
          <w:sz w:val="20"/>
          <w:szCs w:val="20"/>
          <w:lang w:eastAsia="en-IN"/>
        </w:rPr>
        <w:t>mainEntity</w:t>
      </w:r>
      <w:proofErr w:type="spellEnd"/>
      <w:r w:rsidRPr="00593186">
        <w:rPr>
          <w:rFonts w:ascii="Courier New" w:eastAsia="Times New Roman" w:hAnsi="Courier New" w:cs="Courier New"/>
          <w:color w:val="986801"/>
          <w:sz w:val="20"/>
          <w:szCs w:val="20"/>
          <w:lang w:eastAsia="en-IN"/>
        </w:rPr>
        <w:t>"</w:t>
      </w:r>
      <w:r w:rsidRPr="00593186">
        <w:rPr>
          <w:rFonts w:ascii="Courier New" w:eastAsia="Times New Roman" w:hAnsi="Courier New" w:cs="Courier New"/>
          <w:color w:val="383A42"/>
          <w:sz w:val="20"/>
          <w:szCs w:val="20"/>
          <w:lang w:eastAsia="en-IN"/>
        </w:rPr>
        <w:t xml:space="preserve">: [ { </w:t>
      </w:r>
      <w:r w:rsidRPr="00593186">
        <w:rPr>
          <w:rFonts w:ascii="Courier New" w:eastAsia="Times New Roman" w:hAnsi="Courier New" w:cs="Courier New"/>
          <w:color w:val="986801"/>
          <w:sz w:val="20"/>
          <w:szCs w:val="20"/>
          <w:lang w:eastAsia="en-IN"/>
        </w:rPr>
        <w:t>"@type"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"Question"</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"name"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"How big is the immunofluorescence assay market?"</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w:t>
      </w:r>
      <w:proofErr w:type="spellStart"/>
      <w:r w:rsidRPr="00593186">
        <w:rPr>
          <w:rFonts w:ascii="Courier New" w:eastAsia="Times New Roman" w:hAnsi="Courier New" w:cs="Courier New"/>
          <w:color w:val="986801"/>
          <w:sz w:val="20"/>
          <w:szCs w:val="20"/>
          <w:lang w:eastAsia="en-IN"/>
        </w:rPr>
        <w:t>acceptedAnswer</w:t>
      </w:r>
      <w:proofErr w:type="spellEnd"/>
      <w:r w:rsidRPr="00593186">
        <w:rPr>
          <w:rFonts w:ascii="Courier New" w:eastAsia="Times New Roman" w:hAnsi="Courier New" w:cs="Courier New"/>
          <w:color w:val="986801"/>
          <w:sz w:val="20"/>
          <w:szCs w:val="20"/>
          <w:lang w:eastAsia="en-IN"/>
        </w:rPr>
        <w:t>"</w:t>
      </w:r>
      <w:r w:rsidRPr="00593186">
        <w:rPr>
          <w:rFonts w:ascii="Courier New" w:eastAsia="Times New Roman" w:hAnsi="Courier New" w:cs="Courier New"/>
          <w:color w:val="383A42"/>
          <w:sz w:val="20"/>
          <w:szCs w:val="20"/>
          <w:lang w:eastAsia="en-IN"/>
        </w:rPr>
        <w:t xml:space="preserve">: { </w:t>
      </w:r>
      <w:r w:rsidRPr="00593186">
        <w:rPr>
          <w:rFonts w:ascii="Courier New" w:eastAsia="Times New Roman" w:hAnsi="Courier New" w:cs="Courier New"/>
          <w:color w:val="986801"/>
          <w:sz w:val="20"/>
          <w:szCs w:val="20"/>
          <w:lang w:eastAsia="en-IN"/>
        </w:rPr>
        <w:t>"@type"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"Answer"</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"text"</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"The global immunofluorescence assay market was valued at USD 2.1 billion in 2024."</w:t>
      </w:r>
      <w:r w:rsidRPr="00593186">
        <w:rPr>
          <w:rFonts w:ascii="Courier New" w:eastAsia="Times New Roman" w:hAnsi="Courier New" w:cs="Courier New"/>
          <w:color w:val="383A42"/>
          <w:sz w:val="20"/>
          <w:szCs w:val="20"/>
          <w:lang w:eastAsia="en-IN"/>
        </w:rPr>
        <w:t xml:space="preserve"> } }, { </w:t>
      </w:r>
      <w:r w:rsidRPr="00593186">
        <w:rPr>
          <w:rFonts w:ascii="Courier New" w:eastAsia="Times New Roman" w:hAnsi="Courier New" w:cs="Courier New"/>
          <w:color w:val="986801"/>
          <w:sz w:val="20"/>
          <w:szCs w:val="20"/>
          <w:lang w:eastAsia="en-IN"/>
        </w:rPr>
        <w:t>"@type"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"Question"</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"name"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"What is the CAGR for the immunofluorescence assay market during the forecast period?"</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w:t>
      </w:r>
      <w:proofErr w:type="spellStart"/>
      <w:r w:rsidRPr="00593186">
        <w:rPr>
          <w:rFonts w:ascii="Courier New" w:eastAsia="Times New Roman" w:hAnsi="Courier New" w:cs="Courier New"/>
          <w:color w:val="986801"/>
          <w:sz w:val="20"/>
          <w:szCs w:val="20"/>
          <w:lang w:eastAsia="en-IN"/>
        </w:rPr>
        <w:t>acceptedAnswer</w:t>
      </w:r>
      <w:proofErr w:type="spellEnd"/>
      <w:r w:rsidRPr="00593186">
        <w:rPr>
          <w:rFonts w:ascii="Courier New" w:eastAsia="Times New Roman" w:hAnsi="Courier New" w:cs="Courier New"/>
          <w:color w:val="986801"/>
          <w:sz w:val="20"/>
          <w:szCs w:val="20"/>
          <w:lang w:eastAsia="en-IN"/>
        </w:rPr>
        <w:t>"</w:t>
      </w:r>
      <w:r w:rsidRPr="00593186">
        <w:rPr>
          <w:rFonts w:ascii="Courier New" w:eastAsia="Times New Roman" w:hAnsi="Courier New" w:cs="Courier New"/>
          <w:color w:val="383A42"/>
          <w:sz w:val="20"/>
          <w:szCs w:val="20"/>
          <w:lang w:eastAsia="en-IN"/>
        </w:rPr>
        <w:t xml:space="preserve">: { </w:t>
      </w:r>
      <w:r w:rsidRPr="00593186">
        <w:rPr>
          <w:rFonts w:ascii="Courier New" w:eastAsia="Times New Roman" w:hAnsi="Courier New" w:cs="Courier New"/>
          <w:color w:val="986801"/>
          <w:sz w:val="20"/>
          <w:szCs w:val="20"/>
          <w:lang w:eastAsia="en-IN"/>
        </w:rPr>
        <w:t>"@type"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"Answer"</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"text"</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 xml:space="preserve">"The market is expected to grow at a CAGR of </w:t>
      </w:r>
      <w:r w:rsidR="00D14133">
        <w:rPr>
          <w:rFonts w:ascii="Courier New" w:eastAsia="Times New Roman" w:hAnsi="Courier New" w:cs="Courier New"/>
          <w:color w:val="50A14F"/>
          <w:sz w:val="20"/>
          <w:szCs w:val="20"/>
          <w:lang w:eastAsia="en-IN"/>
        </w:rPr>
        <w:t>7.2</w:t>
      </w:r>
      <w:r w:rsidRPr="00593186">
        <w:rPr>
          <w:rFonts w:ascii="Courier New" w:eastAsia="Times New Roman" w:hAnsi="Courier New" w:cs="Courier New"/>
          <w:color w:val="50A14F"/>
          <w:sz w:val="20"/>
          <w:szCs w:val="20"/>
          <w:lang w:eastAsia="en-IN"/>
        </w:rPr>
        <w:t>% from 2024 to 2030."</w:t>
      </w:r>
      <w:r w:rsidRPr="00593186">
        <w:rPr>
          <w:rFonts w:ascii="Courier New" w:eastAsia="Times New Roman" w:hAnsi="Courier New" w:cs="Courier New"/>
          <w:color w:val="383A42"/>
          <w:sz w:val="20"/>
          <w:szCs w:val="20"/>
          <w:lang w:eastAsia="en-IN"/>
        </w:rPr>
        <w:t xml:space="preserve"> } }, { </w:t>
      </w:r>
      <w:r w:rsidRPr="00593186">
        <w:rPr>
          <w:rFonts w:ascii="Courier New" w:eastAsia="Times New Roman" w:hAnsi="Courier New" w:cs="Courier New"/>
          <w:color w:val="986801"/>
          <w:sz w:val="20"/>
          <w:szCs w:val="20"/>
          <w:lang w:eastAsia="en-IN"/>
        </w:rPr>
        <w:t>"@type"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"Question"</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"name"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"Who are the major players in the immunofluorescence assay market?"</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w:t>
      </w:r>
      <w:proofErr w:type="spellStart"/>
      <w:r w:rsidRPr="00593186">
        <w:rPr>
          <w:rFonts w:ascii="Courier New" w:eastAsia="Times New Roman" w:hAnsi="Courier New" w:cs="Courier New"/>
          <w:color w:val="986801"/>
          <w:sz w:val="20"/>
          <w:szCs w:val="20"/>
          <w:lang w:eastAsia="en-IN"/>
        </w:rPr>
        <w:t>acceptedAnswer</w:t>
      </w:r>
      <w:proofErr w:type="spellEnd"/>
      <w:r w:rsidRPr="00593186">
        <w:rPr>
          <w:rFonts w:ascii="Courier New" w:eastAsia="Times New Roman" w:hAnsi="Courier New" w:cs="Courier New"/>
          <w:color w:val="986801"/>
          <w:sz w:val="20"/>
          <w:szCs w:val="20"/>
          <w:lang w:eastAsia="en-IN"/>
        </w:rPr>
        <w:t>"</w:t>
      </w:r>
      <w:r w:rsidRPr="00593186">
        <w:rPr>
          <w:rFonts w:ascii="Courier New" w:eastAsia="Times New Roman" w:hAnsi="Courier New" w:cs="Courier New"/>
          <w:color w:val="383A42"/>
          <w:sz w:val="20"/>
          <w:szCs w:val="20"/>
          <w:lang w:eastAsia="en-IN"/>
        </w:rPr>
        <w:t xml:space="preserve">: { </w:t>
      </w:r>
      <w:r w:rsidRPr="00593186">
        <w:rPr>
          <w:rFonts w:ascii="Courier New" w:eastAsia="Times New Roman" w:hAnsi="Courier New" w:cs="Courier New"/>
          <w:color w:val="986801"/>
          <w:sz w:val="20"/>
          <w:szCs w:val="20"/>
          <w:lang w:eastAsia="en-IN"/>
        </w:rPr>
        <w:t>"@type"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"Answer"</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"text"</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"Leading players include Thermo Fisher Scientific, Bio-Rad Laboratories, and Danaher Corporation."</w:t>
      </w:r>
      <w:r w:rsidRPr="00593186">
        <w:rPr>
          <w:rFonts w:ascii="Courier New" w:eastAsia="Times New Roman" w:hAnsi="Courier New" w:cs="Courier New"/>
          <w:color w:val="383A42"/>
          <w:sz w:val="20"/>
          <w:szCs w:val="20"/>
          <w:lang w:eastAsia="en-IN"/>
        </w:rPr>
        <w:t xml:space="preserve"> } }, { </w:t>
      </w:r>
      <w:r w:rsidRPr="00593186">
        <w:rPr>
          <w:rFonts w:ascii="Courier New" w:eastAsia="Times New Roman" w:hAnsi="Courier New" w:cs="Courier New"/>
          <w:color w:val="986801"/>
          <w:sz w:val="20"/>
          <w:szCs w:val="20"/>
          <w:lang w:eastAsia="en-IN"/>
        </w:rPr>
        <w:t>"@type"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"Question"</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"name"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"Which region dominates the immunofluorescence assay market?"</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w:t>
      </w:r>
      <w:proofErr w:type="spellStart"/>
      <w:r w:rsidRPr="00593186">
        <w:rPr>
          <w:rFonts w:ascii="Courier New" w:eastAsia="Times New Roman" w:hAnsi="Courier New" w:cs="Courier New"/>
          <w:color w:val="986801"/>
          <w:sz w:val="20"/>
          <w:szCs w:val="20"/>
          <w:lang w:eastAsia="en-IN"/>
        </w:rPr>
        <w:t>acceptedAnswer</w:t>
      </w:r>
      <w:proofErr w:type="spellEnd"/>
      <w:r w:rsidRPr="00593186">
        <w:rPr>
          <w:rFonts w:ascii="Courier New" w:eastAsia="Times New Roman" w:hAnsi="Courier New" w:cs="Courier New"/>
          <w:color w:val="986801"/>
          <w:sz w:val="20"/>
          <w:szCs w:val="20"/>
          <w:lang w:eastAsia="en-IN"/>
        </w:rPr>
        <w:t>"</w:t>
      </w:r>
      <w:r w:rsidRPr="00593186">
        <w:rPr>
          <w:rFonts w:ascii="Courier New" w:eastAsia="Times New Roman" w:hAnsi="Courier New" w:cs="Courier New"/>
          <w:color w:val="383A42"/>
          <w:sz w:val="20"/>
          <w:szCs w:val="20"/>
          <w:lang w:eastAsia="en-IN"/>
        </w:rPr>
        <w:t xml:space="preserve">: { </w:t>
      </w:r>
      <w:r w:rsidRPr="00593186">
        <w:rPr>
          <w:rFonts w:ascii="Courier New" w:eastAsia="Times New Roman" w:hAnsi="Courier New" w:cs="Courier New"/>
          <w:color w:val="986801"/>
          <w:sz w:val="20"/>
          <w:szCs w:val="20"/>
          <w:lang w:eastAsia="en-IN"/>
        </w:rPr>
        <w:t>"@type"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"Answer"</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"text"</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"North America leads due to strong lab infrastructure, R&amp;D intensity, and diagnostic funding."</w:t>
      </w:r>
      <w:r w:rsidRPr="00593186">
        <w:rPr>
          <w:rFonts w:ascii="Courier New" w:eastAsia="Times New Roman" w:hAnsi="Courier New" w:cs="Courier New"/>
          <w:color w:val="383A42"/>
          <w:sz w:val="20"/>
          <w:szCs w:val="20"/>
          <w:lang w:eastAsia="en-IN"/>
        </w:rPr>
        <w:t xml:space="preserve"> } }, { </w:t>
      </w:r>
      <w:r w:rsidRPr="00593186">
        <w:rPr>
          <w:rFonts w:ascii="Courier New" w:eastAsia="Times New Roman" w:hAnsi="Courier New" w:cs="Courier New"/>
          <w:color w:val="986801"/>
          <w:sz w:val="20"/>
          <w:szCs w:val="20"/>
          <w:lang w:eastAsia="en-IN"/>
        </w:rPr>
        <w:t>"@type"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"Question"</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"name"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"What factors are driving the immunofluorescence assay market?"</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w:t>
      </w:r>
      <w:proofErr w:type="spellStart"/>
      <w:r w:rsidRPr="00593186">
        <w:rPr>
          <w:rFonts w:ascii="Courier New" w:eastAsia="Times New Roman" w:hAnsi="Courier New" w:cs="Courier New"/>
          <w:color w:val="986801"/>
          <w:sz w:val="20"/>
          <w:szCs w:val="20"/>
          <w:lang w:eastAsia="en-IN"/>
        </w:rPr>
        <w:t>acceptedAnswer</w:t>
      </w:r>
      <w:proofErr w:type="spellEnd"/>
      <w:r w:rsidRPr="00593186">
        <w:rPr>
          <w:rFonts w:ascii="Courier New" w:eastAsia="Times New Roman" w:hAnsi="Courier New" w:cs="Courier New"/>
          <w:color w:val="986801"/>
          <w:sz w:val="20"/>
          <w:szCs w:val="20"/>
          <w:lang w:eastAsia="en-IN"/>
        </w:rPr>
        <w:t>"</w:t>
      </w:r>
      <w:r w:rsidRPr="00593186">
        <w:rPr>
          <w:rFonts w:ascii="Courier New" w:eastAsia="Times New Roman" w:hAnsi="Courier New" w:cs="Courier New"/>
          <w:color w:val="383A42"/>
          <w:sz w:val="20"/>
          <w:szCs w:val="20"/>
          <w:lang w:eastAsia="en-IN"/>
        </w:rPr>
        <w:t xml:space="preserve">: { </w:t>
      </w:r>
      <w:r w:rsidRPr="00593186">
        <w:rPr>
          <w:rFonts w:ascii="Courier New" w:eastAsia="Times New Roman" w:hAnsi="Courier New" w:cs="Courier New"/>
          <w:color w:val="986801"/>
          <w:sz w:val="20"/>
          <w:szCs w:val="20"/>
          <w:lang w:eastAsia="en-IN"/>
        </w:rPr>
        <w:t>"@type"</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"Answer"</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986801"/>
          <w:sz w:val="20"/>
          <w:szCs w:val="20"/>
          <w:lang w:eastAsia="en-IN"/>
        </w:rPr>
        <w:t>"text"</w:t>
      </w:r>
      <w:r w:rsidRPr="00593186">
        <w:rPr>
          <w:rFonts w:ascii="Courier New" w:eastAsia="Times New Roman" w:hAnsi="Courier New" w:cs="Courier New"/>
          <w:color w:val="383A42"/>
          <w:sz w:val="20"/>
          <w:szCs w:val="20"/>
          <w:lang w:eastAsia="en-IN"/>
        </w:rPr>
        <w:t xml:space="preserve">: </w:t>
      </w:r>
      <w:r w:rsidRPr="00593186">
        <w:rPr>
          <w:rFonts w:ascii="Courier New" w:eastAsia="Times New Roman" w:hAnsi="Courier New" w:cs="Courier New"/>
          <w:color w:val="50A14F"/>
          <w:sz w:val="20"/>
          <w:szCs w:val="20"/>
          <w:lang w:eastAsia="en-IN"/>
        </w:rPr>
        <w:t xml:space="preserve">"Growth is </w:t>
      </w:r>
      <w:proofErr w:type="spellStart"/>
      <w:r w:rsidRPr="00593186">
        <w:rPr>
          <w:rFonts w:ascii="Courier New" w:eastAsia="Times New Roman" w:hAnsi="Courier New" w:cs="Courier New"/>
          <w:color w:val="50A14F"/>
          <w:sz w:val="20"/>
          <w:szCs w:val="20"/>
          <w:lang w:eastAsia="en-IN"/>
        </w:rPr>
        <w:t>fueled</w:t>
      </w:r>
      <w:proofErr w:type="spellEnd"/>
      <w:r w:rsidRPr="00593186">
        <w:rPr>
          <w:rFonts w:ascii="Courier New" w:eastAsia="Times New Roman" w:hAnsi="Courier New" w:cs="Courier New"/>
          <w:color w:val="50A14F"/>
          <w:sz w:val="20"/>
          <w:szCs w:val="20"/>
          <w:lang w:eastAsia="en-IN"/>
        </w:rPr>
        <w:t xml:space="preserve"> by the rise in chronic disease diagnostics, multiplex assay innovations, and integration with AI-based imaging tools."</w:t>
      </w:r>
      <w:r w:rsidRPr="00593186">
        <w:rPr>
          <w:rFonts w:ascii="Courier New" w:eastAsia="Times New Roman" w:hAnsi="Courier New" w:cs="Courier New"/>
          <w:color w:val="383A42"/>
          <w:sz w:val="20"/>
          <w:szCs w:val="20"/>
          <w:lang w:eastAsia="en-IN"/>
        </w:rPr>
        <w:t xml:space="preserve"> } } ] }</w:t>
      </w:r>
    </w:p>
    <w:p w14:paraId="524817E4" w14:textId="4FEBA820" w:rsidR="00593186" w:rsidRDefault="00593186">
      <w:r>
        <w:br w:type="page"/>
      </w:r>
    </w:p>
    <w:p w14:paraId="02C0408E" w14:textId="77777777" w:rsidR="00593186" w:rsidRPr="00593186" w:rsidRDefault="00593186" w:rsidP="00593186">
      <w:pPr>
        <w:shd w:val="clear" w:color="auto" w:fill="FFFFFF"/>
        <w:spacing w:after="0" w:line="240" w:lineRule="auto"/>
        <w:outlineLvl w:val="2"/>
        <w:rPr>
          <w:rFonts w:ascii="Segoe UI" w:eastAsia="Times New Roman" w:hAnsi="Segoe UI" w:cs="Segoe UI"/>
          <w:b/>
          <w:bCs/>
          <w:color w:val="0D0D0D"/>
          <w:sz w:val="30"/>
          <w:szCs w:val="30"/>
          <w:lang w:eastAsia="en-IN"/>
        </w:rPr>
      </w:pPr>
      <w:r w:rsidRPr="00593186">
        <w:rPr>
          <w:rFonts w:ascii="Segoe UI" w:eastAsia="Times New Roman" w:hAnsi="Segoe UI" w:cs="Segoe UI"/>
          <w:b/>
          <w:bCs/>
          <w:color w:val="0D0D0D"/>
          <w:sz w:val="30"/>
          <w:szCs w:val="30"/>
          <w:lang w:eastAsia="en-IN"/>
        </w:rPr>
        <w:lastRenderedPageBreak/>
        <w:t>9. Table of Contents for Immunofluorescence Assay Market Report (2024–2030)</w:t>
      </w:r>
    </w:p>
    <w:p w14:paraId="24793FDC"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Executive Summary</w:t>
      </w:r>
    </w:p>
    <w:p w14:paraId="5A939E35" w14:textId="77777777" w:rsidR="00593186" w:rsidRPr="00593186" w:rsidRDefault="00593186" w:rsidP="00593186">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Market Overview</w:t>
      </w:r>
    </w:p>
    <w:p w14:paraId="6C294C70" w14:textId="77777777" w:rsidR="00593186" w:rsidRPr="00593186" w:rsidRDefault="00593186" w:rsidP="00593186">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Market Attractiveness by Type, Application, End User, and Region</w:t>
      </w:r>
    </w:p>
    <w:p w14:paraId="07666831" w14:textId="77777777" w:rsidR="00593186" w:rsidRPr="00593186" w:rsidRDefault="00593186" w:rsidP="00593186">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Strategic Insights from Key Executives (CXO Perspective)</w:t>
      </w:r>
    </w:p>
    <w:p w14:paraId="7EB7CAE2" w14:textId="77777777" w:rsidR="00593186" w:rsidRPr="00593186" w:rsidRDefault="00593186" w:rsidP="00593186">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Historical Market Size and Future Projections (2022–2030)</w:t>
      </w:r>
    </w:p>
    <w:p w14:paraId="6BEF2AF2" w14:textId="77777777" w:rsidR="00593186" w:rsidRPr="00593186" w:rsidRDefault="00593186" w:rsidP="00593186">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Summary of Market Segmentation by Type, Application, End User, and Region</w:t>
      </w:r>
    </w:p>
    <w:p w14:paraId="514F8704" w14:textId="77777777" w:rsidR="00593186" w:rsidRPr="00593186" w:rsidRDefault="00593186" w:rsidP="00593186">
      <w:pPr>
        <w:spacing w:before="720" w:after="720" w:line="240" w:lineRule="auto"/>
        <w:rPr>
          <w:rFonts w:ascii="Times New Roman" w:eastAsia="Times New Roman" w:hAnsi="Times New Roman" w:cs="Times New Roman"/>
          <w:sz w:val="24"/>
          <w:szCs w:val="24"/>
          <w:lang w:eastAsia="en-IN"/>
        </w:rPr>
      </w:pPr>
      <w:r w:rsidRPr="00593186">
        <w:rPr>
          <w:rFonts w:ascii="Times New Roman" w:eastAsia="Times New Roman" w:hAnsi="Times New Roman" w:cs="Times New Roman"/>
          <w:sz w:val="24"/>
          <w:szCs w:val="24"/>
          <w:lang w:eastAsia="en-IN"/>
        </w:rPr>
        <w:pict w14:anchorId="42245830">
          <v:rect id="_x0000_i1039" style="width:0;height:0" o:hralign="center" o:hrstd="t" o:hrnoshade="t" o:hr="t" fillcolor="#0d0d0d" stroked="f"/>
        </w:pict>
      </w:r>
    </w:p>
    <w:p w14:paraId="72FB7D17"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Market Share Analysis</w:t>
      </w:r>
    </w:p>
    <w:p w14:paraId="34FAD6FD" w14:textId="77777777" w:rsidR="00593186" w:rsidRPr="00593186" w:rsidRDefault="00593186" w:rsidP="00593186">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Leading Players by Revenue and Market Share</w:t>
      </w:r>
    </w:p>
    <w:p w14:paraId="161676AA" w14:textId="77777777" w:rsidR="00593186" w:rsidRPr="00593186" w:rsidRDefault="00593186" w:rsidP="00593186">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Market Share Analysis by Type, Application, and End User</w:t>
      </w:r>
    </w:p>
    <w:p w14:paraId="76D3078F" w14:textId="77777777" w:rsidR="00593186" w:rsidRPr="00593186" w:rsidRDefault="00593186" w:rsidP="00593186">
      <w:pPr>
        <w:spacing w:before="720" w:after="720" w:line="240" w:lineRule="auto"/>
        <w:rPr>
          <w:rFonts w:ascii="Times New Roman" w:eastAsia="Times New Roman" w:hAnsi="Times New Roman" w:cs="Times New Roman"/>
          <w:sz w:val="24"/>
          <w:szCs w:val="24"/>
          <w:lang w:eastAsia="en-IN"/>
        </w:rPr>
      </w:pPr>
      <w:r w:rsidRPr="00593186">
        <w:rPr>
          <w:rFonts w:ascii="Times New Roman" w:eastAsia="Times New Roman" w:hAnsi="Times New Roman" w:cs="Times New Roman"/>
          <w:sz w:val="24"/>
          <w:szCs w:val="24"/>
          <w:lang w:eastAsia="en-IN"/>
        </w:rPr>
        <w:pict w14:anchorId="0757EFA6">
          <v:rect id="_x0000_i1040" style="width:0;height:0" o:hralign="center" o:hrstd="t" o:hrnoshade="t" o:hr="t" fillcolor="#0d0d0d" stroked="f"/>
        </w:pict>
      </w:r>
    </w:p>
    <w:p w14:paraId="18D5F4CF"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Investment Opportunities in the Immunofluorescence Assay Market</w:t>
      </w:r>
    </w:p>
    <w:p w14:paraId="631D666A" w14:textId="77777777" w:rsidR="00593186" w:rsidRPr="00593186" w:rsidRDefault="00593186" w:rsidP="00593186">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Key Developments and Innovations</w:t>
      </w:r>
    </w:p>
    <w:p w14:paraId="79EED9B4" w14:textId="77777777" w:rsidR="00593186" w:rsidRPr="00593186" w:rsidRDefault="00593186" w:rsidP="00593186">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Mergers, Acquisitions, and Strategic Partnerships</w:t>
      </w:r>
    </w:p>
    <w:p w14:paraId="5B22CF7E" w14:textId="77777777" w:rsidR="00593186" w:rsidRPr="00593186" w:rsidRDefault="00593186" w:rsidP="00593186">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High-Growth Segments for Investment</w:t>
      </w:r>
    </w:p>
    <w:p w14:paraId="617EED69" w14:textId="77777777" w:rsidR="00593186" w:rsidRPr="00593186" w:rsidRDefault="00593186" w:rsidP="00593186">
      <w:pPr>
        <w:spacing w:before="720" w:after="720" w:line="240" w:lineRule="auto"/>
        <w:rPr>
          <w:rFonts w:ascii="Times New Roman" w:eastAsia="Times New Roman" w:hAnsi="Times New Roman" w:cs="Times New Roman"/>
          <w:sz w:val="24"/>
          <w:szCs w:val="24"/>
          <w:lang w:eastAsia="en-IN"/>
        </w:rPr>
      </w:pPr>
      <w:r w:rsidRPr="00593186">
        <w:rPr>
          <w:rFonts w:ascii="Times New Roman" w:eastAsia="Times New Roman" w:hAnsi="Times New Roman" w:cs="Times New Roman"/>
          <w:sz w:val="24"/>
          <w:szCs w:val="24"/>
          <w:lang w:eastAsia="en-IN"/>
        </w:rPr>
        <w:pict w14:anchorId="53916E59">
          <v:rect id="_x0000_i1041" style="width:0;height:0" o:hralign="center" o:hrstd="t" o:hrnoshade="t" o:hr="t" fillcolor="#0d0d0d" stroked="f"/>
        </w:pict>
      </w:r>
    </w:p>
    <w:p w14:paraId="5D66D0C6"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Market Introduction</w:t>
      </w:r>
    </w:p>
    <w:p w14:paraId="4C6430E4" w14:textId="77777777" w:rsidR="00593186" w:rsidRPr="00593186" w:rsidRDefault="00593186" w:rsidP="00593186">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Definition and Scope of the Study</w:t>
      </w:r>
    </w:p>
    <w:p w14:paraId="3AB4896C" w14:textId="77777777" w:rsidR="00593186" w:rsidRPr="00593186" w:rsidRDefault="00593186" w:rsidP="00593186">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Market Structure and Key Findings</w:t>
      </w:r>
    </w:p>
    <w:p w14:paraId="3B08D1F8" w14:textId="77777777" w:rsidR="00593186" w:rsidRPr="00593186" w:rsidRDefault="00593186" w:rsidP="00593186">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Overview of Top Investment Pockets</w:t>
      </w:r>
    </w:p>
    <w:p w14:paraId="5C6BF9D9" w14:textId="77777777" w:rsidR="00593186" w:rsidRPr="00593186" w:rsidRDefault="00593186" w:rsidP="00593186">
      <w:pPr>
        <w:spacing w:before="720" w:after="720" w:line="240" w:lineRule="auto"/>
        <w:rPr>
          <w:rFonts w:ascii="Times New Roman" w:eastAsia="Times New Roman" w:hAnsi="Times New Roman" w:cs="Times New Roman"/>
          <w:sz w:val="24"/>
          <w:szCs w:val="24"/>
          <w:lang w:eastAsia="en-IN"/>
        </w:rPr>
      </w:pPr>
      <w:r w:rsidRPr="00593186">
        <w:rPr>
          <w:rFonts w:ascii="Times New Roman" w:eastAsia="Times New Roman" w:hAnsi="Times New Roman" w:cs="Times New Roman"/>
          <w:sz w:val="24"/>
          <w:szCs w:val="24"/>
          <w:lang w:eastAsia="en-IN"/>
        </w:rPr>
        <w:pict w14:anchorId="0D432B45">
          <v:rect id="_x0000_i1042" style="width:0;height:0" o:hralign="center" o:hrstd="t" o:hrnoshade="t" o:hr="t" fillcolor="#0d0d0d" stroked="f"/>
        </w:pict>
      </w:r>
    </w:p>
    <w:p w14:paraId="355CE31B"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Research Methodology</w:t>
      </w:r>
    </w:p>
    <w:p w14:paraId="47816484" w14:textId="77777777" w:rsidR="00593186" w:rsidRPr="00593186" w:rsidRDefault="00593186" w:rsidP="00593186">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Research Process Overview</w:t>
      </w:r>
    </w:p>
    <w:p w14:paraId="49F9F066" w14:textId="77777777" w:rsidR="00593186" w:rsidRPr="00593186" w:rsidRDefault="00593186" w:rsidP="00593186">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lastRenderedPageBreak/>
        <w:t>Primary and Secondary Research Approaches</w:t>
      </w:r>
    </w:p>
    <w:p w14:paraId="148847BB" w14:textId="77777777" w:rsidR="00593186" w:rsidRPr="00593186" w:rsidRDefault="00593186" w:rsidP="00593186">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Market Size Estimation and Forecasting Techniques</w:t>
      </w:r>
    </w:p>
    <w:p w14:paraId="4B34A022" w14:textId="77777777" w:rsidR="00593186" w:rsidRPr="00593186" w:rsidRDefault="00593186" w:rsidP="00593186">
      <w:pPr>
        <w:spacing w:before="720" w:after="720" w:line="240" w:lineRule="auto"/>
        <w:rPr>
          <w:rFonts w:ascii="Times New Roman" w:eastAsia="Times New Roman" w:hAnsi="Times New Roman" w:cs="Times New Roman"/>
          <w:sz w:val="24"/>
          <w:szCs w:val="24"/>
          <w:lang w:eastAsia="en-IN"/>
        </w:rPr>
      </w:pPr>
      <w:r w:rsidRPr="00593186">
        <w:rPr>
          <w:rFonts w:ascii="Times New Roman" w:eastAsia="Times New Roman" w:hAnsi="Times New Roman" w:cs="Times New Roman"/>
          <w:sz w:val="24"/>
          <w:szCs w:val="24"/>
          <w:lang w:eastAsia="en-IN"/>
        </w:rPr>
        <w:pict w14:anchorId="64DFAEDC">
          <v:rect id="_x0000_i1043" style="width:0;height:0" o:hralign="center" o:hrstd="t" o:hrnoshade="t" o:hr="t" fillcolor="#0d0d0d" stroked="f"/>
        </w:pict>
      </w:r>
    </w:p>
    <w:p w14:paraId="3CF011F7"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Market Dynamics</w:t>
      </w:r>
    </w:p>
    <w:p w14:paraId="60EE13DC" w14:textId="77777777" w:rsidR="00593186" w:rsidRPr="00593186" w:rsidRDefault="00593186" w:rsidP="00593186">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Key Market Drivers</w:t>
      </w:r>
    </w:p>
    <w:p w14:paraId="287CC4AD" w14:textId="77777777" w:rsidR="00593186" w:rsidRPr="00593186" w:rsidRDefault="00593186" w:rsidP="00593186">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Challenges and Restraints Impacting Growth</w:t>
      </w:r>
    </w:p>
    <w:p w14:paraId="5591EDF3" w14:textId="77777777" w:rsidR="00593186" w:rsidRPr="00593186" w:rsidRDefault="00593186" w:rsidP="00593186">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Emerging Opportunities for Stakeholders</w:t>
      </w:r>
    </w:p>
    <w:p w14:paraId="5A625998" w14:textId="77777777" w:rsidR="00593186" w:rsidRPr="00593186" w:rsidRDefault="00593186" w:rsidP="00593186">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 xml:space="preserve">Impact of Technological, </w:t>
      </w:r>
      <w:proofErr w:type="spellStart"/>
      <w:r w:rsidRPr="00593186">
        <w:rPr>
          <w:rFonts w:ascii="Segoe UI" w:eastAsia="Times New Roman" w:hAnsi="Segoe UI" w:cs="Segoe UI"/>
          <w:color w:val="0D0D0D"/>
          <w:sz w:val="24"/>
          <w:szCs w:val="24"/>
          <w:lang w:eastAsia="en-IN"/>
        </w:rPr>
        <w:t>Behavioral</w:t>
      </w:r>
      <w:proofErr w:type="spellEnd"/>
      <w:r w:rsidRPr="00593186">
        <w:rPr>
          <w:rFonts w:ascii="Segoe UI" w:eastAsia="Times New Roman" w:hAnsi="Segoe UI" w:cs="Segoe UI"/>
          <w:color w:val="0D0D0D"/>
          <w:sz w:val="24"/>
          <w:szCs w:val="24"/>
          <w:lang w:eastAsia="en-IN"/>
        </w:rPr>
        <w:t>, and Regulatory Trends</w:t>
      </w:r>
    </w:p>
    <w:p w14:paraId="0A13FFA7" w14:textId="77777777" w:rsidR="00593186" w:rsidRPr="00593186" w:rsidRDefault="00593186" w:rsidP="00593186">
      <w:pPr>
        <w:spacing w:before="720" w:after="720" w:line="240" w:lineRule="auto"/>
        <w:rPr>
          <w:rFonts w:ascii="Times New Roman" w:eastAsia="Times New Roman" w:hAnsi="Times New Roman" w:cs="Times New Roman"/>
          <w:sz w:val="24"/>
          <w:szCs w:val="24"/>
          <w:lang w:eastAsia="en-IN"/>
        </w:rPr>
      </w:pPr>
      <w:r w:rsidRPr="00593186">
        <w:rPr>
          <w:rFonts w:ascii="Times New Roman" w:eastAsia="Times New Roman" w:hAnsi="Times New Roman" w:cs="Times New Roman"/>
          <w:sz w:val="24"/>
          <w:szCs w:val="24"/>
          <w:lang w:eastAsia="en-IN"/>
        </w:rPr>
        <w:pict w14:anchorId="744421FC">
          <v:rect id="_x0000_i1044" style="width:0;height:0" o:hralign="center" o:hrstd="t" o:hrnoshade="t" o:hr="t" fillcolor="#0d0d0d" stroked="f"/>
        </w:pict>
      </w:r>
    </w:p>
    <w:p w14:paraId="3C435E91"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Global Immunofluorescence Assay Market Analysis</w:t>
      </w:r>
    </w:p>
    <w:p w14:paraId="7F8FC3A7" w14:textId="77777777" w:rsidR="00593186" w:rsidRPr="00593186" w:rsidRDefault="00593186" w:rsidP="00593186">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Historical Market Size and Volume (2022–2023)</w:t>
      </w:r>
    </w:p>
    <w:p w14:paraId="4951DBD9" w14:textId="77777777" w:rsidR="00593186" w:rsidRPr="00593186" w:rsidRDefault="00593186" w:rsidP="00593186">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Market Size and Volume Forecasts (2024–2030)</w:t>
      </w:r>
    </w:p>
    <w:p w14:paraId="646BE92C"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Market Analysis by Type:</w:t>
      </w:r>
    </w:p>
    <w:p w14:paraId="1ADD38EB" w14:textId="77777777" w:rsidR="00593186" w:rsidRPr="00593186" w:rsidRDefault="00593186" w:rsidP="00593186">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Direct Immunofluorescence</w:t>
      </w:r>
    </w:p>
    <w:p w14:paraId="33DD537B" w14:textId="77777777" w:rsidR="00593186" w:rsidRPr="00593186" w:rsidRDefault="00593186" w:rsidP="00593186">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Indirect Immunofluorescence</w:t>
      </w:r>
    </w:p>
    <w:p w14:paraId="4CD873CB"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Market Analysis by Application:</w:t>
      </w:r>
    </w:p>
    <w:p w14:paraId="26DF11FB" w14:textId="77777777" w:rsidR="00593186" w:rsidRPr="00593186" w:rsidRDefault="00593186" w:rsidP="00593186">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Cancer Diagnostics</w:t>
      </w:r>
    </w:p>
    <w:p w14:paraId="56C19EDA" w14:textId="77777777" w:rsidR="00593186" w:rsidRPr="00593186" w:rsidRDefault="00593186" w:rsidP="00593186">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Autoimmune Disease Diagnosis</w:t>
      </w:r>
    </w:p>
    <w:p w14:paraId="5CF7F4C6" w14:textId="77777777" w:rsidR="00593186" w:rsidRPr="00593186" w:rsidRDefault="00593186" w:rsidP="00593186">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Infectious Disease Detection</w:t>
      </w:r>
    </w:p>
    <w:p w14:paraId="2F763921" w14:textId="77777777" w:rsidR="00593186" w:rsidRPr="00593186" w:rsidRDefault="00593186" w:rsidP="00593186">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Neuroscience Research</w:t>
      </w:r>
    </w:p>
    <w:p w14:paraId="657A81B9" w14:textId="77777777" w:rsidR="00593186" w:rsidRPr="00593186" w:rsidRDefault="00593186" w:rsidP="00593186">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Others</w:t>
      </w:r>
    </w:p>
    <w:p w14:paraId="27CF9523"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Market Analysis by End User:</w:t>
      </w:r>
    </w:p>
    <w:p w14:paraId="61992E03" w14:textId="77777777" w:rsidR="00593186" w:rsidRPr="00593186" w:rsidRDefault="00593186" w:rsidP="00593186">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Clinical Laboratories</w:t>
      </w:r>
    </w:p>
    <w:p w14:paraId="4C87222C" w14:textId="77777777" w:rsidR="00593186" w:rsidRPr="00593186" w:rsidRDefault="00593186" w:rsidP="00593186">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 xml:space="preserve">Hospitals &amp; Diagnostic </w:t>
      </w:r>
      <w:proofErr w:type="spellStart"/>
      <w:r w:rsidRPr="00593186">
        <w:rPr>
          <w:rFonts w:ascii="Segoe UI" w:eastAsia="Times New Roman" w:hAnsi="Segoe UI" w:cs="Segoe UI"/>
          <w:color w:val="0D0D0D"/>
          <w:sz w:val="24"/>
          <w:szCs w:val="24"/>
          <w:lang w:eastAsia="en-IN"/>
        </w:rPr>
        <w:t>Centers</w:t>
      </w:r>
      <w:proofErr w:type="spellEnd"/>
    </w:p>
    <w:p w14:paraId="7736E033" w14:textId="77777777" w:rsidR="00593186" w:rsidRPr="00593186" w:rsidRDefault="00593186" w:rsidP="00593186">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Academic &amp; Research Institutions</w:t>
      </w:r>
    </w:p>
    <w:p w14:paraId="0F440C27" w14:textId="77777777" w:rsidR="00593186" w:rsidRPr="00593186" w:rsidRDefault="00593186" w:rsidP="00593186">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Pharmaceutical &amp; Biotechnology Companies</w:t>
      </w:r>
    </w:p>
    <w:p w14:paraId="4092DEF4"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Market Analysis by Region:</w:t>
      </w:r>
    </w:p>
    <w:p w14:paraId="5D80059D" w14:textId="77777777" w:rsidR="00593186" w:rsidRPr="00593186" w:rsidRDefault="00593186" w:rsidP="00593186">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lastRenderedPageBreak/>
        <w:t>North America</w:t>
      </w:r>
    </w:p>
    <w:p w14:paraId="1364431C" w14:textId="77777777" w:rsidR="00593186" w:rsidRPr="00593186" w:rsidRDefault="00593186" w:rsidP="00593186">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Europe</w:t>
      </w:r>
    </w:p>
    <w:p w14:paraId="086F524E" w14:textId="77777777" w:rsidR="00593186" w:rsidRPr="00593186" w:rsidRDefault="00593186" w:rsidP="00593186">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Asia-Pacific</w:t>
      </w:r>
    </w:p>
    <w:p w14:paraId="31B5389A" w14:textId="77777777" w:rsidR="00593186" w:rsidRPr="00593186" w:rsidRDefault="00593186" w:rsidP="00593186">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Latin America</w:t>
      </w:r>
    </w:p>
    <w:p w14:paraId="1049439D" w14:textId="77777777" w:rsidR="00593186" w:rsidRPr="00593186" w:rsidRDefault="00593186" w:rsidP="00593186">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Middle East &amp; Africa</w:t>
      </w:r>
    </w:p>
    <w:p w14:paraId="65B3A571" w14:textId="77777777" w:rsidR="00593186" w:rsidRPr="00593186" w:rsidRDefault="00593186" w:rsidP="00593186">
      <w:pPr>
        <w:spacing w:before="720" w:after="720" w:line="240" w:lineRule="auto"/>
        <w:rPr>
          <w:rFonts w:ascii="Times New Roman" w:eastAsia="Times New Roman" w:hAnsi="Times New Roman" w:cs="Times New Roman"/>
          <w:sz w:val="24"/>
          <w:szCs w:val="24"/>
          <w:lang w:eastAsia="en-IN"/>
        </w:rPr>
      </w:pPr>
      <w:r w:rsidRPr="00593186">
        <w:rPr>
          <w:rFonts w:ascii="Times New Roman" w:eastAsia="Times New Roman" w:hAnsi="Times New Roman" w:cs="Times New Roman"/>
          <w:sz w:val="24"/>
          <w:szCs w:val="24"/>
          <w:lang w:eastAsia="en-IN"/>
        </w:rPr>
        <w:pict w14:anchorId="74D8A83F">
          <v:rect id="_x0000_i1045" style="width:0;height:0" o:hralign="center" o:hrstd="t" o:hrnoshade="t" o:hr="t" fillcolor="#0d0d0d" stroked="f"/>
        </w:pict>
      </w:r>
    </w:p>
    <w:p w14:paraId="37DEBDDD"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Regional Market Analysis</w:t>
      </w:r>
    </w:p>
    <w:p w14:paraId="77268AA5"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North America:</w:t>
      </w:r>
    </w:p>
    <w:p w14:paraId="1CA1C119" w14:textId="77777777" w:rsidR="00593186" w:rsidRPr="00593186" w:rsidRDefault="00593186" w:rsidP="00593186">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U.S., Canada, Mexico</w:t>
      </w:r>
    </w:p>
    <w:p w14:paraId="047997F4"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Europe:</w:t>
      </w:r>
    </w:p>
    <w:p w14:paraId="47C72423" w14:textId="77777777" w:rsidR="00593186" w:rsidRPr="00593186" w:rsidRDefault="00593186" w:rsidP="00593186">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Germany, UK, France, Italy, Spain, Rest of Europe</w:t>
      </w:r>
    </w:p>
    <w:p w14:paraId="3DC22AE8"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Asia-Pacific:</w:t>
      </w:r>
    </w:p>
    <w:p w14:paraId="5CF4D81A" w14:textId="77777777" w:rsidR="00593186" w:rsidRPr="00593186" w:rsidRDefault="00593186" w:rsidP="00593186">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China, India, Japan, South Korea, Rest of Asia-Pacific</w:t>
      </w:r>
    </w:p>
    <w:p w14:paraId="381344C6"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Latin America:</w:t>
      </w:r>
    </w:p>
    <w:p w14:paraId="564225E9" w14:textId="77777777" w:rsidR="00593186" w:rsidRPr="00593186" w:rsidRDefault="00593186" w:rsidP="00593186">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Brazil, Argentina, Rest of Latin America</w:t>
      </w:r>
    </w:p>
    <w:p w14:paraId="42B54E82" w14:textId="77777777" w:rsidR="00593186" w:rsidRPr="00593186" w:rsidRDefault="00593186" w:rsidP="00593186">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593186">
        <w:rPr>
          <w:rFonts w:ascii="Segoe UI" w:eastAsia="Times New Roman" w:hAnsi="Segoe UI" w:cs="Segoe UI"/>
          <w:b/>
          <w:bCs/>
          <w:color w:val="0D0D0D"/>
          <w:sz w:val="24"/>
          <w:szCs w:val="24"/>
          <w:lang w:eastAsia="en-IN"/>
        </w:rPr>
        <w:t>Middle East &amp; Africa:</w:t>
      </w:r>
    </w:p>
    <w:p w14:paraId="4091BC86" w14:textId="77777777" w:rsidR="00593186" w:rsidRPr="00593186" w:rsidRDefault="00593186" w:rsidP="00593186">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GCC Countries, South Africa, Rest of Middle East &amp; Africa</w:t>
      </w:r>
    </w:p>
    <w:p w14:paraId="31FA3EB7" w14:textId="77777777" w:rsidR="00593186" w:rsidRPr="00593186" w:rsidRDefault="00593186" w:rsidP="00593186">
      <w:pPr>
        <w:spacing w:before="720" w:after="720" w:line="240" w:lineRule="auto"/>
        <w:rPr>
          <w:rFonts w:ascii="Times New Roman" w:eastAsia="Times New Roman" w:hAnsi="Times New Roman" w:cs="Times New Roman"/>
          <w:sz w:val="24"/>
          <w:szCs w:val="24"/>
          <w:lang w:eastAsia="en-IN"/>
        </w:rPr>
      </w:pPr>
      <w:r w:rsidRPr="00593186">
        <w:rPr>
          <w:rFonts w:ascii="Times New Roman" w:eastAsia="Times New Roman" w:hAnsi="Times New Roman" w:cs="Times New Roman"/>
          <w:sz w:val="24"/>
          <w:szCs w:val="24"/>
          <w:lang w:eastAsia="en-IN"/>
        </w:rPr>
        <w:pict w14:anchorId="36BB61B6">
          <v:rect id="_x0000_i1046" style="width:0;height:0" o:hralign="center" o:hrstd="t" o:hrnoshade="t" o:hr="t" fillcolor="#0d0d0d" stroked="f"/>
        </w:pict>
      </w:r>
    </w:p>
    <w:p w14:paraId="6844CABE"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Key Players and Competitive Analysis</w:t>
      </w:r>
    </w:p>
    <w:p w14:paraId="3222DA2E" w14:textId="77777777" w:rsidR="00593186" w:rsidRPr="00593186" w:rsidRDefault="00593186" w:rsidP="00593186">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Thermo Fisher Scientific</w:t>
      </w:r>
    </w:p>
    <w:p w14:paraId="7E18D38D" w14:textId="77777777" w:rsidR="00593186" w:rsidRPr="00593186" w:rsidRDefault="00593186" w:rsidP="00593186">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Bio-Rad Laboratories</w:t>
      </w:r>
    </w:p>
    <w:p w14:paraId="1978B4F2" w14:textId="77777777" w:rsidR="00593186" w:rsidRPr="00593186" w:rsidRDefault="00593186" w:rsidP="00593186">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Danaher Corporation (Leica Biosystems)</w:t>
      </w:r>
    </w:p>
    <w:p w14:paraId="46C270F8" w14:textId="77777777" w:rsidR="00593186" w:rsidRPr="00593186" w:rsidRDefault="00593186" w:rsidP="00593186">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Abcam</w:t>
      </w:r>
    </w:p>
    <w:p w14:paraId="2C74B7C1" w14:textId="77777777" w:rsidR="00593186" w:rsidRPr="00593186" w:rsidRDefault="00593186" w:rsidP="00593186">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 xml:space="preserve">Merck </w:t>
      </w:r>
      <w:proofErr w:type="spellStart"/>
      <w:r w:rsidRPr="00593186">
        <w:rPr>
          <w:rFonts w:ascii="Segoe UI" w:eastAsia="Times New Roman" w:hAnsi="Segoe UI" w:cs="Segoe UI"/>
          <w:color w:val="0D0D0D"/>
          <w:sz w:val="24"/>
          <w:szCs w:val="24"/>
          <w:lang w:eastAsia="en-IN"/>
        </w:rPr>
        <w:t>KGaA</w:t>
      </w:r>
      <w:proofErr w:type="spellEnd"/>
      <w:r w:rsidRPr="00593186">
        <w:rPr>
          <w:rFonts w:ascii="Segoe UI" w:eastAsia="Times New Roman" w:hAnsi="Segoe UI" w:cs="Segoe UI"/>
          <w:color w:val="0D0D0D"/>
          <w:sz w:val="24"/>
          <w:szCs w:val="24"/>
          <w:lang w:eastAsia="en-IN"/>
        </w:rPr>
        <w:t xml:space="preserve"> (</w:t>
      </w:r>
      <w:proofErr w:type="spellStart"/>
      <w:r w:rsidRPr="00593186">
        <w:rPr>
          <w:rFonts w:ascii="Segoe UI" w:eastAsia="Times New Roman" w:hAnsi="Segoe UI" w:cs="Segoe UI"/>
          <w:color w:val="0D0D0D"/>
          <w:sz w:val="24"/>
          <w:szCs w:val="24"/>
          <w:lang w:eastAsia="en-IN"/>
        </w:rPr>
        <w:t>MilliporeSigma</w:t>
      </w:r>
      <w:proofErr w:type="spellEnd"/>
      <w:r w:rsidRPr="00593186">
        <w:rPr>
          <w:rFonts w:ascii="Segoe UI" w:eastAsia="Times New Roman" w:hAnsi="Segoe UI" w:cs="Segoe UI"/>
          <w:color w:val="0D0D0D"/>
          <w:sz w:val="24"/>
          <w:szCs w:val="24"/>
          <w:lang w:eastAsia="en-IN"/>
        </w:rPr>
        <w:t>)</w:t>
      </w:r>
    </w:p>
    <w:p w14:paraId="14BA42E7" w14:textId="77777777" w:rsidR="00593186" w:rsidRPr="00593186" w:rsidRDefault="00593186" w:rsidP="00593186">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PerkinElmer (</w:t>
      </w:r>
      <w:proofErr w:type="spellStart"/>
      <w:r w:rsidRPr="00593186">
        <w:rPr>
          <w:rFonts w:ascii="Segoe UI" w:eastAsia="Times New Roman" w:hAnsi="Segoe UI" w:cs="Segoe UI"/>
          <w:color w:val="0D0D0D"/>
          <w:sz w:val="24"/>
          <w:szCs w:val="24"/>
          <w:lang w:eastAsia="en-IN"/>
        </w:rPr>
        <w:t>Revvity</w:t>
      </w:r>
      <w:proofErr w:type="spellEnd"/>
      <w:r w:rsidRPr="00593186">
        <w:rPr>
          <w:rFonts w:ascii="Segoe UI" w:eastAsia="Times New Roman" w:hAnsi="Segoe UI" w:cs="Segoe UI"/>
          <w:color w:val="0D0D0D"/>
          <w:sz w:val="24"/>
          <w:szCs w:val="24"/>
          <w:lang w:eastAsia="en-IN"/>
        </w:rPr>
        <w:t>)</w:t>
      </w:r>
    </w:p>
    <w:p w14:paraId="48A55EF3" w14:textId="77777777" w:rsidR="00593186" w:rsidRPr="00593186" w:rsidRDefault="00593186" w:rsidP="00593186">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Agilent Technologies</w:t>
      </w:r>
    </w:p>
    <w:p w14:paraId="0B38719D" w14:textId="77777777" w:rsidR="00593186" w:rsidRPr="00593186" w:rsidRDefault="00593186" w:rsidP="00593186">
      <w:pPr>
        <w:spacing w:before="720" w:after="720" w:line="240" w:lineRule="auto"/>
        <w:rPr>
          <w:rFonts w:ascii="Times New Roman" w:eastAsia="Times New Roman" w:hAnsi="Times New Roman" w:cs="Times New Roman"/>
          <w:sz w:val="24"/>
          <w:szCs w:val="24"/>
          <w:lang w:eastAsia="en-IN"/>
        </w:rPr>
      </w:pPr>
      <w:r w:rsidRPr="00593186">
        <w:rPr>
          <w:rFonts w:ascii="Times New Roman" w:eastAsia="Times New Roman" w:hAnsi="Times New Roman" w:cs="Times New Roman"/>
          <w:sz w:val="24"/>
          <w:szCs w:val="24"/>
          <w:lang w:eastAsia="en-IN"/>
        </w:rPr>
        <w:lastRenderedPageBreak/>
        <w:pict w14:anchorId="4DA06174">
          <v:rect id="_x0000_i1047" style="width:0;height:0" o:hralign="center" o:hrstd="t" o:hrnoshade="t" o:hr="t" fillcolor="#0d0d0d" stroked="f"/>
        </w:pict>
      </w:r>
    </w:p>
    <w:p w14:paraId="0F6B45A4"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Appendix</w:t>
      </w:r>
    </w:p>
    <w:p w14:paraId="215B617F" w14:textId="77777777" w:rsidR="00593186" w:rsidRPr="00593186" w:rsidRDefault="00593186" w:rsidP="00593186">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Abbreviations and Terminologies Used in the Report</w:t>
      </w:r>
    </w:p>
    <w:p w14:paraId="49B81276" w14:textId="77777777" w:rsidR="00593186" w:rsidRPr="00593186" w:rsidRDefault="00593186" w:rsidP="00593186">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References and Sources</w:t>
      </w:r>
    </w:p>
    <w:p w14:paraId="35A92417" w14:textId="77777777" w:rsidR="00593186" w:rsidRPr="00593186" w:rsidRDefault="00593186" w:rsidP="00593186">
      <w:pPr>
        <w:spacing w:before="720" w:after="720" w:line="240" w:lineRule="auto"/>
        <w:rPr>
          <w:rFonts w:ascii="Times New Roman" w:eastAsia="Times New Roman" w:hAnsi="Times New Roman" w:cs="Times New Roman"/>
          <w:sz w:val="24"/>
          <w:szCs w:val="24"/>
          <w:lang w:eastAsia="en-IN"/>
        </w:rPr>
      </w:pPr>
      <w:r w:rsidRPr="00593186">
        <w:rPr>
          <w:rFonts w:ascii="Times New Roman" w:eastAsia="Times New Roman" w:hAnsi="Times New Roman" w:cs="Times New Roman"/>
          <w:sz w:val="24"/>
          <w:szCs w:val="24"/>
          <w:lang w:eastAsia="en-IN"/>
        </w:rPr>
        <w:pict w14:anchorId="1CC76CEB">
          <v:rect id="_x0000_i1048" style="width:0;height:0" o:hralign="center" o:hrstd="t" o:hrnoshade="t" o:hr="t" fillcolor="#0d0d0d" stroked="f"/>
        </w:pict>
      </w:r>
    </w:p>
    <w:p w14:paraId="34DA5D6C"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List of Tables</w:t>
      </w:r>
    </w:p>
    <w:p w14:paraId="383ED49F" w14:textId="77777777" w:rsidR="00593186" w:rsidRPr="00593186" w:rsidRDefault="00593186" w:rsidP="00593186">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Market Size by Type, Application, End User, and Region (2024–2030)</w:t>
      </w:r>
    </w:p>
    <w:p w14:paraId="5D6FB02D" w14:textId="77777777" w:rsidR="00593186" w:rsidRPr="00593186" w:rsidRDefault="00593186" w:rsidP="00593186">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Regional Market Breakdown by Type and End User (2024–2030)</w:t>
      </w:r>
    </w:p>
    <w:p w14:paraId="20C69514" w14:textId="77777777" w:rsidR="00593186" w:rsidRPr="00593186" w:rsidRDefault="00593186" w:rsidP="00593186">
      <w:pPr>
        <w:spacing w:before="720" w:after="720" w:line="240" w:lineRule="auto"/>
        <w:rPr>
          <w:rFonts w:ascii="Times New Roman" w:eastAsia="Times New Roman" w:hAnsi="Times New Roman" w:cs="Times New Roman"/>
          <w:sz w:val="24"/>
          <w:szCs w:val="24"/>
          <w:lang w:eastAsia="en-IN"/>
        </w:rPr>
      </w:pPr>
      <w:r w:rsidRPr="00593186">
        <w:rPr>
          <w:rFonts w:ascii="Times New Roman" w:eastAsia="Times New Roman" w:hAnsi="Times New Roman" w:cs="Times New Roman"/>
          <w:sz w:val="24"/>
          <w:szCs w:val="24"/>
          <w:lang w:eastAsia="en-IN"/>
        </w:rPr>
        <w:pict w14:anchorId="29AA3BAE">
          <v:rect id="_x0000_i1049" style="width:0;height:0" o:hralign="center" o:hrstd="t" o:hrnoshade="t" o:hr="t" fillcolor="#0d0d0d" stroked="f"/>
        </w:pict>
      </w:r>
    </w:p>
    <w:p w14:paraId="7D51D4DD" w14:textId="77777777" w:rsidR="00593186" w:rsidRPr="00593186" w:rsidRDefault="00593186" w:rsidP="00593186">
      <w:pPr>
        <w:shd w:val="clear" w:color="auto" w:fill="FFFFFF"/>
        <w:spacing w:after="0" w:line="240" w:lineRule="auto"/>
        <w:outlineLvl w:val="3"/>
        <w:rPr>
          <w:rFonts w:ascii="Segoe UI" w:eastAsia="Times New Roman" w:hAnsi="Segoe UI" w:cs="Segoe UI"/>
          <w:b/>
          <w:bCs/>
          <w:color w:val="0D0D0D"/>
          <w:sz w:val="24"/>
          <w:szCs w:val="24"/>
          <w:lang w:eastAsia="en-IN"/>
        </w:rPr>
      </w:pPr>
      <w:r w:rsidRPr="00593186">
        <w:rPr>
          <w:rFonts w:ascii="Segoe UI" w:eastAsia="Times New Roman" w:hAnsi="Segoe UI" w:cs="Segoe UI"/>
          <w:b/>
          <w:bCs/>
          <w:color w:val="0D0D0D"/>
          <w:sz w:val="24"/>
          <w:szCs w:val="24"/>
          <w:lang w:eastAsia="en-IN"/>
        </w:rPr>
        <w:t>List of Figures</w:t>
      </w:r>
    </w:p>
    <w:p w14:paraId="47600FC1" w14:textId="77777777" w:rsidR="00593186" w:rsidRPr="00593186" w:rsidRDefault="00593186" w:rsidP="00593186">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Market Dynamics: Drivers, Restraints, Opportunities, and Challenges</w:t>
      </w:r>
    </w:p>
    <w:p w14:paraId="4B49477D" w14:textId="77777777" w:rsidR="00593186" w:rsidRPr="00593186" w:rsidRDefault="00593186" w:rsidP="00593186">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Regional Market Snapshot for Key Regions</w:t>
      </w:r>
    </w:p>
    <w:p w14:paraId="55486139" w14:textId="77777777" w:rsidR="00593186" w:rsidRPr="00593186" w:rsidRDefault="00593186" w:rsidP="00593186">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Competitive Landscape and Market Share Analysis</w:t>
      </w:r>
    </w:p>
    <w:p w14:paraId="54C6A73D" w14:textId="77777777" w:rsidR="00593186" w:rsidRPr="00593186" w:rsidRDefault="00593186" w:rsidP="00593186">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Growth Strategies Adopted by Key Players</w:t>
      </w:r>
    </w:p>
    <w:p w14:paraId="640ABFB3" w14:textId="77777777" w:rsidR="00593186" w:rsidRPr="00593186" w:rsidRDefault="00593186" w:rsidP="00593186">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593186">
        <w:rPr>
          <w:rFonts w:ascii="Segoe UI" w:eastAsia="Times New Roman" w:hAnsi="Segoe UI" w:cs="Segoe UI"/>
          <w:color w:val="0D0D0D"/>
          <w:sz w:val="24"/>
          <w:szCs w:val="24"/>
          <w:lang w:eastAsia="en-IN"/>
        </w:rPr>
        <w:t>Market Share by Type, Application, End User (2024 vs. 2030)</w:t>
      </w:r>
    </w:p>
    <w:p w14:paraId="1E9DA261"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96F18"/>
    <w:multiLevelType w:val="multilevel"/>
    <w:tmpl w:val="5048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B037D"/>
    <w:multiLevelType w:val="multilevel"/>
    <w:tmpl w:val="0DF48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80E32"/>
    <w:multiLevelType w:val="multilevel"/>
    <w:tmpl w:val="85C2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396259"/>
    <w:multiLevelType w:val="multilevel"/>
    <w:tmpl w:val="9D30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73D25"/>
    <w:multiLevelType w:val="multilevel"/>
    <w:tmpl w:val="D038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B458C1"/>
    <w:multiLevelType w:val="multilevel"/>
    <w:tmpl w:val="76F6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AC699D"/>
    <w:multiLevelType w:val="multilevel"/>
    <w:tmpl w:val="D35C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C76C5E"/>
    <w:multiLevelType w:val="multilevel"/>
    <w:tmpl w:val="486E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0268EC"/>
    <w:multiLevelType w:val="multilevel"/>
    <w:tmpl w:val="D9925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FA5F4A"/>
    <w:multiLevelType w:val="multilevel"/>
    <w:tmpl w:val="DF46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DE23D2"/>
    <w:multiLevelType w:val="multilevel"/>
    <w:tmpl w:val="C876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E62622"/>
    <w:multiLevelType w:val="multilevel"/>
    <w:tmpl w:val="595C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B13D5D"/>
    <w:multiLevelType w:val="multilevel"/>
    <w:tmpl w:val="C4C2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E03109"/>
    <w:multiLevelType w:val="multilevel"/>
    <w:tmpl w:val="E85A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3E3AAA"/>
    <w:multiLevelType w:val="multilevel"/>
    <w:tmpl w:val="B07A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BC4D3C"/>
    <w:multiLevelType w:val="multilevel"/>
    <w:tmpl w:val="86F6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E34210"/>
    <w:multiLevelType w:val="multilevel"/>
    <w:tmpl w:val="566AA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6967BF"/>
    <w:multiLevelType w:val="multilevel"/>
    <w:tmpl w:val="C224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EE1059"/>
    <w:multiLevelType w:val="multilevel"/>
    <w:tmpl w:val="A3AE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5E4F09"/>
    <w:multiLevelType w:val="multilevel"/>
    <w:tmpl w:val="87B2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F34DF8"/>
    <w:multiLevelType w:val="multilevel"/>
    <w:tmpl w:val="AD98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2078BB"/>
    <w:multiLevelType w:val="multilevel"/>
    <w:tmpl w:val="F394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1D7859"/>
    <w:multiLevelType w:val="multilevel"/>
    <w:tmpl w:val="7222F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9B4316"/>
    <w:multiLevelType w:val="multilevel"/>
    <w:tmpl w:val="C29E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1227EC"/>
    <w:multiLevelType w:val="multilevel"/>
    <w:tmpl w:val="7234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23434A3"/>
    <w:multiLevelType w:val="multilevel"/>
    <w:tmpl w:val="22FE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FC0939"/>
    <w:multiLevelType w:val="multilevel"/>
    <w:tmpl w:val="24D6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FF44D7"/>
    <w:multiLevelType w:val="multilevel"/>
    <w:tmpl w:val="6EE48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BB329F"/>
    <w:multiLevelType w:val="multilevel"/>
    <w:tmpl w:val="7580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AD65B3A"/>
    <w:multiLevelType w:val="multilevel"/>
    <w:tmpl w:val="22CA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D3E2A16"/>
    <w:multiLevelType w:val="multilevel"/>
    <w:tmpl w:val="B358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DDA09F6"/>
    <w:multiLevelType w:val="multilevel"/>
    <w:tmpl w:val="934E8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4F3ED3"/>
    <w:multiLevelType w:val="multilevel"/>
    <w:tmpl w:val="DAC6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5650005"/>
    <w:multiLevelType w:val="multilevel"/>
    <w:tmpl w:val="CD4A1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C43D38"/>
    <w:multiLevelType w:val="multilevel"/>
    <w:tmpl w:val="A622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0"/>
  </w:num>
  <w:num w:numId="2">
    <w:abstractNumId w:val="31"/>
  </w:num>
  <w:num w:numId="3">
    <w:abstractNumId w:val="1"/>
  </w:num>
  <w:num w:numId="4">
    <w:abstractNumId w:val="16"/>
  </w:num>
  <w:num w:numId="5">
    <w:abstractNumId w:val="33"/>
  </w:num>
  <w:num w:numId="6">
    <w:abstractNumId w:val="25"/>
  </w:num>
  <w:num w:numId="7">
    <w:abstractNumId w:val="13"/>
  </w:num>
  <w:num w:numId="8">
    <w:abstractNumId w:val="7"/>
  </w:num>
  <w:num w:numId="9">
    <w:abstractNumId w:val="11"/>
  </w:num>
  <w:num w:numId="10">
    <w:abstractNumId w:val="4"/>
  </w:num>
  <w:num w:numId="11">
    <w:abstractNumId w:val="24"/>
  </w:num>
  <w:num w:numId="12">
    <w:abstractNumId w:val="23"/>
  </w:num>
  <w:num w:numId="13">
    <w:abstractNumId w:val="27"/>
  </w:num>
  <w:num w:numId="14">
    <w:abstractNumId w:val="22"/>
  </w:num>
  <w:num w:numId="15">
    <w:abstractNumId w:val="8"/>
  </w:num>
  <w:num w:numId="16">
    <w:abstractNumId w:val="15"/>
  </w:num>
  <w:num w:numId="17">
    <w:abstractNumId w:val="29"/>
  </w:num>
  <w:num w:numId="18">
    <w:abstractNumId w:val="3"/>
  </w:num>
  <w:num w:numId="19">
    <w:abstractNumId w:val="32"/>
  </w:num>
  <w:num w:numId="20">
    <w:abstractNumId w:val="18"/>
  </w:num>
  <w:num w:numId="21">
    <w:abstractNumId w:val="19"/>
  </w:num>
  <w:num w:numId="22">
    <w:abstractNumId w:val="5"/>
  </w:num>
  <w:num w:numId="23">
    <w:abstractNumId w:val="26"/>
  </w:num>
  <w:num w:numId="24">
    <w:abstractNumId w:val="20"/>
  </w:num>
  <w:num w:numId="25">
    <w:abstractNumId w:val="14"/>
  </w:num>
  <w:num w:numId="26">
    <w:abstractNumId w:val="12"/>
  </w:num>
  <w:num w:numId="27">
    <w:abstractNumId w:val="34"/>
  </w:num>
  <w:num w:numId="28">
    <w:abstractNumId w:val="10"/>
  </w:num>
  <w:num w:numId="29">
    <w:abstractNumId w:val="28"/>
  </w:num>
  <w:num w:numId="30">
    <w:abstractNumId w:val="2"/>
  </w:num>
  <w:num w:numId="31">
    <w:abstractNumId w:val="6"/>
  </w:num>
  <w:num w:numId="32">
    <w:abstractNumId w:val="21"/>
  </w:num>
  <w:num w:numId="33">
    <w:abstractNumId w:val="9"/>
  </w:num>
  <w:num w:numId="34">
    <w:abstractNumId w:val="17"/>
  </w:num>
  <w:num w:numId="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186"/>
    <w:rsid w:val="0038114E"/>
    <w:rsid w:val="00593186"/>
    <w:rsid w:val="00A11F02"/>
    <w:rsid w:val="00D141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36B27"/>
  <w15:chartTrackingRefBased/>
  <w15:docId w15:val="{53A93513-0216-4106-BAD9-246DD977D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59064">
      <w:bodyDiv w:val="1"/>
      <w:marLeft w:val="0"/>
      <w:marRight w:val="0"/>
      <w:marTop w:val="0"/>
      <w:marBottom w:val="0"/>
      <w:divBdr>
        <w:top w:val="none" w:sz="0" w:space="0" w:color="auto"/>
        <w:left w:val="none" w:sz="0" w:space="0" w:color="auto"/>
        <w:bottom w:val="none" w:sz="0" w:space="0" w:color="auto"/>
        <w:right w:val="none" w:sz="0" w:space="0" w:color="auto"/>
      </w:divBdr>
    </w:div>
    <w:div w:id="669210586">
      <w:bodyDiv w:val="1"/>
      <w:marLeft w:val="0"/>
      <w:marRight w:val="0"/>
      <w:marTop w:val="0"/>
      <w:marBottom w:val="0"/>
      <w:divBdr>
        <w:top w:val="none" w:sz="0" w:space="0" w:color="auto"/>
        <w:left w:val="none" w:sz="0" w:space="0" w:color="auto"/>
        <w:bottom w:val="none" w:sz="0" w:space="0" w:color="auto"/>
        <w:right w:val="none" w:sz="0" w:space="0" w:color="auto"/>
      </w:divBdr>
      <w:divsChild>
        <w:div w:id="805970365">
          <w:marLeft w:val="0"/>
          <w:marRight w:val="0"/>
          <w:marTop w:val="0"/>
          <w:marBottom w:val="0"/>
          <w:divBdr>
            <w:top w:val="none" w:sz="0" w:space="0" w:color="auto"/>
            <w:left w:val="none" w:sz="0" w:space="0" w:color="auto"/>
            <w:bottom w:val="none" w:sz="0" w:space="0" w:color="auto"/>
            <w:right w:val="none" w:sz="0" w:space="0" w:color="auto"/>
          </w:divBdr>
          <w:divsChild>
            <w:div w:id="374962923">
              <w:marLeft w:val="0"/>
              <w:marRight w:val="0"/>
              <w:marTop w:val="0"/>
              <w:marBottom w:val="0"/>
              <w:divBdr>
                <w:top w:val="none" w:sz="0" w:space="0" w:color="auto"/>
                <w:left w:val="none" w:sz="0" w:space="0" w:color="auto"/>
                <w:bottom w:val="none" w:sz="0" w:space="0" w:color="auto"/>
                <w:right w:val="none" w:sz="0" w:space="0" w:color="auto"/>
              </w:divBdr>
            </w:div>
          </w:divsChild>
        </w:div>
        <w:div w:id="1975984246">
          <w:marLeft w:val="0"/>
          <w:marRight w:val="0"/>
          <w:marTop w:val="0"/>
          <w:marBottom w:val="0"/>
          <w:divBdr>
            <w:top w:val="none" w:sz="0" w:space="0" w:color="auto"/>
            <w:left w:val="none" w:sz="0" w:space="0" w:color="auto"/>
            <w:bottom w:val="none" w:sz="0" w:space="0" w:color="auto"/>
            <w:right w:val="none" w:sz="0" w:space="0" w:color="auto"/>
          </w:divBdr>
          <w:divsChild>
            <w:div w:id="1768303006">
              <w:marLeft w:val="0"/>
              <w:marRight w:val="0"/>
              <w:marTop w:val="0"/>
              <w:marBottom w:val="0"/>
              <w:divBdr>
                <w:top w:val="none" w:sz="0" w:space="0" w:color="auto"/>
                <w:left w:val="none" w:sz="0" w:space="0" w:color="auto"/>
                <w:bottom w:val="none" w:sz="0" w:space="0" w:color="auto"/>
                <w:right w:val="none" w:sz="0" w:space="0" w:color="auto"/>
              </w:divBdr>
            </w:div>
            <w:div w:id="1653682096">
              <w:marLeft w:val="0"/>
              <w:marRight w:val="0"/>
              <w:marTop w:val="0"/>
              <w:marBottom w:val="0"/>
              <w:divBdr>
                <w:top w:val="none" w:sz="0" w:space="0" w:color="auto"/>
                <w:left w:val="none" w:sz="0" w:space="0" w:color="auto"/>
                <w:bottom w:val="none" w:sz="0" w:space="0" w:color="auto"/>
                <w:right w:val="none" w:sz="0" w:space="0" w:color="auto"/>
              </w:divBdr>
              <w:divsChild>
                <w:div w:id="978270595">
                  <w:marLeft w:val="0"/>
                  <w:marRight w:val="0"/>
                  <w:marTop w:val="0"/>
                  <w:marBottom w:val="0"/>
                  <w:divBdr>
                    <w:top w:val="none" w:sz="0" w:space="0" w:color="auto"/>
                    <w:left w:val="none" w:sz="0" w:space="0" w:color="auto"/>
                    <w:bottom w:val="none" w:sz="0" w:space="0" w:color="auto"/>
                    <w:right w:val="none" w:sz="0" w:space="0" w:color="auto"/>
                  </w:divBdr>
                  <w:divsChild>
                    <w:div w:id="5756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76945">
              <w:marLeft w:val="0"/>
              <w:marRight w:val="0"/>
              <w:marTop w:val="0"/>
              <w:marBottom w:val="0"/>
              <w:divBdr>
                <w:top w:val="none" w:sz="0" w:space="0" w:color="auto"/>
                <w:left w:val="none" w:sz="0" w:space="0" w:color="auto"/>
                <w:bottom w:val="none" w:sz="0" w:space="0" w:color="auto"/>
                <w:right w:val="none" w:sz="0" w:space="0" w:color="auto"/>
              </w:divBdr>
            </w:div>
          </w:divsChild>
        </w:div>
        <w:div w:id="2132017757">
          <w:marLeft w:val="0"/>
          <w:marRight w:val="0"/>
          <w:marTop w:val="0"/>
          <w:marBottom w:val="0"/>
          <w:divBdr>
            <w:top w:val="none" w:sz="0" w:space="0" w:color="auto"/>
            <w:left w:val="none" w:sz="0" w:space="0" w:color="auto"/>
            <w:bottom w:val="none" w:sz="0" w:space="0" w:color="auto"/>
            <w:right w:val="none" w:sz="0" w:space="0" w:color="auto"/>
          </w:divBdr>
          <w:divsChild>
            <w:div w:id="1793554018">
              <w:marLeft w:val="0"/>
              <w:marRight w:val="0"/>
              <w:marTop w:val="0"/>
              <w:marBottom w:val="0"/>
              <w:divBdr>
                <w:top w:val="none" w:sz="0" w:space="0" w:color="auto"/>
                <w:left w:val="none" w:sz="0" w:space="0" w:color="auto"/>
                <w:bottom w:val="none" w:sz="0" w:space="0" w:color="auto"/>
                <w:right w:val="none" w:sz="0" w:space="0" w:color="auto"/>
              </w:divBdr>
            </w:div>
            <w:div w:id="2029602080">
              <w:marLeft w:val="0"/>
              <w:marRight w:val="0"/>
              <w:marTop w:val="0"/>
              <w:marBottom w:val="0"/>
              <w:divBdr>
                <w:top w:val="none" w:sz="0" w:space="0" w:color="auto"/>
                <w:left w:val="none" w:sz="0" w:space="0" w:color="auto"/>
                <w:bottom w:val="none" w:sz="0" w:space="0" w:color="auto"/>
                <w:right w:val="none" w:sz="0" w:space="0" w:color="auto"/>
              </w:divBdr>
              <w:divsChild>
                <w:div w:id="1310786540">
                  <w:marLeft w:val="0"/>
                  <w:marRight w:val="0"/>
                  <w:marTop w:val="0"/>
                  <w:marBottom w:val="0"/>
                  <w:divBdr>
                    <w:top w:val="none" w:sz="0" w:space="0" w:color="auto"/>
                    <w:left w:val="none" w:sz="0" w:space="0" w:color="auto"/>
                    <w:bottom w:val="none" w:sz="0" w:space="0" w:color="auto"/>
                    <w:right w:val="none" w:sz="0" w:space="0" w:color="auto"/>
                  </w:divBdr>
                  <w:divsChild>
                    <w:div w:id="67491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0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4363">
      <w:bodyDiv w:val="1"/>
      <w:marLeft w:val="0"/>
      <w:marRight w:val="0"/>
      <w:marTop w:val="0"/>
      <w:marBottom w:val="0"/>
      <w:divBdr>
        <w:top w:val="none" w:sz="0" w:space="0" w:color="auto"/>
        <w:left w:val="none" w:sz="0" w:space="0" w:color="auto"/>
        <w:bottom w:val="none" w:sz="0" w:space="0" w:color="auto"/>
        <w:right w:val="none" w:sz="0" w:space="0" w:color="auto"/>
      </w:divBdr>
    </w:div>
    <w:div w:id="1013610024">
      <w:bodyDiv w:val="1"/>
      <w:marLeft w:val="0"/>
      <w:marRight w:val="0"/>
      <w:marTop w:val="0"/>
      <w:marBottom w:val="0"/>
      <w:divBdr>
        <w:top w:val="none" w:sz="0" w:space="0" w:color="auto"/>
        <w:left w:val="none" w:sz="0" w:space="0" w:color="auto"/>
        <w:bottom w:val="none" w:sz="0" w:space="0" w:color="auto"/>
        <w:right w:val="none" w:sz="0" w:space="0" w:color="auto"/>
      </w:divBdr>
    </w:div>
    <w:div w:id="1247419213">
      <w:bodyDiv w:val="1"/>
      <w:marLeft w:val="0"/>
      <w:marRight w:val="0"/>
      <w:marTop w:val="0"/>
      <w:marBottom w:val="0"/>
      <w:divBdr>
        <w:top w:val="none" w:sz="0" w:space="0" w:color="auto"/>
        <w:left w:val="none" w:sz="0" w:space="0" w:color="auto"/>
        <w:bottom w:val="none" w:sz="0" w:space="0" w:color="auto"/>
        <w:right w:val="none" w:sz="0" w:space="0" w:color="auto"/>
      </w:divBdr>
    </w:div>
    <w:div w:id="1442382483">
      <w:bodyDiv w:val="1"/>
      <w:marLeft w:val="0"/>
      <w:marRight w:val="0"/>
      <w:marTop w:val="0"/>
      <w:marBottom w:val="0"/>
      <w:divBdr>
        <w:top w:val="none" w:sz="0" w:space="0" w:color="auto"/>
        <w:left w:val="none" w:sz="0" w:space="0" w:color="auto"/>
        <w:bottom w:val="none" w:sz="0" w:space="0" w:color="auto"/>
        <w:right w:val="none" w:sz="0" w:space="0" w:color="auto"/>
      </w:divBdr>
    </w:div>
    <w:div w:id="1776097067">
      <w:bodyDiv w:val="1"/>
      <w:marLeft w:val="0"/>
      <w:marRight w:val="0"/>
      <w:marTop w:val="0"/>
      <w:marBottom w:val="0"/>
      <w:divBdr>
        <w:top w:val="none" w:sz="0" w:space="0" w:color="auto"/>
        <w:left w:val="none" w:sz="0" w:space="0" w:color="auto"/>
        <w:bottom w:val="none" w:sz="0" w:space="0" w:color="auto"/>
        <w:right w:val="none" w:sz="0" w:space="0" w:color="auto"/>
      </w:divBdr>
    </w:div>
    <w:div w:id="1829634742">
      <w:bodyDiv w:val="1"/>
      <w:marLeft w:val="0"/>
      <w:marRight w:val="0"/>
      <w:marTop w:val="0"/>
      <w:marBottom w:val="0"/>
      <w:divBdr>
        <w:top w:val="none" w:sz="0" w:space="0" w:color="auto"/>
        <w:left w:val="none" w:sz="0" w:space="0" w:color="auto"/>
        <w:bottom w:val="none" w:sz="0" w:space="0" w:color="auto"/>
        <w:right w:val="none" w:sz="0" w:space="0" w:color="auto"/>
      </w:divBdr>
    </w:div>
    <w:div w:id="1988976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18</Pages>
  <Words>4400</Words>
  <Characters>25086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1</cp:revision>
  <dcterms:created xsi:type="dcterms:W3CDTF">2025-06-26T08:08:00Z</dcterms:created>
  <dcterms:modified xsi:type="dcterms:W3CDTF">2025-06-26T08:27:00Z</dcterms:modified>
</cp:coreProperties>
</file>