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30B9" w:rsidRPr="00CC30B9" w:rsidRDefault="00CC30B9" w:rsidP="00CC30B9">
      <w:pPr>
        <w:spacing w:before="100" w:beforeAutospacing="1" w:after="100" w:afterAutospacing="1" w:line="240" w:lineRule="auto"/>
        <w:outlineLvl w:val="2"/>
        <w:rPr>
          <w:rFonts w:ascii="Times New Roman" w:eastAsia="Times New Roman" w:hAnsi="Times New Roman" w:cs="Times New Roman"/>
          <w:b/>
          <w:bCs/>
          <w:sz w:val="27"/>
          <w:szCs w:val="27"/>
        </w:rPr>
      </w:pPr>
      <w:r w:rsidRPr="00CC30B9">
        <w:rPr>
          <w:rFonts w:ascii="Times New Roman" w:eastAsia="Times New Roman" w:hAnsi="Times New Roman" w:cs="Times New Roman"/>
          <w:b/>
          <w:bCs/>
          <w:sz w:val="27"/>
          <w:szCs w:val="27"/>
        </w:rPr>
        <w:t>1. Introduction and Strategic Context</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The </w:t>
      </w:r>
      <w:r w:rsidR="00461596" w:rsidRPr="00CC30B9">
        <w:rPr>
          <w:rFonts w:ascii="Times New Roman" w:eastAsia="Times New Roman" w:hAnsi="Times New Roman" w:cs="Times New Roman"/>
          <w:b/>
          <w:bCs/>
          <w:sz w:val="24"/>
          <w:szCs w:val="24"/>
        </w:rPr>
        <w:t xml:space="preserve">Global </w:t>
      </w:r>
      <w:bookmarkStart w:id="0" w:name="_GoBack"/>
      <w:r w:rsidRPr="00CC30B9">
        <w:rPr>
          <w:rFonts w:ascii="Times New Roman" w:eastAsia="Times New Roman" w:hAnsi="Times New Roman" w:cs="Times New Roman"/>
          <w:b/>
          <w:bCs/>
          <w:sz w:val="24"/>
          <w:szCs w:val="24"/>
        </w:rPr>
        <w:t xml:space="preserve">NTRK </w:t>
      </w:r>
      <w:r w:rsidR="00461596" w:rsidRPr="00CC30B9">
        <w:rPr>
          <w:rFonts w:ascii="Times New Roman" w:eastAsia="Times New Roman" w:hAnsi="Times New Roman" w:cs="Times New Roman"/>
          <w:b/>
          <w:bCs/>
          <w:sz w:val="24"/>
          <w:szCs w:val="24"/>
        </w:rPr>
        <w:t>Fusion Gene Positive Advanced Solid Tumor Market</w:t>
      </w:r>
      <w:r w:rsidR="00461596" w:rsidRPr="00CC30B9">
        <w:rPr>
          <w:rFonts w:ascii="Times New Roman" w:eastAsia="Times New Roman" w:hAnsi="Times New Roman" w:cs="Times New Roman"/>
          <w:sz w:val="24"/>
          <w:szCs w:val="24"/>
        </w:rPr>
        <w:t xml:space="preserve"> </w:t>
      </w:r>
      <w:bookmarkEnd w:id="0"/>
      <w:r w:rsidRPr="00CC30B9">
        <w:rPr>
          <w:rFonts w:ascii="Times New Roman" w:eastAsia="Times New Roman" w:hAnsi="Times New Roman" w:cs="Times New Roman"/>
          <w:sz w:val="24"/>
          <w:szCs w:val="24"/>
        </w:rPr>
        <w:t xml:space="preserve">will witness a robust CAGR of </w:t>
      </w:r>
      <w:r w:rsidRPr="00CC30B9">
        <w:rPr>
          <w:rFonts w:ascii="Times New Roman" w:eastAsia="Times New Roman" w:hAnsi="Times New Roman" w:cs="Times New Roman"/>
          <w:b/>
          <w:bCs/>
          <w:sz w:val="24"/>
          <w:szCs w:val="24"/>
        </w:rPr>
        <w:t>12.3%</w:t>
      </w:r>
      <w:r w:rsidRPr="00CC30B9">
        <w:rPr>
          <w:rFonts w:ascii="Times New Roman" w:eastAsia="Times New Roman" w:hAnsi="Times New Roman" w:cs="Times New Roman"/>
          <w:sz w:val="24"/>
          <w:szCs w:val="24"/>
        </w:rPr>
        <w:t xml:space="preserve">, valued at </w:t>
      </w:r>
      <w:r w:rsidRPr="00CC30B9">
        <w:rPr>
          <w:rFonts w:ascii="Times New Roman" w:eastAsia="Times New Roman" w:hAnsi="Times New Roman" w:cs="Times New Roman"/>
          <w:b/>
          <w:bCs/>
          <w:sz w:val="24"/>
          <w:szCs w:val="24"/>
        </w:rPr>
        <w:t>$1.15 billion in 2024</w:t>
      </w:r>
      <w:r w:rsidRPr="00CC30B9">
        <w:rPr>
          <w:rFonts w:ascii="Times New Roman" w:eastAsia="Times New Roman" w:hAnsi="Times New Roman" w:cs="Times New Roman"/>
          <w:sz w:val="24"/>
          <w:szCs w:val="24"/>
        </w:rPr>
        <w:t xml:space="preserve">, expected to appreciate and reach </w:t>
      </w:r>
      <w:r w:rsidRPr="00CC30B9">
        <w:rPr>
          <w:rFonts w:ascii="Times New Roman" w:eastAsia="Times New Roman" w:hAnsi="Times New Roman" w:cs="Times New Roman"/>
          <w:b/>
          <w:bCs/>
          <w:sz w:val="24"/>
          <w:szCs w:val="24"/>
        </w:rPr>
        <w:t>$2.32 billion by 2030</w:t>
      </w:r>
      <w:r w:rsidRPr="00CC30B9">
        <w:rPr>
          <w:rFonts w:ascii="Times New Roman" w:eastAsia="Times New Roman" w:hAnsi="Times New Roman" w:cs="Times New Roman"/>
          <w:sz w:val="24"/>
          <w:szCs w:val="24"/>
        </w:rPr>
        <w:t>, confirms Strategic Market Research.</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This specialized oncology market focuses on therapies targeting neurotrophic tyrosine receptor kinase (</w:t>
      </w:r>
      <w:r w:rsidRPr="00CC30B9">
        <w:rPr>
          <w:rFonts w:ascii="Times New Roman" w:eastAsia="Times New Roman" w:hAnsi="Times New Roman" w:cs="Times New Roman"/>
          <w:b/>
          <w:bCs/>
          <w:sz w:val="24"/>
          <w:szCs w:val="24"/>
        </w:rPr>
        <w:t>NTRK</w:t>
      </w:r>
      <w:r w:rsidRPr="00CC30B9">
        <w:rPr>
          <w:rFonts w:ascii="Times New Roman" w:eastAsia="Times New Roman" w:hAnsi="Times New Roman" w:cs="Times New Roman"/>
          <w:sz w:val="24"/>
          <w:szCs w:val="24"/>
        </w:rPr>
        <w:t xml:space="preserve">) gene fusions—rare but highly actionable mutations that drive tumorigenesis across diverse tissue types. With approvals like </w:t>
      </w:r>
      <w:proofErr w:type="spellStart"/>
      <w:r w:rsidRPr="00CC30B9">
        <w:rPr>
          <w:rFonts w:ascii="Times New Roman" w:eastAsia="Times New Roman" w:hAnsi="Times New Roman" w:cs="Times New Roman"/>
          <w:b/>
          <w:bCs/>
          <w:sz w:val="24"/>
          <w:szCs w:val="24"/>
        </w:rPr>
        <w:t>larotrectinib</w:t>
      </w:r>
      <w:proofErr w:type="spellEnd"/>
      <w:r w:rsidRPr="00CC30B9">
        <w:rPr>
          <w:rFonts w:ascii="Times New Roman" w:eastAsia="Times New Roman" w:hAnsi="Times New Roman" w:cs="Times New Roman"/>
          <w:sz w:val="24"/>
          <w:szCs w:val="24"/>
        </w:rPr>
        <w:t xml:space="preserve"> and </w:t>
      </w:r>
      <w:proofErr w:type="spellStart"/>
      <w:r w:rsidRPr="00CC30B9">
        <w:rPr>
          <w:rFonts w:ascii="Times New Roman" w:eastAsia="Times New Roman" w:hAnsi="Times New Roman" w:cs="Times New Roman"/>
          <w:b/>
          <w:bCs/>
          <w:sz w:val="24"/>
          <w:szCs w:val="24"/>
        </w:rPr>
        <w:t>entrectinib</w:t>
      </w:r>
      <w:proofErr w:type="spellEnd"/>
      <w:r w:rsidRPr="00CC30B9">
        <w:rPr>
          <w:rFonts w:ascii="Times New Roman" w:eastAsia="Times New Roman" w:hAnsi="Times New Roman" w:cs="Times New Roman"/>
          <w:sz w:val="24"/>
          <w:szCs w:val="24"/>
        </w:rPr>
        <w:t xml:space="preserve"> paving the way, NTRK-targeted therapies have become an integral part of precision oncology, enabling tumor-agnostic treatment approaches.</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Strategic Significance (2024–2030)</w:t>
      </w:r>
      <w:proofErr w:type="gramStart"/>
      <w:r w:rsidRPr="00CC30B9">
        <w:rPr>
          <w:rFonts w:ascii="Times New Roman" w:eastAsia="Times New Roman" w:hAnsi="Times New Roman" w:cs="Times New Roman"/>
          <w:b/>
          <w:bCs/>
          <w:sz w:val="24"/>
          <w:szCs w:val="24"/>
        </w:rPr>
        <w:t>:</w:t>
      </w:r>
      <w:proofErr w:type="gramEnd"/>
      <w:r w:rsidRPr="00CC30B9">
        <w:rPr>
          <w:rFonts w:ascii="Times New Roman" w:eastAsia="Times New Roman" w:hAnsi="Times New Roman" w:cs="Times New Roman"/>
          <w:sz w:val="24"/>
          <w:szCs w:val="24"/>
        </w:rPr>
        <w:br/>
        <w:t xml:space="preserve">The market reflects the shifting paradigm from histology-based to </w:t>
      </w:r>
      <w:proofErr w:type="spellStart"/>
      <w:r w:rsidRPr="00CC30B9">
        <w:rPr>
          <w:rFonts w:ascii="Times New Roman" w:eastAsia="Times New Roman" w:hAnsi="Times New Roman" w:cs="Times New Roman"/>
          <w:sz w:val="24"/>
          <w:szCs w:val="24"/>
        </w:rPr>
        <w:t>genomically</w:t>
      </w:r>
      <w:proofErr w:type="spellEnd"/>
      <w:r w:rsidRPr="00CC30B9">
        <w:rPr>
          <w:rFonts w:ascii="Times New Roman" w:eastAsia="Times New Roman" w:hAnsi="Times New Roman" w:cs="Times New Roman"/>
          <w:sz w:val="24"/>
          <w:szCs w:val="24"/>
        </w:rPr>
        <w:t xml:space="preserve"> guided oncology care. As companion diagnostics and liquid biopsy technologies evolve, identifying NTRK fusions with greater speed and accuracy becomes more feasible—even in community settings. Moreover, the growing evidence around durability of response and improved progression-free survival from targeted TRK inhibitors is driving clinician adoption.</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Key macro and strategic drivers include:</w:t>
      </w:r>
    </w:p>
    <w:p w:rsidR="00CC30B9" w:rsidRPr="00CC30B9" w:rsidRDefault="00CC30B9" w:rsidP="00CC30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Advances in precision oncology:</w:t>
      </w:r>
      <w:r w:rsidRPr="00CC30B9">
        <w:rPr>
          <w:rFonts w:ascii="Times New Roman" w:eastAsia="Times New Roman" w:hAnsi="Times New Roman" w:cs="Times New Roman"/>
          <w:sz w:val="24"/>
          <w:szCs w:val="24"/>
        </w:rPr>
        <w:t xml:space="preserve"> The integration of next-generation sequencing (NGS) in standard care has accelerated the detection of rare fusion genes.</w:t>
      </w:r>
    </w:p>
    <w:p w:rsidR="00CC30B9" w:rsidRPr="00CC30B9" w:rsidRDefault="00CC30B9" w:rsidP="00CC30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Rising tumor-agnostic FDA approvals:</w:t>
      </w:r>
      <w:r w:rsidRPr="00CC30B9">
        <w:rPr>
          <w:rFonts w:ascii="Times New Roman" w:eastAsia="Times New Roman" w:hAnsi="Times New Roman" w:cs="Times New Roman"/>
          <w:sz w:val="24"/>
          <w:szCs w:val="24"/>
        </w:rPr>
        <w:t xml:space="preserve"> Regulatory agencies are increasingly approving therapies based on biomarker presence rather than tumor origin.</w:t>
      </w:r>
    </w:p>
    <w:p w:rsidR="00CC30B9" w:rsidRPr="00CC30B9" w:rsidRDefault="00CC30B9" w:rsidP="00CC30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Improving reimbursement models:</w:t>
      </w:r>
      <w:r w:rsidRPr="00CC30B9">
        <w:rPr>
          <w:rFonts w:ascii="Times New Roman" w:eastAsia="Times New Roman" w:hAnsi="Times New Roman" w:cs="Times New Roman"/>
          <w:sz w:val="24"/>
          <w:szCs w:val="24"/>
        </w:rPr>
        <w:t xml:space="preserve"> Payer willingness to support biomarker-driven therapies enhances access, especially in the U.S. and parts of Europe.</w:t>
      </w:r>
    </w:p>
    <w:p w:rsidR="00CC30B9" w:rsidRPr="00CC30B9" w:rsidRDefault="00CC30B9" w:rsidP="00CC30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Patient advocacy and rare cancer coalitions:</w:t>
      </w:r>
      <w:r w:rsidRPr="00CC30B9">
        <w:rPr>
          <w:rFonts w:ascii="Times New Roman" w:eastAsia="Times New Roman" w:hAnsi="Times New Roman" w:cs="Times New Roman"/>
          <w:sz w:val="24"/>
          <w:szCs w:val="24"/>
        </w:rPr>
        <w:t xml:space="preserve"> These groups are instrumental in pushing funding and trial recruitment for rare mutation subsets.</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Primary Stakeholders:</w:t>
      </w:r>
    </w:p>
    <w:p w:rsidR="00CC30B9" w:rsidRPr="00CC30B9" w:rsidRDefault="00CC30B9" w:rsidP="00CC30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Pharmaceutical companies</w:t>
      </w:r>
      <w:r w:rsidRPr="00CC30B9">
        <w:rPr>
          <w:rFonts w:ascii="Times New Roman" w:eastAsia="Times New Roman" w:hAnsi="Times New Roman" w:cs="Times New Roman"/>
          <w:sz w:val="24"/>
          <w:szCs w:val="24"/>
        </w:rPr>
        <w:t xml:space="preserve"> developing TRK inhibitors and pan-tumor therapeutics</w:t>
      </w:r>
    </w:p>
    <w:p w:rsidR="00CC30B9" w:rsidRPr="00CC30B9" w:rsidRDefault="00CC30B9" w:rsidP="00CC30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Diagnostic firms</w:t>
      </w:r>
      <w:r w:rsidRPr="00CC30B9">
        <w:rPr>
          <w:rFonts w:ascii="Times New Roman" w:eastAsia="Times New Roman" w:hAnsi="Times New Roman" w:cs="Times New Roman"/>
          <w:sz w:val="24"/>
          <w:szCs w:val="24"/>
        </w:rPr>
        <w:t xml:space="preserve"> offering genomic profiling platforms (e.g., NGS panels)</w:t>
      </w:r>
    </w:p>
    <w:p w:rsidR="00CC30B9" w:rsidRPr="00CC30B9" w:rsidRDefault="00CC30B9" w:rsidP="00CC30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Hospitals and academic medical centers</w:t>
      </w:r>
      <w:r w:rsidRPr="00CC30B9">
        <w:rPr>
          <w:rFonts w:ascii="Times New Roman" w:eastAsia="Times New Roman" w:hAnsi="Times New Roman" w:cs="Times New Roman"/>
          <w:sz w:val="24"/>
          <w:szCs w:val="24"/>
        </w:rPr>
        <w:t xml:space="preserve"> conducting early-phase trials</w:t>
      </w:r>
    </w:p>
    <w:p w:rsidR="00CC30B9" w:rsidRPr="00CC30B9" w:rsidRDefault="00CC30B9" w:rsidP="00CC30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Payers and regulatory agencies</w:t>
      </w:r>
      <w:r w:rsidRPr="00CC30B9">
        <w:rPr>
          <w:rFonts w:ascii="Times New Roman" w:eastAsia="Times New Roman" w:hAnsi="Times New Roman" w:cs="Times New Roman"/>
          <w:sz w:val="24"/>
          <w:szCs w:val="24"/>
        </w:rPr>
        <w:t xml:space="preserve"> shaping pricing and access dynamics</w:t>
      </w:r>
    </w:p>
    <w:p w:rsidR="00CC30B9" w:rsidRPr="00CC30B9" w:rsidRDefault="00CC30B9" w:rsidP="00CC30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Investors and biopharma VCs</w:t>
      </w:r>
      <w:r w:rsidRPr="00CC30B9">
        <w:rPr>
          <w:rFonts w:ascii="Times New Roman" w:eastAsia="Times New Roman" w:hAnsi="Times New Roman" w:cs="Times New Roman"/>
          <w:sz w:val="24"/>
          <w:szCs w:val="24"/>
        </w:rPr>
        <w:t xml:space="preserve"> funding biomarker-driven platforms</w:t>
      </w:r>
    </w:p>
    <w:p w:rsidR="00CC30B9" w:rsidRPr="00CC30B9" w:rsidRDefault="00CC30B9" w:rsidP="00CC30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Rare disease advocacy groups</w:t>
      </w:r>
      <w:r w:rsidRPr="00CC30B9">
        <w:rPr>
          <w:rFonts w:ascii="Times New Roman" w:eastAsia="Times New Roman" w:hAnsi="Times New Roman" w:cs="Times New Roman"/>
          <w:sz w:val="24"/>
          <w:szCs w:val="24"/>
        </w:rPr>
        <w:t xml:space="preserve"> mobilizing patient awareness and trial enrollment</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i/>
          <w:iCs/>
          <w:sz w:val="24"/>
          <w:szCs w:val="24"/>
        </w:rPr>
        <w:t xml:space="preserve">“NTRK fusion-positive tumors exemplify the future of oncology—where the mutation, not the location, dictates treatment,” notes a leading </w:t>
      </w:r>
      <w:proofErr w:type="spellStart"/>
      <w:r w:rsidRPr="00CC30B9">
        <w:rPr>
          <w:rFonts w:ascii="Times New Roman" w:eastAsia="Times New Roman" w:hAnsi="Times New Roman" w:cs="Times New Roman"/>
          <w:i/>
          <w:iCs/>
          <w:sz w:val="24"/>
          <w:szCs w:val="24"/>
        </w:rPr>
        <w:t>oncogenomics</w:t>
      </w:r>
      <w:proofErr w:type="spellEnd"/>
      <w:r w:rsidRPr="00CC30B9">
        <w:rPr>
          <w:rFonts w:ascii="Times New Roman" w:eastAsia="Times New Roman" w:hAnsi="Times New Roman" w:cs="Times New Roman"/>
          <w:i/>
          <w:iCs/>
          <w:sz w:val="24"/>
          <w:szCs w:val="24"/>
        </w:rPr>
        <w:t xml:space="preserve"> researcher at Dana-Farber Cancer Institute.</w:t>
      </w:r>
    </w:p>
    <w:p w:rsidR="00CC30B9" w:rsidRPr="00CC30B9" w:rsidRDefault="00CC30B9" w:rsidP="00CC30B9">
      <w:pPr>
        <w:spacing w:before="100" w:beforeAutospacing="1" w:after="100" w:afterAutospacing="1" w:line="240" w:lineRule="auto"/>
        <w:outlineLvl w:val="2"/>
        <w:rPr>
          <w:rFonts w:ascii="Times New Roman" w:eastAsia="Times New Roman" w:hAnsi="Times New Roman" w:cs="Times New Roman"/>
          <w:b/>
          <w:bCs/>
          <w:sz w:val="27"/>
          <w:szCs w:val="27"/>
        </w:rPr>
      </w:pPr>
      <w:r w:rsidRPr="00CC30B9">
        <w:rPr>
          <w:rFonts w:ascii="Times New Roman" w:eastAsia="Times New Roman" w:hAnsi="Times New Roman" w:cs="Times New Roman"/>
          <w:b/>
          <w:bCs/>
          <w:sz w:val="27"/>
          <w:szCs w:val="27"/>
        </w:rPr>
        <w:t>2. Market Segmentation and Forecast Scope</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lastRenderedPageBreak/>
        <w:t xml:space="preserve">The </w:t>
      </w:r>
      <w:r w:rsidRPr="00CC30B9">
        <w:rPr>
          <w:rFonts w:ascii="Times New Roman" w:eastAsia="Times New Roman" w:hAnsi="Times New Roman" w:cs="Times New Roman"/>
          <w:b/>
          <w:bCs/>
          <w:sz w:val="24"/>
          <w:szCs w:val="24"/>
        </w:rPr>
        <w:t>NTRK fusion gene positive advanced solid tumor market</w:t>
      </w:r>
      <w:r w:rsidRPr="00CC30B9">
        <w:rPr>
          <w:rFonts w:ascii="Times New Roman" w:eastAsia="Times New Roman" w:hAnsi="Times New Roman" w:cs="Times New Roman"/>
          <w:sz w:val="24"/>
          <w:szCs w:val="24"/>
        </w:rPr>
        <w:t xml:space="preserve"> is segmented to reflect the complexity of diagnostic technologies, therapeutic approaches, and varied end-user environments. Given the tumor-agnostic nature of NTRK fusions, segmentation extends beyond traditional cancer classifications to encompass treatment modality, diagnostic approach, healthcare setting, and region.</w: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Segoe UI Symbol" w:eastAsia="Times New Roman" w:hAnsi="Segoe UI Symbol" w:cs="Segoe UI Symbol"/>
          <w:b/>
          <w:bCs/>
          <w:sz w:val="24"/>
          <w:szCs w:val="24"/>
        </w:rPr>
        <w:t>📊</w:t>
      </w:r>
      <w:r w:rsidRPr="00CC30B9">
        <w:rPr>
          <w:rFonts w:ascii="Times New Roman" w:eastAsia="Times New Roman" w:hAnsi="Times New Roman" w:cs="Times New Roman"/>
          <w:b/>
          <w:bCs/>
          <w:sz w:val="24"/>
          <w:szCs w:val="24"/>
        </w:rPr>
        <w:t xml:space="preserve"> </w:t>
      </w:r>
      <w:proofErr w:type="gramStart"/>
      <w:r w:rsidRPr="00CC30B9">
        <w:rPr>
          <w:rFonts w:ascii="Times New Roman" w:eastAsia="Times New Roman" w:hAnsi="Times New Roman" w:cs="Times New Roman"/>
          <w:b/>
          <w:bCs/>
          <w:sz w:val="24"/>
          <w:szCs w:val="24"/>
        </w:rPr>
        <w:t>By</w:t>
      </w:r>
      <w:proofErr w:type="gramEnd"/>
      <w:r w:rsidRPr="00CC30B9">
        <w:rPr>
          <w:rFonts w:ascii="Times New Roman" w:eastAsia="Times New Roman" w:hAnsi="Times New Roman" w:cs="Times New Roman"/>
          <w:b/>
          <w:bCs/>
          <w:sz w:val="24"/>
          <w:szCs w:val="24"/>
        </w:rPr>
        <w:t xml:space="preserve"> Treatment Type:</w:t>
      </w:r>
    </w:p>
    <w:p w:rsidR="00CC30B9" w:rsidRPr="00CC30B9" w:rsidRDefault="00CC30B9" w:rsidP="00CC30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Targeted Therapy (TRK Inhibitors)</w:t>
      </w:r>
    </w:p>
    <w:p w:rsidR="00CC30B9" w:rsidRPr="00CC30B9" w:rsidRDefault="00CC30B9" w:rsidP="00CC30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Chemotherapy &amp; Radiotherapy (as adjuncts or fallback)</w:t>
      </w:r>
    </w:p>
    <w:p w:rsidR="00CC30B9" w:rsidRPr="00CC30B9" w:rsidRDefault="00CC30B9" w:rsidP="00CC30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Immunotherapy (combination trials or biomarker stratified)</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Targeted therapy</w:t>
      </w:r>
      <w:r w:rsidRPr="00CC30B9">
        <w:rPr>
          <w:rFonts w:ascii="Times New Roman" w:eastAsia="Times New Roman" w:hAnsi="Times New Roman" w:cs="Times New Roman"/>
          <w:sz w:val="24"/>
          <w:szCs w:val="24"/>
        </w:rPr>
        <w:t xml:space="preserve"> is the dominant treatment segment, accounting for approximately </w:t>
      </w:r>
      <w:r w:rsidRPr="00CC30B9">
        <w:rPr>
          <w:rFonts w:ascii="Times New Roman" w:eastAsia="Times New Roman" w:hAnsi="Times New Roman" w:cs="Times New Roman"/>
          <w:b/>
          <w:bCs/>
          <w:sz w:val="24"/>
          <w:szCs w:val="24"/>
        </w:rPr>
        <w:t>62% of the market share in 2024</w:t>
      </w:r>
      <w:r w:rsidRPr="00CC30B9">
        <w:rPr>
          <w:rFonts w:ascii="Times New Roman" w:eastAsia="Times New Roman" w:hAnsi="Times New Roman" w:cs="Times New Roman"/>
          <w:sz w:val="24"/>
          <w:szCs w:val="24"/>
        </w:rPr>
        <w:t>. This is largely due to the high efficacy and tolerability of TRK inhibitors in both pediatric and adult populations. Moreover, their tumor-agnostic FDA approvals have enabled broader use across cancer types.</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i/>
          <w:iCs/>
          <w:sz w:val="24"/>
          <w:szCs w:val="24"/>
        </w:rPr>
        <w:t>“We’re seeing a major shift from toxic, non-specific therapies to highly targeted regimens that improve both patient outcomes and quality of life,”</w:t>
      </w:r>
      <w:r w:rsidRPr="00CC30B9">
        <w:rPr>
          <w:rFonts w:ascii="Times New Roman" w:eastAsia="Times New Roman" w:hAnsi="Times New Roman" w:cs="Times New Roman"/>
          <w:sz w:val="24"/>
          <w:szCs w:val="24"/>
        </w:rPr>
        <w:t xml:space="preserve"> highlights an oncologist from Memorial Sloan Kettering Cancer Center.</w: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Times New Roman" w:eastAsia="Times New Roman" w:hAnsi="Times New Roman" w:cs="Times New Roman"/>
          <w:b/>
          <w:bCs/>
          <w:sz w:val="24"/>
          <w:szCs w:val="24"/>
        </w:rPr>
        <w:t xml:space="preserve">🧬 </w:t>
      </w:r>
      <w:proofErr w:type="gramStart"/>
      <w:r w:rsidRPr="00CC30B9">
        <w:rPr>
          <w:rFonts w:ascii="Times New Roman" w:eastAsia="Times New Roman" w:hAnsi="Times New Roman" w:cs="Times New Roman"/>
          <w:b/>
          <w:bCs/>
          <w:sz w:val="24"/>
          <w:szCs w:val="24"/>
        </w:rPr>
        <w:t>By</w:t>
      </w:r>
      <w:proofErr w:type="gramEnd"/>
      <w:r w:rsidRPr="00CC30B9">
        <w:rPr>
          <w:rFonts w:ascii="Times New Roman" w:eastAsia="Times New Roman" w:hAnsi="Times New Roman" w:cs="Times New Roman"/>
          <w:b/>
          <w:bCs/>
          <w:sz w:val="24"/>
          <w:szCs w:val="24"/>
        </w:rPr>
        <w:t xml:space="preserve"> Diagnostic Technology:</w:t>
      </w:r>
    </w:p>
    <w:p w:rsidR="00CC30B9" w:rsidRPr="00CC30B9" w:rsidRDefault="00CC30B9" w:rsidP="00CC30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Next-Generation Sequencing (NGS) Panels</w:t>
      </w:r>
    </w:p>
    <w:p w:rsidR="00CC30B9" w:rsidRPr="00CC30B9" w:rsidRDefault="00CC30B9" w:rsidP="00CC30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Fluorescence In Situ Hybridization (FISH)</w:t>
      </w:r>
    </w:p>
    <w:p w:rsidR="00CC30B9" w:rsidRPr="00CC30B9" w:rsidRDefault="00CC30B9" w:rsidP="00CC30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Reverse Transcription Polymerase Chain Reaction (RT-PCR)</w:t>
      </w:r>
    </w:p>
    <w:p w:rsidR="00CC30B9" w:rsidRPr="00CC30B9" w:rsidRDefault="00CC30B9" w:rsidP="00CC30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Immunohistochemistry (IHC)</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NGS-based diagnostics</w:t>
      </w:r>
      <w:r w:rsidRPr="00CC30B9">
        <w:rPr>
          <w:rFonts w:ascii="Times New Roman" w:eastAsia="Times New Roman" w:hAnsi="Times New Roman" w:cs="Times New Roman"/>
          <w:sz w:val="24"/>
          <w:szCs w:val="24"/>
        </w:rPr>
        <w:t xml:space="preserve"> are growing at the fastest pace (CAGR of </w:t>
      </w:r>
      <w:r w:rsidRPr="00CC30B9">
        <w:rPr>
          <w:rFonts w:ascii="Times New Roman" w:eastAsia="Times New Roman" w:hAnsi="Times New Roman" w:cs="Times New Roman"/>
          <w:b/>
          <w:bCs/>
          <w:sz w:val="24"/>
          <w:szCs w:val="24"/>
        </w:rPr>
        <w:t>14.8%</w:t>
      </w:r>
      <w:r w:rsidRPr="00CC30B9">
        <w:rPr>
          <w:rFonts w:ascii="Times New Roman" w:eastAsia="Times New Roman" w:hAnsi="Times New Roman" w:cs="Times New Roman"/>
          <w:sz w:val="24"/>
          <w:szCs w:val="24"/>
        </w:rPr>
        <w:t>) due to their ability to simultaneously detect multiple actionable fusions, including rare variants. Liquid biopsy-based NGS is also enabling longitudinal monitoring, thereby reducing reliance on invasive biopsies.</w: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Segoe UI Symbol" w:eastAsia="Times New Roman" w:hAnsi="Segoe UI Symbol" w:cs="Segoe UI Symbol"/>
          <w:b/>
          <w:bCs/>
          <w:sz w:val="24"/>
          <w:szCs w:val="24"/>
        </w:rPr>
        <w:t>🏥</w:t>
      </w:r>
      <w:r w:rsidRPr="00CC30B9">
        <w:rPr>
          <w:rFonts w:ascii="Times New Roman" w:eastAsia="Times New Roman" w:hAnsi="Times New Roman" w:cs="Times New Roman"/>
          <w:b/>
          <w:bCs/>
          <w:sz w:val="24"/>
          <w:szCs w:val="24"/>
        </w:rPr>
        <w:t xml:space="preserve"> </w:t>
      </w:r>
      <w:proofErr w:type="gramStart"/>
      <w:r w:rsidRPr="00CC30B9">
        <w:rPr>
          <w:rFonts w:ascii="Times New Roman" w:eastAsia="Times New Roman" w:hAnsi="Times New Roman" w:cs="Times New Roman"/>
          <w:b/>
          <w:bCs/>
          <w:sz w:val="24"/>
          <w:szCs w:val="24"/>
        </w:rPr>
        <w:t>By</w:t>
      </w:r>
      <w:proofErr w:type="gramEnd"/>
      <w:r w:rsidRPr="00CC30B9">
        <w:rPr>
          <w:rFonts w:ascii="Times New Roman" w:eastAsia="Times New Roman" w:hAnsi="Times New Roman" w:cs="Times New Roman"/>
          <w:b/>
          <w:bCs/>
          <w:sz w:val="24"/>
          <w:szCs w:val="24"/>
        </w:rPr>
        <w:t xml:space="preserve"> End User:</w:t>
      </w:r>
    </w:p>
    <w:p w:rsidR="00CC30B9" w:rsidRPr="00CC30B9" w:rsidRDefault="00CC30B9" w:rsidP="00CC30B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Academic Research Institutions</w:t>
      </w:r>
    </w:p>
    <w:p w:rsidR="00CC30B9" w:rsidRPr="00CC30B9" w:rsidRDefault="00CC30B9" w:rsidP="00CC30B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Specialty Oncology Clinics</w:t>
      </w:r>
    </w:p>
    <w:p w:rsidR="00CC30B9" w:rsidRPr="00CC30B9" w:rsidRDefault="00CC30B9" w:rsidP="00CC30B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General Hospitals</w:t>
      </w:r>
    </w:p>
    <w:p w:rsidR="00CC30B9" w:rsidRPr="00CC30B9" w:rsidRDefault="00CC30B9" w:rsidP="00CC30B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Diagnostic Laboratories</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Academic research institutions</w:t>
      </w:r>
      <w:r w:rsidRPr="00CC30B9">
        <w:rPr>
          <w:rFonts w:ascii="Times New Roman" w:eastAsia="Times New Roman" w:hAnsi="Times New Roman" w:cs="Times New Roman"/>
          <w:sz w:val="24"/>
          <w:szCs w:val="24"/>
        </w:rPr>
        <w:t xml:space="preserve"> hold a significant market share due to their role in early-phase trials and biomarker validation studies. However, </w:t>
      </w:r>
      <w:r w:rsidRPr="00CC30B9">
        <w:rPr>
          <w:rFonts w:ascii="Times New Roman" w:eastAsia="Times New Roman" w:hAnsi="Times New Roman" w:cs="Times New Roman"/>
          <w:b/>
          <w:bCs/>
          <w:sz w:val="24"/>
          <w:szCs w:val="24"/>
        </w:rPr>
        <w:t>specialty oncology clinics</w:t>
      </w:r>
      <w:r w:rsidRPr="00CC30B9">
        <w:rPr>
          <w:rFonts w:ascii="Times New Roman" w:eastAsia="Times New Roman" w:hAnsi="Times New Roman" w:cs="Times New Roman"/>
          <w:sz w:val="24"/>
          <w:szCs w:val="24"/>
        </w:rPr>
        <w:t xml:space="preserve"> are the fastest-growing segment as genomic tools become more accessible in outpatient settings.</w: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Segoe UI Symbol" w:eastAsia="Times New Roman" w:hAnsi="Segoe UI Symbol" w:cs="Segoe UI Symbol"/>
          <w:b/>
          <w:bCs/>
          <w:sz w:val="24"/>
          <w:szCs w:val="24"/>
        </w:rPr>
        <w:t>🌍</w:t>
      </w:r>
      <w:r w:rsidRPr="00CC30B9">
        <w:rPr>
          <w:rFonts w:ascii="Times New Roman" w:eastAsia="Times New Roman" w:hAnsi="Times New Roman" w:cs="Times New Roman"/>
          <w:b/>
          <w:bCs/>
          <w:sz w:val="24"/>
          <w:szCs w:val="24"/>
        </w:rPr>
        <w:t xml:space="preserve"> </w:t>
      </w:r>
      <w:proofErr w:type="gramStart"/>
      <w:r w:rsidRPr="00CC30B9">
        <w:rPr>
          <w:rFonts w:ascii="Times New Roman" w:eastAsia="Times New Roman" w:hAnsi="Times New Roman" w:cs="Times New Roman"/>
          <w:b/>
          <w:bCs/>
          <w:sz w:val="24"/>
          <w:szCs w:val="24"/>
        </w:rPr>
        <w:t>By</w:t>
      </w:r>
      <w:proofErr w:type="gramEnd"/>
      <w:r w:rsidRPr="00CC30B9">
        <w:rPr>
          <w:rFonts w:ascii="Times New Roman" w:eastAsia="Times New Roman" w:hAnsi="Times New Roman" w:cs="Times New Roman"/>
          <w:b/>
          <w:bCs/>
          <w:sz w:val="24"/>
          <w:szCs w:val="24"/>
        </w:rPr>
        <w:t xml:space="preserve"> Region:</w:t>
      </w:r>
    </w:p>
    <w:p w:rsidR="00CC30B9" w:rsidRPr="00CC30B9" w:rsidRDefault="00CC30B9" w:rsidP="00CC30B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North America</w:t>
      </w:r>
    </w:p>
    <w:p w:rsidR="00CC30B9" w:rsidRPr="00CC30B9" w:rsidRDefault="00CC30B9" w:rsidP="00CC30B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lastRenderedPageBreak/>
        <w:t>Europe</w:t>
      </w:r>
    </w:p>
    <w:p w:rsidR="00CC30B9" w:rsidRPr="00CC30B9" w:rsidRDefault="00CC30B9" w:rsidP="00CC30B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Asia Pacific</w:t>
      </w:r>
    </w:p>
    <w:p w:rsidR="00CC30B9" w:rsidRPr="00CC30B9" w:rsidRDefault="00CC30B9" w:rsidP="00CC30B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Latin America</w:t>
      </w:r>
    </w:p>
    <w:p w:rsidR="00CC30B9" w:rsidRPr="00CC30B9" w:rsidRDefault="00CC30B9" w:rsidP="00CC30B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Middle East &amp; Africa (MEA)</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North America</w:t>
      </w:r>
      <w:r w:rsidRPr="00CC30B9">
        <w:rPr>
          <w:rFonts w:ascii="Times New Roman" w:eastAsia="Times New Roman" w:hAnsi="Times New Roman" w:cs="Times New Roman"/>
          <w:sz w:val="24"/>
          <w:szCs w:val="24"/>
        </w:rPr>
        <w:t xml:space="preserve"> leads the market in 2024, driven by strong diagnostic infrastructure, favorable reimbursement frameworks, and early adoption of precision oncology. However, </w:t>
      </w:r>
      <w:r w:rsidRPr="00CC30B9">
        <w:rPr>
          <w:rFonts w:ascii="Times New Roman" w:eastAsia="Times New Roman" w:hAnsi="Times New Roman" w:cs="Times New Roman"/>
          <w:b/>
          <w:bCs/>
          <w:sz w:val="24"/>
          <w:szCs w:val="24"/>
        </w:rPr>
        <w:t>Asia Pacific</w:t>
      </w:r>
      <w:r w:rsidRPr="00CC30B9">
        <w:rPr>
          <w:rFonts w:ascii="Times New Roman" w:eastAsia="Times New Roman" w:hAnsi="Times New Roman" w:cs="Times New Roman"/>
          <w:sz w:val="24"/>
          <w:szCs w:val="24"/>
        </w:rPr>
        <w:t xml:space="preserve"> is projected to experience the highest CAGR, thanks to emerging genomic testing hubs in China, Japan, and South Korea.</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This multi-dimensional segmentation structure ensures that the forecast captures both market maturity in developed nations and rapid uptake in </w:t>
      </w:r>
      <w:proofErr w:type="spellStart"/>
      <w:r w:rsidRPr="00CC30B9">
        <w:rPr>
          <w:rFonts w:ascii="Times New Roman" w:eastAsia="Times New Roman" w:hAnsi="Times New Roman" w:cs="Times New Roman"/>
          <w:sz w:val="24"/>
          <w:szCs w:val="24"/>
        </w:rPr>
        <w:t>genomically</w:t>
      </w:r>
      <w:proofErr w:type="spellEnd"/>
      <w:r w:rsidRPr="00CC30B9">
        <w:rPr>
          <w:rFonts w:ascii="Times New Roman" w:eastAsia="Times New Roman" w:hAnsi="Times New Roman" w:cs="Times New Roman"/>
          <w:sz w:val="24"/>
          <w:szCs w:val="24"/>
        </w:rPr>
        <w:t xml:space="preserve"> underserved geographies.</w:t>
      </w:r>
    </w:p>
    <w:p w:rsidR="00CC30B9" w:rsidRPr="00CC30B9" w:rsidRDefault="00CC30B9" w:rsidP="00CC30B9">
      <w:pPr>
        <w:spacing w:before="100" w:beforeAutospacing="1" w:after="100" w:afterAutospacing="1" w:line="240" w:lineRule="auto"/>
        <w:outlineLvl w:val="2"/>
        <w:rPr>
          <w:rFonts w:ascii="Times New Roman" w:eastAsia="Times New Roman" w:hAnsi="Times New Roman" w:cs="Times New Roman"/>
          <w:b/>
          <w:bCs/>
          <w:sz w:val="27"/>
          <w:szCs w:val="27"/>
        </w:rPr>
      </w:pPr>
      <w:r w:rsidRPr="00CC30B9">
        <w:rPr>
          <w:rFonts w:ascii="Times New Roman" w:eastAsia="Times New Roman" w:hAnsi="Times New Roman" w:cs="Times New Roman"/>
          <w:b/>
          <w:bCs/>
          <w:sz w:val="27"/>
          <w:szCs w:val="27"/>
        </w:rPr>
        <w:t>3. Market Trends and Innovation Landscape</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The </w:t>
      </w:r>
      <w:r w:rsidRPr="00CC30B9">
        <w:rPr>
          <w:rFonts w:ascii="Times New Roman" w:eastAsia="Times New Roman" w:hAnsi="Times New Roman" w:cs="Times New Roman"/>
          <w:b/>
          <w:bCs/>
          <w:sz w:val="24"/>
          <w:szCs w:val="24"/>
        </w:rPr>
        <w:t>NTRK fusion gene positive advanced solid tumor market</w:t>
      </w:r>
      <w:r w:rsidRPr="00CC30B9">
        <w:rPr>
          <w:rFonts w:ascii="Times New Roman" w:eastAsia="Times New Roman" w:hAnsi="Times New Roman" w:cs="Times New Roman"/>
          <w:sz w:val="24"/>
          <w:szCs w:val="24"/>
        </w:rPr>
        <w:t xml:space="preserve"> is at the cutting edge of precision oncology, characterized by continuous innovation in targeted therapies, genomic testing platforms, and tumor-agnostic drug development pipelines. Between 2024 and 2030, this market will serve as a blueprint for future biomarker-driven cancer treatments.</w: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Segoe UI Symbol" w:eastAsia="Times New Roman" w:hAnsi="Segoe UI Symbol" w:cs="Segoe UI Symbol"/>
          <w:b/>
          <w:bCs/>
          <w:sz w:val="24"/>
          <w:szCs w:val="24"/>
        </w:rPr>
        <w:t>🔬</w:t>
      </w:r>
      <w:r w:rsidRPr="00CC30B9">
        <w:rPr>
          <w:rFonts w:ascii="Times New Roman" w:eastAsia="Times New Roman" w:hAnsi="Times New Roman" w:cs="Times New Roman"/>
          <w:b/>
          <w:bCs/>
          <w:sz w:val="24"/>
          <w:szCs w:val="24"/>
        </w:rPr>
        <w:t xml:space="preserve"> Key Innovation Trends:</w:t>
      </w:r>
    </w:p>
    <w:p w:rsidR="00CC30B9" w:rsidRPr="00CC30B9" w:rsidRDefault="00CC30B9" w:rsidP="00CC30B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Second-Generation TRK Inhibitors</w:t>
      </w:r>
      <w:proofErr w:type="gramStart"/>
      <w:r w:rsidRPr="00CC30B9">
        <w:rPr>
          <w:rFonts w:ascii="Times New Roman" w:eastAsia="Times New Roman" w:hAnsi="Times New Roman" w:cs="Times New Roman"/>
          <w:b/>
          <w:bCs/>
          <w:sz w:val="24"/>
          <w:szCs w:val="24"/>
        </w:rPr>
        <w:t>:</w:t>
      </w:r>
      <w:proofErr w:type="gramEnd"/>
      <w:r w:rsidRPr="00CC30B9">
        <w:rPr>
          <w:rFonts w:ascii="Times New Roman" w:eastAsia="Times New Roman" w:hAnsi="Times New Roman" w:cs="Times New Roman"/>
          <w:sz w:val="24"/>
          <w:szCs w:val="24"/>
        </w:rPr>
        <w:br/>
        <w:t xml:space="preserve">With resistance mutations (e.g., solvent front mutations) emerging during TRK inhibitor therapy, pharmaceutical companies are developing </w:t>
      </w:r>
      <w:r w:rsidRPr="00CC30B9">
        <w:rPr>
          <w:rFonts w:ascii="Times New Roman" w:eastAsia="Times New Roman" w:hAnsi="Times New Roman" w:cs="Times New Roman"/>
          <w:b/>
          <w:bCs/>
          <w:sz w:val="24"/>
          <w:szCs w:val="24"/>
        </w:rPr>
        <w:t>next-generation TRK inhibitors</w:t>
      </w:r>
      <w:r w:rsidRPr="00CC30B9">
        <w:rPr>
          <w:rFonts w:ascii="Times New Roman" w:eastAsia="Times New Roman" w:hAnsi="Times New Roman" w:cs="Times New Roman"/>
          <w:sz w:val="24"/>
          <w:szCs w:val="24"/>
        </w:rPr>
        <w:t xml:space="preserve"> to overcome acquired resistance. These include novel molecules designed to retain efficacy despite structural alterations in TRK proteins.</w:t>
      </w:r>
    </w:p>
    <w:p w:rsidR="00CC30B9" w:rsidRPr="00CC30B9" w:rsidRDefault="00CC30B9" w:rsidP="00CC30B9">
      <w:pPr>
        <w:spacing w:before="100" w:beforeAutospacing="1" w:after="100" w:afterAutospacing="1" w:line="240" w:lineRule="auto"/>
        <w:ind w:left="720"/>
        <w:rPr>
          <w:rFonts w:ascii="Times New Roman" w:eastAsia="Times New Roman" w:hAnsi="Times New Roman" w:cs="Times New Roman"/>
          <w:sz w:val="24"/>
          <w:szCs w:val="24"/>
        </w:rPr>
      </w:pPr>
      <w:r w:rsidRPr="00CC30B9">
        <w:rPr>
          <w:rFonts w:ascii="Times New Roman" w:eastAsia="Times New Roman" w:hAnsi="Times New Roman" w:cs="Times New Roman"/>
          <w:i/>
          <w:iCs/>
          <w:sz w:val="24"/>
          <w:szCs w:val="24"/>
        </w:rPr>
        <w:t>“Resistance is inevitable in targeted therapy, but we’re seeing promising early data from second-gen inhibitors designed for the G595R and G667C mutations,”</w:t>
      </w:r>
      <w:r w:rsidRPr="00CC30B9">
        <w:rPr>
          <w:rFonts w:ascii="Times New Roman" w:eastAsia="Times New Roman" w:hAnsi="Times New Roman" w:cs="Times New Roman"/>
          <w:sz w:val="24"/>
          <w:szCs w:val="24"/>
        </w:rPr>
        <w:t xml:space="preserve"> shares a drug development executive from a biotech specializing in kinase inhibitors.</w:t>
      </w:r>
    </w:p>
    <w:p w:rsidR="00CC30B9" w:rsidRPr="00CC30B9" w:rsidRDefault="00CC30B9" w:rsidP="00CC30B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Tumor-Agnostic Clinical Trials</w:t>
      </w:r>
      <w:proofErr w:type="gramStart"/>
      <w:r w:rsidRPr="00CC30B9">
        <w:rPr>
          <w:rFonts w:ascii="Times New Roman" w:eastAsia="Times New Roman" w:hAnsi="Times New Roman" w:cs="Times New Roman"/>
          <w:b/>
          <w:bCs/>
          <w:sz w:val="24"/>
          <w:szCs w:val="24"/>
        </w:rPr>
        <w:t>:</w:t>
      </w:r>
      <w:proofErr w:type="gramEnd"/>
      <w:r w:rsidRPr="00CC30B9">
        <w:rPr>
          <w:rFonts w:ascii="Times New Roman" w:eastAsia="Times New Roman" w:hAnsi="Times New Roman" w:cs="Times New Roman"/>
          <w:sz w:val="24"/>
          <w:szCs w:val="24"/>
        </w:rPr>
        <w:br/>
        <w:t xml:space="preserve">Unlike traditional trials focused on tissue origin, newer protocols emphasize </w:t>
      </w:r>
      <w:r w:rsidRPr="00CC30B9">
        <w:rPr>
          <w:rFonts w:ascii="Times New Roman" w:eastAsia="Times New Roman" w:hAnsi="Times New Roman" w:cs="Times New Roman"/>
          <w:b/>
          <w:bCs/>
          <w:sz w:val="24"/>
          <w:szCs w:val="24"/>
        </w:rPr>
        <w:t>basket trials</w:t>
      </w:r>
      <w:r w:rsidRPr="00CC30B9">
        <w:rPr>
          <w:rFonts w:ascii="Times New Roman" w:eastAsia="Times New Roman" w:hAnsi="Times New Roman" w:cs="Times New Roman"/>
          <w:sz w:val="24"/>
          <w:szCs w:val="24"/>
        </w:rPr>
        <w:t xml:space="preserve"> that enroll patients across tumor types sharing a common genomic alteration—such as NTRK fusions. This approach is speeding up FDA and EMA approvals.</w:t>
      </w:r>
    </w:p>
    <w:p w:rsidR="00CC30B9" w:rsidRPr="00CC30B9" w:rsidRDefault="00CC30B9" w:rsidP="00CC30B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Liquid Biopsy Integration</w:t>
      </w:r>
      <w:proofErr w:type="gramStart"/>
      <w:r w:rsidRPr="00CC30B9">
        <w:rPr>
          <w:rFonts w:ascii="Times New Roman" w:eastAsia="Times New Roman" w:hAnsi="Times New Roman" w:cs="Times New Roman"/>
          <w:b/>
          <w:bCs/>
          <w:sz w:val="24"/>
          <w:szCs w:val="24"/>
        </w:rPr>
        <w:t>:</w:t>
      </w:r>
      <w:proofErr w:type="gramEnd"/>
      <w:r w:rsidRPr="00CC30B9">
        <w:rPr>
          <w:rFonts w:ascii="Times New Roman" w:eastAsia="Times New Roman" w:hAnsi="Times New Roman" w:cs="Times New Roman"/>
          <w:sz w:val="24"/>
          <w:szCs w:val="24"/>
        </w:rPr>
        <w:br/>
        <w:t xml:space="preserve">Real-time, non-invasive genomic profiling via </w:t>
      </w:r>
      <w:r w:rsidRPr="00CC30B9">
        <w:rPr>
          <w:rFonts w:ascii="Times New Roman" w:eastAsia="Times New Roman" w:hAnsi="Times New Roman" w:cs="Times New Roman"/>
          <w:b/>
          <w:bCs/>
          <w:sz w:val="24"/>
          <w:szCs w:val="24"/>
        </w:rPr>
        <w:t>circulating tumor DNA (</w:t>
      </w:r>
      <w:proofErr w:type="spellStart"/>
      <w:r w:rsidRPr="00CC30B9">
        <w:rPr>
          <w:rFonts w:ascii="Times New Roman" w:eastAsia="Times New Roman" w:hAnsi="Times New Roman" w:cs="Times New Roman"/>
          <w:b/>
          <w:bCs/>
          <w:sz w:val="24"/>
          <w:szCs w:val="24"/>
        </w:rPr>
        <w:t>ctDNA</w:t>
      </w:r>
      <w:proofErr w:type="spellEnd"/>
      <w:r w:rsidRPr="00CC30B9">
        <w:rPr>
          <w:rFonts w:ascii="Times New Roman" w:eastAsia="Times New Roman" w:hAnsi="Times New Roman" w:cs="Times New Roman"/>
          <w:b/>
          <w:bCs/>
          <w:sz w:val="24"/>
          <w:szCs w:val="24"/>
        </w:rPr>
        <w:t>)</w:t>
      </w:r>
      <w:r w:rsidRPr="00CC30B9">
        <w:rPr>
          <w:rFonts w:ascii="Times New Roman" w:eastAsia="Times New Roman" w:hAnsi="Times New Roman" w:cs="Times New Roman"/>
          <w:sz w:val="24"/>
          <w:szCs w:val="24"/>
        </w:rPr>
        <w:t xml:space="preserve"> is enabling better detection of NTRK fusions, especially when tumor tissue is inaccessible. This is a game-changer for patient monitoring and re-biopsy in relapse cases.</w:t>
      </w:r>
    </w:p>
    <w:p w:rsidR="00CC30B9" w:rsidRPr="00CC30B9" w:rsidRDefault="00CC30B9" w:rsidP="00CC30B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AI-Driven Fusion Detection Algorithms</w:t>
      </w:r>
      <w:proofErr w:type="gramStart"/>
      <w:r w:rsidRPr="00CC30B9">
        <w:rPr>
          <w:rFonts w:ascii="Times New Roman" w:eastAsia="Times New Roman" w:hAnsi="Times New Roman" w:cs="Times New Roman"/>
          <w:b/>
          <w:bCs/>
          <w:sz w:val="24"/>
          <w:szCs w:val="24"/>
        </w:rPr>
        <w:t>:</w:t>
      </w:r>
      <w:proofErr w:type="gramEnd"/>
      <w:r w:rsidRPr="00CC30B9">
        <w:rPr>
          <w:rFonts w:ascii="Times New Roman" w:eastAsia="Times New Roman" w:hAnsi="Times New Roman" w:cs="Times New Roman"/>
          <w:sz w:val="24"/>
          <w:szCs w:val="24"/>
        </w:rPr>
        <w:br/>
        <w:t xml:space="preserve">Artificial intelligence is being increasingly applied in sequencing data interpretation, allowing faster identification of rare and complex fusions. Machine learning models are </w:t>
      </w:r>
      <w:r w:rsidRPr="00CC30B9">
        <w:rPr>
          <w:rFonts w:ascii="Times New Roman" w:eastAsia="Times New Roman" w:hAnsi="Times New Roman" w:cs="Times New Roman"/>
          <w:sz w:val="24"/>
          <w:szCs w:val="24"/>
        </w:rPr>
        <w:lastRenderedPageBreak/>
        <w:t>now trained to differentiate true positives from artifacts, improving diagnostic accuracy in low-quality samples.</w: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Segoe UI Symbol" w:eastAsia="Times New Roman" w:hAnsi="Segoe UI Symbol" w:cs="Segoe UI Symbol"/>
          <w:b/>
          <w:bCs/>
          <w:sz w:val="24"/>
          <w:szCs w:val="24"/>
        </w:rPr>
        <w:t>🔄</w:t>
      </w:r>
      <w:r w:rsidRPr="00CC30B9">
        <w:rPr>
          <w:rFonts w:ascii="Times New Roman" w:eastAsia="Times New Roman" w:hAnsi="Times New Roman" w:cs="Times New Roman"/>
          <w:b/>
          <w:bCs/>
          <w:sz w:val="24"/>
          <w:szCs w:val="24"/>
        </w:rPr>
        <w:t xml:space="preserve"> Mergers, Collaborations &amp; R&amp;D Momentum:</w:t>
      </w:r>
    </w:p>
    <w:p w:rsidR="00CC30B9" w:rsidRPr="00CC30B9" w:rsidRDefault="00CC30B9" w:rsidP="00CC30B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Biopharma-academic partnerships</w:t>
      </w:r>
      <w:r w:rsidRPr="00CC30B9">
        <w:rPr>
          <w:rFonts w:ascii="Times New Roman" w:eastAsia="Times New Roman" w:hAnsi="Times New Roman" w:cs="Times New Roman"/>
          <w:sz w:val="24"/>
          <w:szCs w:val="24"/>
        </w:rPr>
        <w:t xml:space="preserve"> are proliferating to accelerate translational research. For example, drug developers are collaborating with genomic data platforms and academic cancer centers to mine real-world data for rare fusion profiles.</w:t>
      </w:r>
    </w:p>
    <w:p w:rsidR="00CC30B9" w:rsidRPr="00CC30B9" w:rsidRDefault="00CC30B9" w:rsidP="00CC30B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Strategic acquisitions</w:t>
      </w:r>
      <w:r w:rsidRPr="00CC30B9">
        <w:rPr>
          <w:rFonts w:ascii="Times New Roman" w:eastAsia="Times New Roman" w:hAnsi="Times New Roman" w:cs="Times New Roman"/>
          <w:sz w:val="24"/>
          <w:szCs w:val="24"/>
        </w:rPr>
        <w:t xml:space="preserve"> of diagnostic firms by pharmaceutical players (e.g., TRK inhibitor developers acquiring NGS startups) aim to integrate testing and therapy delivery.</w:t>
      </w:r>
    </w:p>
    <w:p w:rsidR="00CC30B9" w:rsidRPr="00CC30B9" w:rsidRDefault="00CC30B9" w:rsidP="00CC30B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Companies are also </w:t>
      </w:r>
      <w:r w:rsidRPr="00CC30B9">
        <w:rPr>
          <w:rFonts w:ascii="Times New Roman" w:eastAsia="Times New Roman" w:hAnsi="Times New Roman" w:cs="Times New Roman"/>
          <w:b/>
          <w:bCs/>
          <w:sz w:val="24"/>
          <w:szCs w:val="24"/>
        </w:rPr>
        <w:t>expanding their R&amp;D pipelines</w:t>
      </w:r>
      <w:r w:rsidRPr="00CC30B9">
        <w:rPr>
          <w:rFonts w:ascii="Times New Roman" w:eastAsia="Times New Roman" w:hAnsi="Times New Roman" w:cs="Times New Roman"/>
          <w:sz w:val="24"/>
          <w:szCs w:val="24"/>
        </w:rPr>
        <w:t xml:space="preserve"> beyond NTRK to include other rare fusions (e.g., RET, ROS1), building a portfolio approach to rare-mutation oncology.</w: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Segoe UI Symbol" w:eastAsia="Times New Roman" w:hAnsi="Segoe UI Symbol" w:cs="Segoe UI Symbol"/>
          <w:b/>
          <w:bCs/>
          <w:sz w:val="24"/>
          <w:szCs w:val="24"/>
        </w:rPr>
        <w:t>🌐</w:t>
      </w:r>
      <w:r w:rsidRPr="00CC30B9">
        <w:rPr>
          <w:rFonts w:ascii="Times New Roman" w:eastAsia="Times New Roman" w:hAnsi="Times New Roman" w:cs="Times New Roman"/>
          <w:b/>
          <w:bCs/>
          <w:sz w:val="24"/>
          <w:szCs w:val="24"/>
        </w:rPr>
        <w:t xml:space="preserve"> Pipeline Highlights:</w:t>
      </w:r>
    </w:p>
    <w:p w:rsidR="00CC30B9" w:rsidRPr="00CC30B9" w:rsidRDefault="00CC30B9" w:rsidP="00CC30B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Multiple TRK inhibitors are in </w:t>
      </w:r>
      <w:r w:rsidRPr="00CC30B9">
        <w:rPr>
          <w:rFonts w:ascii="Times New Roman" w:eastAsia="Times New Roman" w:hAnsi="Times New Roman" w:cs="Times New Roman"/>
          <w:b/>
          <w:bCs/>
          <w:sz w:val="24"/>
          <w:szCs w:val="24"/>
        </w:rPr>
        <w:t>Phase I and II trials</w:t>
      </w:r>
      <w:r w:rsidRPr="00CC30B9">
        <w:rPr>
          <w:rFonts w:ascii="Times New Roman" w:eastAsia="Times New Roman" w:hAnsi="Times New Roman" w:cs="Times New Roman"/>
          <w:sz w:val="24"/>
          <w:szCs w:val="24"/>
        </w:rPr>
        <w:t xml:space="preserve"> with promising ORR (objective response rates) in NTRK fusion–positive patients with CNS metastases—a major unmet need in current treatment.</w:t>
      </w:r>
    </w:p>
    <w:p w:rsidR="00CC30B9" w:rsidRPr="00CC30B9" w:rsidRDefault="00CC30B9" w:rsidP="00CC30B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Development is shifting toward </w:t>
      </w:r>
      <w:r w:rsidRPr="00CC30B9">
        <w:rPr>
          <w:rFonts w:ascii="Times New Roman" w:eastAsia="Times New Roman" w:hAnsi="Times New Roman" w:cs="Times New Roman"/>
          <w:b/>
          <w:bCs/>
          <w:sz w:val="24"/>
          <w:szCs w:val="24"/>
        </w:rPr>
        <w:t>oral formulations with longer half-lives</w:t>
      </w:r>
      <w:r w:rsidRPr="00CC30B9">
        <w:rPr>
          <w:rFonts w:ascii="Times New Roman" w:eastAsia="Times New Roman" w:hAnsi="Times New Roman" w:cs="Times New Roman"/>
          <w:sz w:val="24"/>
          <w:szCs w:val="24"/>
        </w:rPr>
        <w:t>, allowing once-daily dosing and improved patient compliance.</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i/>
          <w:iCs/>
          <w:sz w:val="24"/>
          <w:szCs w:val="24"/>
        </w:rPr>
        <w:t>“The NTRK market is not just about one drug or mutation—it’s a signal for how we’ll treat all rare oncogenic drivers in the future,”</w:t>
      </w:r>
      <w:r w:rsidRPr="00CC30B9">
        <w:rPr>
          <w:rFonts w:ascii="Times New Roman" w:eastAsia="Times New Roman" w:hAnsi="Times New Roman" w:cs="Times New Roman"/>
          <w:sz w:val="24"/>
          <w:szCs w:val="24"/>
        </w:rPr>
        <w:t xml:space="preserve"> emphasizes a precision oncology analyst at a major investment firm.</w:t>
      </w:r>
    </w:p>
    <w:p w:rsidR="00CC30B9" w:rsidRPr="00CC30B9" w:rsidRDefault="00CC30B9" w:rsidP="00CC30B9">
      <w:pPr>
        <w:spacing w:before="100" w:beforeAutospacing="1" w:after="100" w:afterAutospacing="1" w:line="240" w:lineRule="auto"/>
        <w:outlineLvl w:val="2"/>
        <w:rPr>
          <w:rFonts w:ascii="Times New Roman" w:eastAsia="Times New Roman" w:hAnsi="Times New Roman" w:cs="Times New Roman"/>
          <w:b/>
          <w:bCs/>
          <w:sz w:val="27"/>
          <w:szCs w:val="27"/>
        </w:rPr>
      </w:pPr>
      <w:r w:rsidRPr="00CC30B9">
        <w:rPr>
          <w:rFonts w:ascii="Times New Roman" w:eastAsia="Times New Roman" w:hAnsi="Times New Roman" w:cs="Times New Roman"/>
          <w:b/>
          <w:bCs/>
          <w:sz w:val="27"/>
          <w:szCs w:val="27"/>
        </w:rPr>
        <w:t>4. Competitive Intelligence and Benchmarking</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The </w:t>
      </w:r>
      <w:r w:rsidRPr="00CC30B9">
        <w:rPr>
          <w:rFonts w:ascii="Times New Roman" w:eastAsia="Times New Roman" w:hAnsi="Times New Roman" w:cs="Times New Roman"/>
          <w:b/>
          <w:bCs/>
          <w:sz w:val="24"/>
          <w:szCs w:val="24"/>
        </w:rPr>
        <w:t>NTRK fusion gene positive advanced solid tumor market</w:t>
      </w:r>
      <w:r w:rsidRPr="00CC30B9">
        <w:rPr>
          <w:rFonts w:ascii="Times New Roman" w:eastAsia="Times New Roman" w:hAnsi="Times New Roman" w:cs="Times New Roman"/>
          <w:sz w:val="24"/>
          <w:szCs w:val="24"/>
        </w:rPr>
        <w:t xml:space="preserve"> is defined by a tightly focused group of innovative pharmaceutical and biotechnology firms. Competition revolves around first-mover advantage, resistance-proof therapies, and integration with advanced diagnostics. Despite the niche nature of NTRK fusions, competition is intensifying as TRK inhibitors gain broader tumor-agnostic indications and next-generation molecules enter clinical trials.</w: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Segoe UI Symbol" w:eastAsia="Times New Roman" w:hAnsi="Segoe UI Symbol" w:cs="Segoe UI Symbol"/>
          <w:b/>
          <w:bCs/>
          <w:sz w:val="24"/>
          <w:szCs w:val="24"/>
        </w:rPr>
        <w:t>🏆</w:t>
      </w:r>
      <w:r w:rsidRPr="00CC30B9">
        <w:rPr>
          <w:rFonts w:ascii="Times New Roman" w:eastAsia="Times New Roman" w:hAnsi="Times New Roman" w:cs="Times New Roman"/>
          <w:b/>
          <w:bCs/>
          <w:sz w:val="24"/>
          <w:szCs w:val="24"/>
        </w:rPr>
        <w:t xml:space="preserve"> Key Market Players and Strategic Positioning:</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1. Bayer AG</w:t>
      </w:r>
      <w:r w:rsidRPr="00CC30B9">
        <w:rPr>
          <w:rFonts w:ascii="Times New Roman" w:eastAsia="Times New Roman" w:hAnsi="Times New Roman" w:cs="Times New Roman"/>
          <w:sz w:val="24"/>
          <w:szCs w:val="24"/>
        </w:rPr>
        <w:br/>
        <w:t xml:space="preserve">Bayer, in partnership with </w:t>
      </w:r>
      <w:proofErr w:type="spellStart"/>
      <w:r w:rsidRPr="00CC30B9">
        <w:rPr>
          <w:rFonts w:ascii="Times New Roman" w:eastAsia="Times New Roman" w:hAnsi="Times New Roman" w:cs="Times New Roman"/>
          <w:sz w:val="24"/>
          <w:szCs w:val="24"/>
        </w:rPr>
        <w:t>Loxo</w:t>
      </w:r>
      <w:proofErr w:type="spellEnd"/>
      <w:r w:rsidRPr="00CC30B9">
        <w:rPr>
          <w:rFonts w:ascii="Times New Roman" w:eastAsia="Times New Roman" w:hAnsi="Times New Roman" w:cs="Times New Roman"/>
          <w:sz w:val="24"/>
          <w:szCs w:val="24"/>
        </w:rPr>
        <w:t xml:space="preserve"> Oncology (now part of Eli Lilly), launched </w:t>
      </w:r>
      <w:r w:rsidRPr="00CC30B9">
        <w:rPr>
          <w:rFonts w:ascii="Times New Roman" w:eastAsia="Times New Roman" w:hAnsi="Times New Roman" w:cs="Times New Roman"/>
          <w:b/>
          <w:bCs/>
          <w:sz w:val="24"/>
          <w:szCs w:val="24"/>
        </w:rPr>
        <w:t>one of the first TRK inhibitors</w:t>
      </w:r>
      <w:r w:rsidRPr="00CC30B9">
        <w:rPr>
          <w:rFonts w:ascii="Times New Roman" w:eastAsia="Times New Roman" w:hAnsi="Times New Roman" w:cs="Times New Roman"/>
          <w:sz w:val="24"/>
          <w:szCs w:val="24"/>
        </w:rPr>
        <w:t xml:space="preserve">—positioning itself as a global pioneer in tumor-agnostic therapy. The company holds a substantial share of the U.S. and European markets, with robust real-world evidence (RWE) to support its first-line use in NTRK fusion-positive patients. Bayer is also investing in </w:t>
      </w:r>
      <w:r w:rsidRPr="00CC30B9">
        <w:rPr>
          <w:rFonts w:ascii="Times New Roman" w:eastAsia="Times New Roman" w:hAnsi="Times New Roman" w:cs="Times New Roman"/>
          <w:b/>
          <w:bCs/>
          <w:sz w:val="24"/>
          <w:szCs w:val="24"/>
        </w:rPr>
        <w:t>post-marketing surveillance</w:t>
      </w:r>
      <w:r w:rsidRPr="00CC30B9">
        <w:rPr>
          <w:rFonts w:ascii="Times New Roman" w:eastAsia="Times New Roman" w:hAnsi="Times New Roman" w:cs="Times New Roman"/>
          <w:sz w:val="24"/>
          <w:szCs w:val="24"/>
        </w:rPr>
        <w:t xml:space="preserve"> and expanded access programs to consolidate its leadership.</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2. Roche Holding AG</w:t>
      </w:r>
      <w:r w:rsidRPr="00CC30B9">
        <w:rPr>
          <w:rFonts w:ascii="Times New Roman" w:eastAsia="Times New Roman" w:hAnsi="Times New Roman" w:cs="Times New Roman"/>
          <w:sz w:val="24"/>
          <w:szCs w:val="24"/>
        </w:rPr>
        <w:br/>
        <w:t xml:space="preserve">Through the acquisition of </w:t>
      </w:r>
      <w:proofErr w:type="spellStart"/>
      <w:r w:rsidRPr="00CC30B9">
        <w:rPr>
          <w:rFonts w:ascii="Times New Roman" w:eastAsia="Times New Roman" w:hAnsi="Times New Roman" w:cs="Times New Roman"/>
          <w:sz w:val="24"/>
          <w:szCs w:val="24"/>
        </w:rPr>
        <w:t>Ignyta</w:t>
      </w:r>
      <w:proofErr w:type="spellEnd"/>
      <w:r w:rsidRPr="00CC30B9">
        <w:rPr>
          <w:rFonts w:ascii="Times New Roman" w:eastAsia="Times New Roman" w:hAnsi="Times New Roman" w:cs="Times New Roman"/>
          <w:sz w:val="24"/>
          <w:szCs w:val="24"/>
        </w:rPr>
        <w:t xml:space="preserve">, Roche entered the TRK inhibitor space with a focus on </w:t>
      </w:r>
      <w:r w:rsidRPr="00CC30B9">
        <w:rPr>
          <w:rFonts w:ascii="Times New Roman" w:eastAsia="Times New Roman" w:hAnsi="Times New Roman" w:cs="Times New Roman"/>
          <w:b/>
          <w:bCs/>
          <w:sz w:val="24"/>
          <w:szCs w:val="24"/>
        </w:rPr>
        <w:t>multi-</w:t>
      </w:r>
      <w:r w:rsidRPr="00CC30B9">
        <w:rPr>
          <w:rFonts w:ascii="Times New Roman" w:eastAsia="Times New Roman" w:hAnsi="Times New Roman" w:cs="Times New Roman"/>
          <w:b/>
          <w:bCs/>
          <w:sz w:val="24"/>
          <w:szCs w:val="24"/>
        </w:rPr>
        <w:lastRenderedPageBreak/>
        <w:t>kinase inhibition</w:t>
      </w:r>
      <w:r w:rsidRPr="00CC30B9">
        <w:rPr>
          <w:rFonts w:ascii="Times New Roman" w:eastAsia="Times New Roman" w:hAnsi="Times New Roman" w:cs="Times New Roman"/>
          <w:sz w:val="24"/>
          <w:szCs w:val="24"/>
        </w:rPr>
        <w:t xml:space="preserve"> that addresses CNS penetration and off-target resistance. Its molecule, used in advanced solid tumors including pediatric gliomas, is increasingly being incorporated into tumor-agnostic treatment guidelines. Roche has leveraged its diagnostics arm to bundle testing and therapy, creating a </w:t>
      </w:r>
      <w:r w:rsidRPr="00CC30B9">
        <w:rPr>
          <w:rFonts w:ascii="Times New Roman" w:eastAsia="Times New Roman" w:hAnsi="Times New Roman" w:cs="Times New Roman"/>
          <w:b/>
          <w:bCs/>
          <w:sz w:val="24"/>
          <w:szCs w:val="24"/>
        </w:rPr>
        <w:t>closed-loop treatment ecosystem</w:t>
      </w:r>
      <w:r w:rsidRPr="00CC30B9">
        <w:rPr>
          <w:rFonts w:ascii="Times New Roman" w:eastAsia="Times New Roman" w:hAnsi="Times New Roman" w:cs="Times New Roman"/>
          <w:sz w:val="24"/>
          <w:szCs w:val="24"/>
        </w:rPr>
        <w:t>.</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3. Pfizer Inc.</w:t>
      </w:r>
      <w:r w:rsidRPr="00CC30B9">
        <w:rPr>
          <w:rFonts w:ascii="Times New Roman" w:eastAsia="Times New Roman" w:hAnsi="Times New Roman" w:cs="Times New Roman"/>
          <w:sz w:val="24"/>
          <w:szCs w:val="24"/>
        </w:rPr>
        <w:br/>
        <w:t xml:space="preserve">While not a first-mover, Pfizer has shown aggressive expansion into rare oncology biomarkers through licensing and development deals. Its strategy includes </w:t>
      </w:r>
      <w:r w:rsidRPr="00CC30B9">
        <w:rPr>
          <w:rFonts w:ascii="Times New Roman" w:eastAsia="Times New Roman" w:hAnsi="Times New Roman" w:cs="Times New Roman"/>
          <w:b/>
          <w:bCs/>
          <w:sz w:val="24"/>
          <w:szCs w:val="24"/>
        </w:rPr>
        <w:t>investments in diagnostic partnerships</w:t>
      </w:r>
      <w:r w:rsidRPr="00CC30B9">
        <w:rPr>
          <w:rFonts w:ascii="Times New Roman" w:eastAsia="Times New Roman" w:hAnsi="Times New Roman" w:cs="Times New Roman"/>
          <w:sz w:val="24"/>
          <w:szCs w:val="24"/>
        </w:rPr>
        <w:t xml:space="preserve"> and next-generation sequencing data analytics to improve patient identification for biomarker-specific trials. Pfizer's pipeline includes TRK inhibitors engineered for </w:t>
      </w:r>
      <w:r w:rsidRPr="00CC30B9">
        <w:rPr>
          <w:rFonts w:ascii="Times New Roman" w:eastAsia="Times New Roman" w:hAnsi="Times New Roman" w:cs="Times New Roman"/>
          <w:b/>
          <w:bCs/>
          <w:sz w:val="24"/>
          <w:szCs w:val="24"/>
        </w:rPr>
        <w:t>brain metastasis efficacy</w:t>
      </w:r>
      <w:r w:rsidRPr="00CC30B9">
        <w:rPr>
          <w:rFonts w:ascii="Times New Roman" w:eastAsia="Times New Roman" w:hAnsi="Times New Roman" w:cs="Times New Roman"/>
          <w:sz w:val="24"/>
          <w:szCs w:val="24"/>
        </w:rPr>
        <w:t xml:space="preserve"> and minimal drug-drug interactions.</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4. Blueprint Medicines</w:t>
      </w:r>
      <w:r w:rsidRPr="00CC30B9">
        <w:rPr>
          <w:rFonts w:ascii="Times New Roman" w:eastAsia="Times New Roman" w:hAnsi="Times New Roman" w:cs="Times New Roman"/>
          <w:sz w:val="24"/>
          <w:szCs w:val="24"/>
        </w:rPr>
        <w:br/>
      </w:r>
      <w:proofErr w:type="gramStart"/>
      <w:r w:rsidRPr="00CC30B9">
        <w:rPr>
          <w:rFonts w:ascii="Times New Roman" w:eastAsia="Times New Roman" w:hAnsi="Times New Roman" w:cs="Times New Roman"/>
          <w:sz w:val="24"/>
          <w:szCs w:val="24"/>
        </w:rPr>
        <w:t>A</w:t>
      </w:r>
      <w:proofErr w:type="gramEnd"/>
      <w:r w:rsidRPr="00CC30B9">
        <w:rPr>
          <w:rFonts w:ascii="Times New Roman" w:eastAsia="Times New Roman" w:hAnsi="Times New Roman" w:cs="Times New Roman"/>
          <w:sz w:val="24"/>
          <w:szCs w:val="24"/>
        </w:rPr>
        <w:t xml:space="preserve"> rising biotech player, Blueprint is building a platform around precision oncology, focusing on </w:t>
      </w:r>
      <w:r w:rsidRPr="00CC30B9">
        <w:rPr>
          <w:rFonts w:ascii="Times New Roman" w:eastAsia="Times New Roman" w:hAnsi="Times New Roman" w:cs="Times New Roman"/>
          <w:b/>
          <w:bCs/>
          <w:sz w:val="24"/>
          <w:szCs w:val="24"/>
        </w:rPr>
        <w:t>kinase inhibitors for rare genomic alterations</w:t>
      </w:r>
      <w:r w:rsidRPr="00CC30B9">
        <w:rPr>
          <w:rFonts w:ascii="Times New Roman" w:eastAsia="Times New Roman" w:hAnsi="Times New Roman" w:cs="Times New Roman"/>
          <w:sz w:val="24"/>
          <w:szCs w:val="24"/>
        </w:rPr>
        <w:t xml:space="preserve">. The company is targeting second-line and resistant patient populations, especially those harboring TRK solvent front mutations. Its TRK pipeline emphasizes </w:t>
      </w:r>
      <w:r w:rsidRPr="00CC30B9">
        <w:rPr>
          <w:rFonts w:ascii="Times New Roman" w:eastAsia="Times New Roman" w:hAnsi="Times New Roman" w:cs="Times New Roman"/>
          <w:b/>
          <w:bCs/>
          <w:sz w:val="24"/>
          <w:szCs w:val="24"/>
        </w:rPr>
        <w:t>modularity</w:t>
      </w:r>
      <w:r w:rsidRPr="00CC30B9">
        <w:rPr>
          <w:rFonts w:ascii="Times New Roman" w:eastAsia="Times New Roman" w:hAnsi="Times New Roman" w:cs="Times New Roman"/>
          <w:sz w:val="24"/>
          <w:szCs w:val="24"/>
        </w:rPr>
        <w:t>, allowing future extension into other fusions like ALK or ROS1.</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5. Eli Lilly and Company</w:t>
      </w:r>
      <w:r w:rsidRPr="00CC30B9">
        <w:rPr>
          <w:rFonts w:ascii="Times New Roman" w:eastAsia="Times New Roman" w:hAnsi="Times New Roman" w:cs="Times New Roman"/>
          <w:sz w:val="24"/>
          <w:szCs w:val="24"/>
        </w:rPr>
        <w:br/>
        <w:t xml:space="preserve">Through its </w:t>
      </w:r>
      <w:proofErr w:type="spellStart"/>
      <w:r w:rsidRPr="00CC30B9">
        <w:rPr>
          <w:rFonts w:ascii="Times New Roman" w:eastAsia="Times New Roman" w:hAnsi="Times New Roman" w:cs="Times New Roman"/>
          <w:sz w:val="24"/>
          <w:szCs w:val="24"/>
        </w:rPr>
        <w:t>Loxo</w:t>
      </w:r>
      <w:proofErr w:type="spellEnd"/>
      <w:r w:rsidRPr="00CC30B9">
        <w:rPr>
          <w:rFonts w:ascii="Times New Roman" w:eastAsia="Times New Roman" w:hAnsi="Times New Roman" w:cs="Times New Roman"/>
          <w:sz w:val="24"/>
          <w:szCs w:val="24"/>
        </w:rPr>
        <w:t xml:space="preserve"> Oncology unit, Eli Lilly is deeply entrenched in TRK-targeted innovation. Post-launch strategies include </w:t>
      </w:r>
      <w:r w:rsidRPr="00CC30B9">
        <w:rPr>
          <w:rFonts w:ascii="Times New Roman" w:eastAsia="Times New Roman" w:hAnsi="Times New Roman" w:cs="Times New Roman"/>
          <w:b/>
          <w:bCs/>
          <w:sz w:val="24"/>
          <w:szCs w:val="24"/>
        </w:rPr>
        <w:t>label expansions</w:t>
      </w:r>
      <w:r w:rsidRPr="00CC30B9">
        <w:rPr>
          <w:rFonts w:ascii="Times New Roman" w:eastAsia="Times New Roman" w:hAnsi="Times New Roman" w:cs="Times New Roman"/>
          <w:sz w:val="24"/>
          <w:szCs w:val="24"/>
        </w:rPr>
        <w:t>, resistance pathway studies, and global market entry into Asia Pacific and Latin America. Its regulatory engagement model has helped fast-track tumor-agnostic drug approvals in both adult and pediatric cancers.</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6. Takeda Pharmaceutical Company</w:t>
      </w:r>
      <w:r w:rsidRPr="00CC30B9">
        <w:rPr>
          <w:rFonts w:ascii="Times New Roman" w:eastAsia="Times New Roman" w:hAnsi="Times New Roman" w:cs="Times New Roman"/>
          <w:sz w:val="24"/>
          <w:szCs w:val="24"/>
        </w:rPr>
        <w:br/>
        <w:t xml:space="preserve">Takeda is focused on developing </w:t>
      </w:r>
      <w:r w:rsidRPr="00CC30B9">
        <w:rPr>
          <w:rFonts w:ascii="Times New Roman" w:eastAsia="Times New Roman" w:hAnsi="Times New Roman" w:cs="Times New Roman"/>
          <w:b/>
          <w:bCs/>
          <w:sz w:val="24"/>
          <w:szCs w:val="24"/>
        </w:rPr>
        <w:t>pan-tumor therapies</w:t>
      </w:r>
      <w:r w:rsidRPr="00CC30B9">
        <w:rPr>
          <w:rFonts w:ascii="Times New Roman" w:eastAsia="Times New Roman" w:hAnsi="Times New Roman" w:cs="Times New Roman"/>
          <w:sz w:val="24"/>
          <w:szCs w:val="24"/>
        </w:rPr>
        <w:t xml:space="preserve"> that work across rare genetic drivers, including NTRK. With a presence in both the U.S. and Japan, the company seeks to bridge biomarker therapy adoption in mature and emerging markets. Its strategy includes </w:t>
      </w:r>
      <w:r w:rsidRPr="00CC30B9">
        <w:rPr>
          <w:rFonts w:ascii="Times New Roman" w:eastAsia="Times New Roman" w:hAnsi="Times New Roman" w:cs="Times New Roman"/>
          <w:b/>
          <w:bCs/>
          <w:sz w:val="24"/>
          <w:szCs w:val="24"/>
        </w:rPr>
        <w:t>long-term real-world evidence collection</w:t>
      </w:r>
      <w:r w:rsidRPr="00CC30B9">
        <w:rPr>
          <w:rFonts w:ascii="Times New Roman" w:eastAsia="Times New Roman" w:hAnsi="Times New Roman" w:cs="Times New Roman"/>
          <w:sz w:val="24"/>
          <w:szCs w:val="24"/>
        </w:rPr>
        <w:t xml:space="preserve"> and health-economic evaluations to win over payers.</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7. Foundation Medicine (a Roche subsidiary</w:t>
      </w:r>
      <w:proofErr w:type="gramStart"/>
      <w:r w:rsidRPr="00CC30B9">
        <w:rPr>
          <w:rFonts w:ascii="Times New Roman" w:eastAsia="Times New Roman" w:hAnsi="Times New Roman" w:cs="Times New Roman"/>
          <w:b/>
          <w:bCs/>
          <w:sz w:val="24"/>
          <w:szCs w:val="24"/>
        </w:rPr>
        <w:t>)</w:t>
      </w:r>
      <w:proofErr w:type="gramEnd"/>
      <w:r w:rsidRPr="00CC30B9">
        <w:rPr>
          <w:rFonts w:ascii="Times New Roman" w:eastAsia="Times New Roman" w:hAnsi="Times New Roman" w:cs="Times New Roman"/>
          <w:sz w:val="24"/>
          <w:szCs w:val="24"/>
        </w:rPr>
        <w:br/>
        <w:t xml:space="preserve">While not a therapeutic developer, Foundation Medicine plays a crucial competitive role in diagnostics. Its </w:t>
      </w:r>
      <w:r w:rsidRPr="00CC30B9">
        <w:rPr>
          <w:rFonts w:ascii="Times New Roman" w:eastAsia="Times New Roman" w:hAnsi="Times New Roman" w:cs="Times New Roman"/>
          <w:b/>
          <w:bCs/>
          <w:sz w:val="24"/>
          <w:szCs w:val="24"/>
        </w:rPr>
        <w:t>comprehensive genomic profiling (CGP)</w:t>
      </w:r>
      <w:r w:rsidRPr="00CC30B9">
        <w:rPr>
          <w:rFonts w:ascii="Times New Roman" w:eastAsia="Times New Roman" w:hAnsi="Times New Roman" w:cs="Times New Roman"/>
          <w:sz w:val="24"/>
          <w:szCs w:val="24"/>
        </w:rPr>
        <w:t xml:space="preserve"> services are widely used to detect NTRK fusions, especially via liquid biopsy. Their proprietary algorithms are continually refined to </w:t>
      </w:r>
      <w:r w:rsidRPr="00CC30B9">
        <w:rPr>
          <w:rFonts w:ascii="Times New Roman" w:eastAsia="Times New Roman" w:hAnsi="Times New Roman" w:cs="Times New Roman"/>
          <w:b/>
          <w:bCs/>
          <w:sz w:val="24"/>
          <w:szCs w:val="24"/>
        </w:rPr>
        <w:t>capture even low-frequency fusions</w:t>
      </w:r>
      <w:r w:rsidRPr="00CC30B9">
        <w:rPr>
          <w:rFonts w:ascii="Times New Roman" w:eastAsia="Times New Roman" w:hAnsi="Times New Roman" w:cs="Times New Roman"/>
          <w:sz w:val="24"/>
          <w:szCs w:val="24"/>
        </w:rPr>
        <w:t>, giving Roche’s therapeutic division a diagnostic edge.</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i/>
          <w:iCs/>
          <w:sz w:val="24"/>
          <w:szCs w:val="24"/>
        </w:rPr>
        <w:t>“This market rewards precision, not scale—companies that align drug development with robust diagnostics and real-world data are best positioned to lead,”</w:t>
      </w:r>
      <w:r w:rsidRPr="00CC30B9">
        <w:rPr>
          <w:rFonts w:ascii="Times New Roman" w:eastAsia="Times New Roman" w:hAnsi="Times New Roman" w:cs="Times New Roman"/>
          <w:sz w:val="24"/>
          <w:szCs w:val="24"/>
        </w:rPr>
        <w:t xml:space="preserve"> remarks a biopharma strategist from a leading oncology think tank.</w:t>
      </w:r>
    </w:p>
    <w:p w:rsidR="00CC30B9" w:rsidRPr="00CC30B9" w:rsidRDefault="00CC30B9" w:rsidP="00CC30B9">
      <w:pPr>
        <w:spacing w:before="100" w:beforeAutospacing="1" w:after="100" w:afterAutospacing="1" w:line="240" w:lineRule="auto"/>
        <w:outlineLvl w:val="2"/>
        <w:rPr>
          <w:rFonts w:ascii="Times New Roman" w:eastAsia="Times New Roman" w:hAnsi="Times New Roman" w:cs="Times New Roman"/>
          <w:b/>
          <w:bCs/>
          <w:sz w:val="27"/>
          <w:szCs w:val="27"/>
        </w:rPr>
      </w:pPr>
      <w:r w:rsidRPr="00CC30B9">
        <w:rPr>
          <w:rFonts w:ascii="Times New Roman" w:eastAsia="Times New Roman" w:hAnsi="Times New Roman" w:cs="Times New Roman"/>
          <w:b/>
          <w:bCs/>
          <w:sz w:val="27"/>
          <w:szCs w:val="27"/>
        </w:rPr>
        <w:t>5. Regional Landscape and Adoption Outlook</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lastRenderedPageBreak/>
        <w:t xml:space="preserve">The </w:t>
      </w:r>
      <w:r w:rsidRPr="00CC30B9">
        <w:rPr>
          <w:rFonts w:ascii="Times New Roman" w:eastAsia="Times New Roman" w:hAnsi="Times New Roman" w:cs="Times New Roman"/>
          <w:b/>
          <w:bCs/>
          <w:sz w:val="24"/>
          <w:szCs w:val="24"/>
        </w:rPr>
        <w:t>regional dynamics of the NTRK fusion gene positive advanced solid tumor market</w:t>
      </w:r>
      <w:r w:rsidRPr="00CC30B9">
        <w:rPr>
          <w:rFonts w:ascii="Times New Roman" w:eastAsia="Times New Roman" w:hAnsi="Times New Roman" w:cs="Times New Roman"/>
          <w:sz w:val="24"/>
          <w:szCs w:val="24"/>
        </w:rPr>
        <w:t xml:space="preserve"> are shaped by disparities in genomic testing availability, regulatory frameworks, precision oncology funding, and health system readiness. While </w:t>
      </w:r>
      <w:r w:rsidRPr="00CC30B9">
        <w:rPr>
          <w:rFonts w:ascii="Times New Roman" w:eastAsia="Times New Roman" w:hAnsi="Times New Roman" w:cs="Times New Roman"/>
          <w:b/>
          <w:bCs/>
          <w:sz w:val="24"/>
          <w:szCs w:val="24"/>
        </w:rPr>
        <w:t>North America</w:t>
      </w:r>
      <w:r w:rsidRPr="00CC30B9">
        <w:rPr>
          <w:rFonts w:ascii="Times New Roman" w:eastAsia="Times New Roman" w:hAnsi="Times New Roman" w:cs="Times New Roman"/>
          <w:sz w:val="24"/>
          <w:szCs w:val="24"/>
        </w:rPr>
        <w:t xml:space="preserve"> currently dominates, momentum is rapidly building in </w:t>
      </w:r>
      <w:r w:rsidRPr="00CC30B9">
        <w:rPr>
          <w:rFonts w:ascii="Times New Roman" w:eastAsia="Times New Roman" w:hAnsi="Times New Roman" w:cs="Times New Roman"/>
          <w:b/>
          <w:bCs/>
          <w:sz w:val="24"/>
          <w:szCs w:val="24"/>
        </w:rPr>
        <w:t>Asia Pacific</w:t>
      </w:r>
      <w:r w:rsidRPr="00CC30B9">
        <w:rPr>
          <w:rFonts w:ascii="Times New Roman" w:eastAsia="Times New Roman" w:hAnsi="Times New Roman" w:cs="Times New Roman"/>
          <w:sz w:val="24"/>
          <w:szCs w:val="24"/>
        </w:rPr>
        <w:t xml:space="preserve"> and parts of </w:t>
      </w:r>
      <w:r w:rsidRPr="00CC30B9">
        <w:rPr>
          <w:rFonts w:ascii="Times New Roman" w:eastAsia="Times New Roman" w:hAnsi="Times New Roman" w:cs="Times New Roman"/>
          <w:b/>
          <w:bCs/>
          <w:sz w:val="24"/>
          <w:szCs w:val="24"/>
        </w:rPr>
        <w:t>Europe</w:t>
      </w:r>
      <w:r w:rsidRPr="00CC30B9">
        <w:rPr>
          <w:rFonts w:ascii="Times New Roman" w:eastAsia="Times New Roman" w:hAnsi="Times New Roman" w:cs="Times New Roman"/>
          <w:sz w:val="24"/>
          <w:szCs w:val="24"/>
        </w:rPr>
        <w:t xml:space="preserve"> due to expanding biomarker testing infrastructure and increasing public-private investment in rare mutation therapeutics.</w: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Segoe UI Symbol" w:eastAsia="Times New Roman" w:hAnsi="Segoe UI Symbol" w:cs="Segoe UI Symbol"/>
          <w:b/>
          <w:bCs/>
          <w:sz w:val="24"/>
          <w:szCs w:val="24"/>
        </w:rPr>
        <w:t>🌎</w:t>
      </w:r>
      <w:r w:rsidRPr="00CC30B9">
        <w:rPr>
          <w:rFonts w:ascii="Times New Roman" w:eastAsia="Times New Roman" w:hAnsi="Times New Roman" w:cs="Times New Roman"/>
          <w:b/>
          <w:bCs/>
          <w:sz w:val="24"/>
          <w:szCs w:val="24"/>
        </w:rPr>
        <w:t xml:space="preserve"> North America</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North America—particularly the </w:t>
      </w:r>
      <w:r w:rsidRPr="00CC30B9">
        <w:rPr>
          <w:rFonts w:ascii="Times New Roman" w:eastAsia="Times New Roman" w:hAnsi="Times New Roman" w:cs="Times New Roman"/>
          <w:b/>
          <w:bCs/>
          <w:sz w:val="24"/>
          <w:szCs w:val="24"/>
        </w:rPr>
        <w:t>United States</w:t>
      </w:r>
      <w:r w:rsidRPr="00CC30B9">
        <w:rPr>
          <w:rFonts w:ascii="Times New Roman" w:eastAsia="Times New Roman" w:hAnsi="Times New Roman" w:cs="Times New Roman"/>
          <w:sz w:val="24"/>
          <w:szCs w:val="24"/>
        </w:rPr>
        <w:t xml:space="preserve">—represents the </w:t>
      </w:r>
      <w:r w:rsidRPr="00CC30B9">
        <w:rPr>
          <w:rFonts w:ascii="Times New Roman" w:eastAsia="Times New Roman" w:hAnsi="Times New Roman" w:cs="Times New Roman"/>
          <w:b/>
          <w:bCs/>
          <w:sz w:val="24"/>
          <w:szCs w:val="24"/>
        </w:rPr>
        <w:t>largest regional market</w:t>
      </w:r>
      <w:r w:rsidRPr="00CC30B9">
        <w:rPr>
          <w:rFonts w:ascii="Times New Roman" w:eastAsia="Times New Roman" w:hAnsi="Times New Roman" w:cs="Times New Roman"/>
          <w:sz w:val="24"/>
          <w:szCs w:val="24"/>
        </w:rPr>
        <w:t xml:space="preserve">, holding over </w:t>
      </w:r>
      <w:r w:rsidRPr="00CC30B9">
        <w:rPr>
          <w:rFonts w:ascii="Times New Roman" w:eastAsia="Times New Roman" w:hAnsi="Times New Roman" w:cs="Times New Roman"/>
          <w:b/>
          <w:bCs/>
          <w:sz w:val="24"/>
          <w:szCs w:val="24"/>
        </w:rPr>
        <w:t>45% of global revenue share in 2024</w:t>
      </w:r>
      <w:r w:rsidRPr="00CC30B9">
        <w:rPr>
          <w:rFonts w:ascii="Times New Roman" w:eastAsia="Times New Roman" w:hAnsi="Times New Roman" w:cs="Times New Roman"/>
          <w:sz w:val="24"/>
          <w:szCs w:val="24"/>
        </w:rPr>
        <w:t>. This is due to:</w:t>
      </w:r>
    </w:p>
    <w:p w:rsidR="00CC30B9" w:rsidRPr="00CC30B9" w:rsidRDefault="00CC30B9" w:rsidP="00CC30B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Broad integration of </w:t>
      </w:r>
      <w:r w:rsidRPr="00CC30B9">
        <w:rPr>
          <w:rFonts w:ascii="Times New Roman" w:eastAsia="Times New Roman" w:hAnsi="Times New Roman" w:cs="Times New Roman"/>
          <w:b/>
          <w:bCs/>
          <w:sz w:val="24"/>
          <w:szCs w:val="24"/>
        </w:rPr>
        <w:t>next-generation sequencing (NGS)</w:t>
      </w:r>
      <w:r w:rsidRPr="00CC30B9">
        <w:rPr>
          <w:rFonts w:ascii="Times New Roman" w:eastAsia="Times New Roman" w:hAnsi="Times New Roman" w:cs="Times New Roman"/>
          <w:sz w:val="24"/>
          <w:szCs w:val="24"/>
        </w:rPr>
        <w:t xml:space="preserve"> into routine clinical practice</w:t>
      </w:r>
    </w:p>
    <w:p w:rsidR="00CC30B9" w:rsidRPr="00CC30B9" w:rsidRDefault="00CC30B9" w:rsidP="00CC30B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Early </w:t>
      </w:r>
      <w:r w:rsidRPr="00CC30B9">
        <w:rPr>
          <w:rFonts w:ascii="Times New Roman" w:eastAsia="Times New Roman" w:hAnsi="Times New Roman" w:cs="Times New Roman"/>
          <w:b/>
          <w:bCs/>
          <w:sz w:val="24"/>
          <w:szCs w:val="24"/>
        </w:rPr>
        <w:t>FDA approvals</w:t>
      </w:r>
      <w:r w:rsidRPr="00CC30B9">
        <w:rPr>
          <w:rFonts w:ascii="Times New Roman" w:eastAsia="Times New Roman" w:hAnsi="Times New Roman" w:cs="Times New Roman"/>
          <w:sz w:val="24"/>
          <w:szCs w:val="24"/>
        </w:rPr>
        <w:t xml:space="preserve"> for tumor-agnostic TRK inhibitors</w:t>
      </w:r>
    </w:p>
    <w:p w:rsidR="00CC30B9" w:rsidRPr="00CC30B9" w:rsidRDefault="00CC30B9" w:rsidP="00CC30B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Comprehensive reimbursement frameworks through </w:t>
      </w:r>
      <w:r w:rsidRPr="00CC30B9">
        <w:rPr>
          <w:rFonts w:ascii="Times New Roman" w:eastAsia="Times New Roman" w:hAnsi="Times New Roman" w:cs="Times New Roman"/>
          <w:b/>
          <w:bCs/>
          <w:sz w:val="24"/>
          <w:szCs w:val="24"/>
        </w:rPr>
        <w:t>CMS, private payers, and oncology-focused benefit plans</w:t>
      </w:r>
    </w:p>
    <w:p w:rsidR="00CC30B9" w:rsidRPr="00CC30B9" w:rsidRDefault="00CC30B9" w:rsidP="00CC30B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High penetration of </w:t>
      </w:r>
      <w:r w:rsidRPr="00CC30B9">
        <w:rPr>
          <w:rFonts w:ascii="Times New Roman" w:eastAsia="Times New Roman" w:hAnsi="Times New Roman" w:cs="Times New Roman"/>
          <w:b/>
          <w:bCs/>
          <w:sz w:val="24"/>
          <w:szCs w:val="24"/>
        </w:rPr>
        <w:t>real-world evidence (RWE) platforms</w:t>
      </w:r>
      <w:r w:rsidRPr="00CC30B9">
        <w:rPr>
          <w:rFonts w:ascii="Times New Roman" w:eastAsia="Times New Roman" w:hAnsi="Times New Roman" w:cs="Times New Roman"/>
          <w:sz w:val="24"/>
          <w:szCs w:val="24"/>
        </w:rPr>
        <w:t>, allowing data-backed therapeutic adoption</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Major U.S. cancer centers like MD Anderson and Memorial Sloan Kettering are running </w:t>
      </w:r>
      <w:r w:rsidRPr="00CC30B9">
        <w:rPr>
          <w:rFonts w:ascii="Times New Roman" w:eastAsia="Times New Roman" w:hAnsi="Times New Roman" w:cs="Times New Roman"/>
          <w:b/>
          <w:bCs/>
          <w:sz w:val="24"/>
          <w:szCs w:val="24"/>
        </w:rPr>
        <w:t>prospective basket trials</w:t>
      </w:r>
      <w:r w:rsidRPr="00CC30B9">
        <w:rPr>
          <w:rFonts w:ascii="Times New Roman" w:eastAsia="Times New Roman" w:hAnsi="Times New Roman" w:cs="Times New Roman"/>
          <w:sz w:val="24"/>
          <w:szCs w:val="24"/>
        </w:rPr>
        <w:t xml:space="preserve"> for patients with NTRK-positive tumors, further solidifying the country’s leadership in biomarker-driven care.</w: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Segoe UI Symbol" w:eastAsia="Times New Roman" w:hAnsi="Segoe UI Symbol" w:cs="Segoe UI Symbol"/>
          <w:b/>
          <w:bCs/>
          <w:sz w:val="24"/>
          <w:szCs w:val="24"/>
        </w:rPr>
        <w:t>🌍</w:t>
      </w:r>
      <w:r w:rsidRPr="00CC30B9">
        <w:rPr>
          <w:rFonts w:ascii="Times New Roman" w:eastAsia="Times New Roman" w:hAnsi="Times New Roman" w:cs="Times New Roman"/>
          <w:b/>
          <w:bCs/>
          <w:sz w:val="24"/>
          <w:szCs w:val="24"/>
        </w:rPr>
        <w:t xml:space="preserve"> Europe</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Europe follows North America, with </w:t>
      </w:r>
      <w:r w:rsidRPr="00CC30B9">
        <w:rPr>
          <w:rFonts w:ascii="Times New Roman" w:eastAsia="Times New Roman" w:hAnsi="Times New Roman" w:cs="Times New Roman"/>
          <w:b/>
          <w:bCs/>
          <w:sz w:val="24"/>
          <w:szCs w:val="24"/>
        </w:rPr>
        <w:t>Germany, France, and the UK</w:t>
      </w:r>
      <w:r w:rsidRPr="00CC30B9">
        <w:rPr>
          <w:rFonts w:ascii="Times New Roman" w:eastAsia="Times New Roman" w:hAnsi="Times New Roman" w:cs="Times New Roman"/>
          <w:sz w:val="24"/>
          <w:szCs w:val="24"/>
        </w:rPr>
        <w:t xml:space="preserve"> being the most active markets. Regulatory progress through the </w:t>
      </w:r>
      <w:r w:rsidRPr="00CC30B9">
        <w:rPr>
          <w:rFonts w:ascii="Times New Roman" w:eastAsia="Times New Roman" w:hAnsi="Times New Roman" w:cs="Times New Roman"/>
          <w:b/>
          <w:bCs/>
          <w:sz w:val="24"/>
          <w:szCs w:val="24"/>
        </w:rPr>
        <w:t>European Medicines Agency (EMA)</w:t>
      </w:r>
      <w:r w:rsidRPr="00CC30B9">
        <w:rPr>
          <w:rFonts w:ascii="Times New Roman" w:eastAsia="Times New Roman" w:hAnsi="Times New Roman" w:cs="Times New Roman"/>
          <w:sz w:val="24"/>
          <w:szCs w:val="24"/>
        </w:rPr>
        <w:t xml:space="preserve"> has enabled pan-European access to TRK inhibitors. However, </w:t>
      </w:r>
      <w:r w:rsidRPr="00CC30B9">
        <w:rPr>
          <w:rFonts w:ascii="Times New Roman" w:eastAsia="Times New Roman" w:hAnsi="Times New Roman" w:cs="Times New Roman"/>
          <w:b/>
          <w:bCs/>
          <w:sz w:val="24"/>
          <w:szCs w:val="24"/>
        </w:rPr>
        <w:t>HTA (Health Technology Assessment) delays</w:t>
      </w:r>
      <w:r w:rsidRPr="00CC30B9">
        <w:rPr>
          <w:rFonts w:ascii="Times New Roman" w:eastAsia="Times New Roman" w:hAnsi="Times New Roman" w:cs="Times New Roman"/>
          <w:sz w:val="24"/>
          <w:szCs w:val="24"/>
        </w:rPr>
        <w:t xml:space="preserve"> in some countries like Spain and Italy may slightly dampen uptake.</w:t>
      </w:r>
    </w:p>
    <w:p w:rsidR="00CC30B9" w:rsidRPr="00CC30B9" w:rsidRDefault="00CC30B9" w:rsidP="00CC30B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Germany’s public-private partnerships</w:t>
      </w:r>
      <w:r w:rsidRPr="00CC30B9">
        <w:rPr>
          <w:rFonts w:ascii="Times New Roman" w:eastAsia="Times New Roman" w:hAnsi="Times New Roman" w:cs="Times New Roman"/>
          <w:sz w:val="24"/>
          <w:szCs w:val="24"/>
        </w:rPr>
        <w:t xml:space="preserve"> in genomic testing and patient registries are supporting rapid diagnostic deployment.</w:t>
      </w:r>
    </w:p>
    <w:p w:rsidR="00CC30B9" w:rsidRPr="00CC30B9" w:rsidRDefault="00CC30B9" w:rsidP="00CC30B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The UK’s </w:t>
      </w:r>
      <w:r w:rsidRPr="00CC30B9">
        <w:rPr>
          <w:rFonts w:ascii="Times New Roman" w:eastAsia="Times New Roman" w:hAnsi="Times New Roman" w:cs="Times New Roman"/>
          <w:b/>
          <w:bCs/>
          <w:sz w:val="24"/>
          <w:szCs w:val="24"/>
        </w:rPr>
        <w:t>Genomic Medicine Service (GMS)</w:t>
      </w:r>
      <w:r w:rsidRPr="00CC30B9">
        <w:rPr>
          <w:rFonts w:ascii="Times New Roman" w:eastAsia="Times New Roman" w:hAnsi="Times New Roman" w:cs="Times New Roman"/>
          <w:sz w:val="24"/>
          <w:szCs w:val="24"/>
        </w:rPr>
        <w:t xml:space="preserve"> is helping mainstream NTRK testing, particularly for rare pediatric cancers.</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Still, fragmentation in national reimbursement and differences in lab capacity across regions hinder uniform access.</w: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Segoe UI Symbol" w:eastAsia="Times New Roman" w:hAnsi="Segoe UI Symbol" w:cs="Segoe UI Symbol"/>
          <w:b/>
          <w:bCs/>
          <w:sz w:val="24"/>
          <w:szCs w:val="24"/>
        </w:rPr>
        <w:t>🌏</w:t>
      </w:r>
      <w:r w:rsidRPr="00CC30B9">
        <w:rPr>
          <w:rFonts w:ascii="Times New Roman" w:eastAsia="Times New Roman" w:hAnsi="Times New Roman" w:cs="Times New Roman"/>
          <w:b/>
          <w:bCs/>
          <w:sz w:val="24"/>
          <w:szCs w:val="24"/>
        </w:rPr>
        <w:t xml:space="preserve"> Asia Pacific</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Asia Pacific is the </w:t>
      </w:r>
      <w:r w:rsidRPr="00CC30B9">
        <w:rPr>
          <w:rFonts w:ascii="Times New Roman" w:eastAsia="Times New Roman" w:hAnsi="Times New Roman" w:cs="Times New Roman"/>
          <w:b/>
          <w:bCs/>
          <w:sz w:val="24"/>
          <w:szCs w:val="24"/>
        </w:rPr>
        <w:t>fastest-growing region</w:t>
      </w:r>
      <w:r w:rsidRPr="00CC30B9">
        <w:rPr>
          <w:rFonts w:ascii="Times New Roman" w:eastAsia="Times New Roman" w:hAnsi="Times New Roman" w:cs="Times New Roman"/>
          <w:sz w:val="24"/>
          <w:szCs w:val="24"/>
        </w:rPr>
        <w:t xml:space="preserve">, forecasted to grow at a CAGR of </w:t>
      </w:r>
      <w:r w:rsidRPr="00CC30B9">
        <w:rPr>
          <w:rFonts w:ascii="Times New Roman" w:eastAsia="Times New Roman" w:hAnsi="Times New Roman" w:cs="Times New Roman"/>
          <w:b/>
          <w:bCs/>
          <w:sz w:val="24"/>
          <w:szCs w:val="24"/>
        </w:rPr>
        <w:t>15.6%</w:t>
      </w:r>
      <w:r w:rsidRPr="00CC30B9">
        <w:rPr>
          <w:rFonts w:ascii="Times New Roman" w:eastAsia="Times New Roman" w:hAnsi="Times New Roman" w:cs="Times New Roman"/>
          <w:sz w:val="24"/>
          <w:szCs w:val="24"/>
        </w:rPr>
        <w:t xml:space="preserve"> from 2024 to 2030. Contributing factors include:</w:t>
      </w:r>
    </w:p>
    <w:p w:rsidR="00CC30B9" w:rsidRPr="00CC30B9" w:rsidRDefault="00CC30B9" w:rsidP="00CC30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Rapid adoption of </w:t>
      </w:r>
      <w:r w:rsidRPr="00CC30B9">
        <w:rPr>
          <w:rFonts w:ascii="Times New Roman" w:eastAsia="Times New Roman" w:hAnsi="Times New Roman" w:cs="Times New Roman"/>
          <w:b/>
          <w:bCs/>
          <w:sz w:val="24"/>
          <w:szCs w:val="24"/>
        </w:rPr>
        <w:t>comprehensive genomic profiling</w:t>
      </w:r>
      <w:r w:rsidRPr="00CC30B9">
        <w:rPr>
          <w:rFonts w:ascii="Times New Roman" w:eastAsia="Times New Roman" w:hAnsi="Times New Roman" w:cs="Times New Roman"/>
          <w:sz w:val="24"/>
          <w:szCs w:val="24"/>
        </w:rPr>
        <w:t xml:space="preserve"> in China, South Korea, and Japan</w:t>
      </w:r>
    </w:p>
    <w:p w:rsidR="00CC30B9" w:rsidRPr="00CC30B9" w:rsidRDefault="00CC30B9" w:rsidP="00CC30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Expansion of </w:t>
      </w:r>
      <w:r w:rsidRPr="00CC30B9">
        <w:rPr>
          <w:rFonts w:ascii="Times New Roman" w:eastAsia="Times New Roman" w:hAnsi="Times New Roman" w:cs="Times New Roman"/>
          <w:b/>
          <w:bCs/>
          <w:sz w:val="24"/>
          <w:szCs w:val="24"/>
        </w:rPr>
        <w:t>NGS reimbursement schemes</w:t>
      </w:r>
      <w:r w:rsidRPr="00CC30B9">
        <w:rPr>
          <w:rFonts w:ascii="Times New Roman" w:eastAsia="Times New Roman" w:hAnsi="Times New Roman" w:cs="Times New Roman"/>
          <w:sz w:val="24"/>
          <w:szCs w:val="24"/>
        </w:rPr>
        <w:t>, especially under Japan’s National Health Insurance</w:t>
      </w:r>
    </w:p>
    <w:p w:rsidR="00CC30B9" w:rsidRPr="00CC30B9" w:rsidRDefault="00CC30B9" w:rsidP="00CC30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lastRenderedPageBreak/>
        <w:t>Emergence of local biotech companies and cross-border collaborations to develop TRK inhibitors for Asian populations</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In South Korea, initiatives like the </w:t>
      </w:r>
      <w:r w:rsidRPr="00CC30B9">
        <w:rPr>
          <w:rFonts w:ascii="Times New Roman" w:eastAsia="Times New Roman" w:hAnsi="Times New Roman" w:cs="Times New Roman"/>
          <w:b/>
          <w:bCs/>
          <w:sz w:val="24"/>
          <w:szCs w:val="24"/>
        </w:rPr>
        <w:t>Korean Cancer Precision Medicine Diagnosis and Treatment Enterprise</w:t>
      </w:r>
      <w:r w:rsidRPr="00CC30B9">
        <w:rPr>
          <w:rFonts w:ascii="Times New Roman" w:eastAsia="Times New Roman" w:hAnsi="Times New Roman" w:cs="Times New Roman"/>
          <w:sz w:val="24"/>
          <w:szCs w:val="24"/>
        </w:rPr>
        <w:t xml:space="preserve"> are propelling tumor-agnostic drug integration in tertiary hospitals. China is also increasing access through volume-based procurement models for rare disease drugs.</w: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Segoe UI Symbol" w:eastAsia="Times New Roman" w:hAnsi="Segoe UI Symbol" w:cs="Segoe UI Symbol"/>
          <w:b/>
          <w:bCs/>
          <w:sz w:val="24"/>
          <w:szCs w:val="24"/>
        </w:rPr>
        <w:t>🌎</w:t>
      </w:r>
      <w:r w:rsidRPr="00CC30B9">
        <w:rPr>
          <w:rFonts w:ascii="Times New Roman" w:eastAsia="Times New Roman" w:hAnsi="Times New Roman" w:cs="Times New Roman"/>
          <w:b/>
          <w:bCs/>
          <w:sz w:val="24"/>
          <w:szCs w:val="24"/>
        </w:rPr>
        <w:t xml:space="preserve"> Latin America</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This region is </w:t>
      </w:r>
      <w:r w:rsidRPr="00CC30B9">
        <w:rPr>
          <w:rFonts w:ascii="Times New Roman" w:eastAsia="Times New Roman" w:hAnsi="Times New Roman" w:cs="Times New Roman"/>
          <w:b/>
          <w:bCs/>
          <w:sz w:val="24"/>
          <w:szCs w:val="24"/>
        </w:rPr>
        <w:t>moderately underpenetrated</w:t>
      </w:r>
      <w:r w:rsidRPr="00CC30B9">
        <w:rPr>
          <w:rFonts w:ascii="Times New Roman" w:eastAsia="Times New Roman" w:hAnsi="Times New Roman" w:cs="Times New Roman"/>
          <w:sz w:val="24"/>
          <w:szCs w:val="24"/>
        </w:rPr>
        <w:t xml:space="preserve">, with limited access to NGS diagnostics and high-cost biomarker therapies. However, </w:t>
      </w:r>
      <w:r w:rsidRPr="00CC30B9">
        <w:rPr>
          <w:rFonts w:ascii="Times New Roman" w:eastAsia="Times New Roman" w:hAnsi="Times New Roman" w:cs="Times New Roman"/>
          <w:b/>
          <w:bCs/>
          <w:sz w:val="24"/>
          <w:szCs w:val="24"/>
        </w:rPr>
        <w:t>Brazil and Mexico</w:t>
      </w:r>
      <w:r w:rsidRPr="00CC30B9">
        <w:rPr>
          <w:rFonts w:ascii="Times New Roman" w:eastAsia="Times New Roman" w:hAnsi="Times New Roman" w:cs="Times New Roman"/>
          <w:sz w:val="24"/>
          <w:szCs w:val="24"/>
        </w:rPr>
        <w:t xml:space="preserve"> are investing in national cancer registries and diagnostic reference labs. The main challenge remains </w:t>
      </w:r>
      <w:r w:rsidRPr="00CC30B9">
        <w:rPr>
          <w:rFonts w:ascii="Times New Roman" w:eastAsia="Times New Roman" w:hAnsi="Times New Roman" w:cs="Times New Roman"/>
          <w:b/>
          <w:bCs/>
          <w:sz w:val="24"/>
          <w:szCs w:val="24"/>
        </w:rPr>
        <w:t>drug affordability and fragmented health insurance coverage</w:t>
      </w:r>
      <w:r w:rsidRPr="00CC30B9">
        <w:rPr>
          <w:rFonts w:ascii="Times New Roman" w:eastAsia="Times New Roman" w:hAnsi="Times New Roman" w:cs="Times New Roman"/>
          <w:sz w:val="24"/>
          <w:szCs w:val="24"/>
        </w:rPr>
        <w:t>.</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Efforts by patient advocacy organizations are helping secure </w:t>
      </w:r>
      <w:r w:rsidRPr="00CC30B9">
        <w:rPr>
          <w:rFonts w:ascii="Times New Roman" w:eastAsia="Times New Roman" w:hAnsi="Times New Roman" w:cs="Times New Roman"/>
          <w:b/>
          <w:bCs/>
          <w:sz w:val="24"/>
          <w:szCs w:val="24"/>
        </w:rPr>
        <w:t>compassionate access programs</w:t>
      </w:r>
      <w:r w:rsidRPr="00CC30B9">
        <w:rPr>
          <w:rFonts w:ascii="Times New Roman" w:eastAsia="Times New Roman" w:hAnsi="Times New Roman" w:cs="Times New Roman"/>
          <w:sz w:val="24"/>
          <w:szCs w:val="24"/>
        </w:rPr>
        <w:t xml:space="preserve"> and early trial enrollment in academic centers.</w: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Segoe UI Symbol" w:eastAsia="Times New Roman" w:hAnsi="Segoe UI Symbol" w:cs="Segoe UI Symbol"/>
          <w:b/>
          <w:bCs/>
          <w:sz w:val="24"/>
          <w:szCs w:val="24"/>
        </w:rPr>
        <w:t>🌍</w:t>
      </w:r>
      <w:r w:rsidRPr="00CC30B9">
        <w:rPr>
          <w:rFonts w:ascii="Times New Roman" w:eastAsia="Times New Roman" w:hAnsi="Times New Roman" w:cs="Times New Roman"/>
          <w:b/>
          <w:bCs/>
          <w:sz w:val="24"/>
          <w:szCs w:val="24"/>
        </w:rPr>
        <w:t xml:space="preserve"> Middle East &amp; Africa (MEA)</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The MEA region represents a </w:t>
      </w:r>
      <w:r w:rsidRPr="00CC30B9">
        <w:rPr>
          <w:rFonts w:ascii="Times New Roman" w:eastAsia="Times New Roman" w:hAnsi="Times New Roman" w:cs="Times New Roman"/>
          <w:b/>
          <w:bCs/>
          <w:sz w:val="24"/>
          <w:szCs w:val="24"/>
        </w:rPr>
        <w:t>nascent but promising opportunity zone</w:t>
      </w:r>
      <w:r w:rsidRPr="00CC30B9">
        <w:rPr>
          <w:rFonts w:ascii="Times New Roman" w:eastAsia="Times New Roman" w:hAnsi="Times New Roman" w:cs="Times New Roman"/>
          <w:sz w:val="24"/>
          <w:szCs w:val="24"/>
        </w:rPr>
        <w:t xml:space="preserve">, particularly in countries like the </w:t>
      </w:r>
      <w:r w:rsidRPr="00CC30B9">
        <w:rPr>
          <w:rFonts w:ascii="Times New Roman" w:eastAsia="Times New Roman" w:hAnsi="Times New Roman" w:cs="Times New Roman"/>
          <w:b/>
          <w:bCs/>
          <w:sz w:val="24"/>
          <w:szCs w:val="24"/>
        </w:rPr>
        <w:t>UAE, Israel, and South Africa</w:t>
      </w:r>
      <w:r w:rsidRPr="00CC30B9">
        <w:rPr>
          <w:rFonts w:ascii="Times New Roman" w:eastAsia="Times New Roman" w:hAnsi="Times New Roman" w:cs="Times New Roman"/>
          <w:sz w:val="24"/>
          <w:szCs w:val="24"/>
        </w:rPr>
        <w:t xml:space="preserve">. While access to NTRK testing is low across most of Sub-Saharan Africa, investment in </w:t>
      </w:r>
      <w:r w:rsidRPr="00CC30B9">
        <w:rPr>
          <w:rFonts w:ascii="Times New Roman" w:eastAsia="Times New Roman" w:hAnsi="Times New Roman" w:cs="Times New Roman"/>
          <w:b/>
          <w:bCs/>
          <w:sz w:val="24"/>
          <w:szCs w:val="24"/>
        </w:rPr>
        <w:t>genomic medicine hubs</w:t>
      </w:r>
      <w:r w:rsidRPr="00CC30B9">
        <w:rPr>
          <w:rFonts w:ascii="Times New Roman" w:eastAsia="Times New Roman" w:hAnsi="Times New Roman" w:cs="Times New Roman"/>
          <w:sz w:val="24"/>
          <w:szCs w:val="24"/>
        </w:rPr>
        <w:t xml:space="preserve"> and global oncology consortiums is gradually improving availability.</w:t>
      </w:r>
    </w:p>
    <w:p w:rsidR="00CC30B9" w:rsidRPr="00CC30B9" w:rsidRDefault="00CC30B9" w:rsidP="00CC30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In Israel, advanced cancer centers are leveraging </w:t>
      </w:r>
      <w:r w:rsidRPr="00CC30B9">
        <w:rPr>
          <w:rFonts w:ascii="Times New Roman" w:eastAsia="Times New Roman" w:hAnsi="Times New Roman" w:cs="Times New Roman"/>
          <w:b/>
          <w:bCs/>
          <w:sz w:val="24"/>
          <w:szCs w:val="24"/>
        </w:rPr>
        <w:t>integrated clinical-genomic workflows</w:t>
      </w:r>
      <w:r w:rsidRPr="00CC30B9">
        <w:rPr>
          <w:rFonts w:ascii="Times New Roman" w:eastAsia="Times New Roman" w:hAnsi="Times New Roman" w:cs="Times New Roman"/>
          <w:sz w:val="24"/>
          <w:szCs w:val="24"/>
        </w:rPr>
        <w:t xml:space="preserve"> to detect rare fusions.</w:t>
      </w:r>
    </w:p>
    <w:p w:rsidR="00CC30B9" w:rsidRPr="00CC30B9" w:rsidRDefault="00CC30B9" w:rsidP="00CC30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The UAE’s </w:t>
      </w:r>
      <w:r w:rsidRPr="00CC30B9">
        <w:rPr>
          <w:rFonts w:ascii="Times New Roman" w:eastAsia="Times New Roman" w:hAnsi="Times New Roman" w:cs="Times New Roman"/>
          <w:b/>
          <w:bCs/>
          <w:sz w:val="24"/>
          <w:szCs w:val="24"/>
        </w:rPr>
        <w:t>national rare diseases strategy</w:t>
      </w:r>
      <w:r w:rsidRPr="00CC30B9">
        <w:rPr>
          <w:rFonts w:ascii="Times New Roman" w:eastAsia="Times New Roman" w:hAnsi="Times New Roman" w:cs="Times New Roman"/>
          <w:sz w:val="24"/>
          <w:szCs w:val="24"/>
        </w:rPr>
        <w:t xml:space="preserve"> includes support for genomic diagnostics and targeted therapies.</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i/>
          <w:iCs/>
          <w:sz w:val="24"/>
          <w:szCs w:val="24"/>
        </w:rPr>
        <w:t>“The regional growth of this market will largely hinge on the availability of genomic testing, policy-driven reimbursement, and health system digital maturity,”</w:t>
      </w:r>
      <w:r w:rsidRPr="00CC30B9">
        <w:rPr>
          <w:rFonts w:ascii="Times New Roman" w:eastAsia="Times New Roman" w:hAnsi="Times New Roman" w:cs="Times New Roman"/>
          <w:sz w:val="24"/>
          <w:szCs w:val="24"/>
        </w:rPr>
        <w:t xml:space="preserve"> notes a regional oncology policy expert from WHO.</w:t>
      </w:r>
    </w:p>
    <w:p w:rsidR="00CC30B9" w:rsidRPr="00CC30B9" w:rsidRDefault="00CC30B9" w:rsidP="00CC30B9">
      <w:pPr>
        <w:spacing w:before="100" w:beforeAutospacing="1" w:after="100" w:afterAutospacing="1" w:line="240" w:lineRule="auto"/>
        <w:outlineLvl w:val="2"/>
        <w:rPr>
          <w:rFonts w:ascii="Times New Roman" w:eastAsia="Times New Roman" w:hAnsi="Times New Roman" w:cs="Times New Roman"/>
          <w:b/>
          <w:bCs/>
          <w:sz w:val="27"/>
          <w:szCs w:val="27"/>
        </w:rPr>
      </w:pPr>
      <w:r w:rsidRPr="00CC30B9">
        <w:rPr>
          <w:rFonts w:ascii="Times New Roman" w:eastAsia="Times New Roman" w:hAnsi="Times New Roman" w:cs="Times New Roman"/>
          <w:b/>
          <w:bCs/>
          <w:sz w:val="27"/>
          <w:szCs w:val="27"/>
        </w:rPr>
        <w:t>6. End-User Dynamics and Use Case</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The </w:t>
      </w:r>
      <w:r w:rsidRPr="00CC30B9">
        <w:rPr>
          <w:rFonts w:ascii="Times New Roman" w:eastAsia="Times New Roman" w:hAnsi="Times New Roman" w:cs="Times New Roman"/>
          <w:b/>
          <w:bCs/>
          <w:sz w:val="24"/>
          <w:szCs w:val="24"/>
        </w:rPr>
        <w:t>end-user landscape of the NTRK fusion gene positive advanced solid tumor market</w:t>
      </w:r>
      <w:r w:rsidRPr="00CC30B9">
        <w:rPr>
          <w:rFonts w:ascii="Times New Roman" w:eastAsia="Times New Roman" w:hAnsi="Times New Roman" w:cs="Times New Roman"/>
          <w:sz w:val="24"/>
          <w:szCs w:val="24"/>
        </w:rPr>
        <w:t xml:space="preserve"> spans a diverse range of healthcare institutions, from high-volume academic research centers to precision-driven specialty oncology clinics. The adoption of NTRK-targeted therapies and companion diagnostics is highly dependent on the genomic maturity of each institution and its integration with clinical decision-making protocols.</w: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Segoe UI Symbol" w:eastAsia="Times New Roman" w:hAnsi="Segoe UI Symbol" w:cs="Segoe UI Symbol"/>
          <w:b/>
          <w:bCs/>
          <w:sz w:val="24"/>
          <w:szCs w:val="24"/>
        </w:rPr>
        <w:t>🏥</w:t>
      </w:r>
      <w:r w:rsidRPr="00CC30B9">
        <w:rPr>
          <w:rFonts w:ascii="Times New Roman" w:eastAsia="Times New Roman" w:hAnsi="Times New Roman" w:cs="Times New Roman"/>
          <w:b/>
          <w:bCs/>
          <w:sz w:val="24"/>
          <w:szCs w:val="24"/>
        </w:rPr>
        <w:t xml:space="preserve"> Key End-User Segments:</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lastRenderedPageBreak/>
        <w:t>1. Academic Research Institutions</w:t>
      </w:r>
      <w:r w:rsidRPr="00CC30B9">
        <w:rPr>
          <w:rFonts w:ascii="Times New Roman" w:eastAsia="Times New Roman" w:hAnsi="Times New Roman" w:cs="Times New Roman"/>
          <w:sz w:val="24"/>
          <w:szCs w:val="24"/>
        </w:rPr>
        <w:br/>
        <w:t xml:space="preserve">These centers are often the </w:t>
      </w:r>
      <w:r w:rsidRPr="00CC30B9">
        <w:rPr>
          <w:rFonts w:ascii="Times New Roman" w:eastAsia="Times New Roman" w:hAnsi="Times New Roman" w:cs="Times New Roman"/>
          <w:b/>
          <w:bCs/>
          <w:sz w:val="24"/>
          <w:szCs w:val="24"/>
        </w:rPr>
        <w:t>first adopters</w:t>
      </w:r>
      <w:r w:rsidRPr="00CC30B9">
        <w:rPr>
          <w:rFonts w:ascii="Times New Roman" w:eastAsia="Times New Roman" w:hAnsi="Times New Roman" w:cs="Times New Roman"/>
          <w:sz w:val="24"/>
          <w:szCs w:val="24"/>
        </w:rPr>
        <w:t xml:space="preserve"> of TRK inhibitors and advanced fusion testing protocols. They house multidisciplinary molecular tumor boards and have direct access to clinical trials. Academic hospitals also collaborate closely with pharmaceutical firms for </w:t>
      </w:r>
      <w:r w:rsidRPr="00CC30B9">
        <w:rPr>
          <w:rFonts w:ascii="Times New Roman" w:eastAsia="Times New Roman" w:hAnsi="Times New Roman" w:cs="Times New Roman"/>
          <w:b/>
          <w:bCs/>
          <w:sz w:val="24"/>
          <w:szCs w:val="24"/>
        </w:rPr>
        <w:t>early-phase trials and biomarker validation studies</w:t>
      </w:r>
      <w:r w:rsidRPr="00CC30B9">
        <w:rPr>
          <w:rFonts w:ascii="Times New Roman" w:eastAsia="Times New Roman" w:hAnsi="Times New Roman" w:cs="Times New Roman"/>
          <w:sz w:val="24"/>
          <w:szCs w:val="24"/>
        </w:rPr>
        <w:t>.</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i/>
          <w:iCs/>
          <w:sz w:val="24"/>
          <w:szCs w:val="24"/>
        </w:rPr>
        <w:t>“For rare mutations like NTRK, we rely heavily on real-time sequencing and biobank integration, both of which are standard in academic settings,”</w:t>
      </w:r>
      <w:r w:rsidRPr="00CC30B9">
        <w:rPr>
          <w:rFonts w:ascii="Times New Roman" w:eastAsia="Times New Roman" w:hAnsi="Times New Roman" w:cs="Times New Roman"/>
          <w:sz w:val="24"/>
          <w:szCs w:val="24"/>
        </w:rPr>
        <w:t xml:space="preserve"> notes a clinical research director at Dana-Farber Cancer Institute.</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2. Specialty Oncology Clinics</w:t>
      </w:r>
      <w:r w:rsidRPr="00CC30B9">
        <w:rPr>
          <w:rFonts w:ascii="Times New Roman" w:eastAsia="Times New Roman" w:hAnsi="Times New Roman" w:cs="Times New Roman"/>
          <w:sz w:val="24"/>
          <w:szCs w:val="24"/>
        </w:rPr>
        <w:br/>
        <w:t xml:space="preserve">These clinics are quickly becoming </w:t>
      </w:r>
      <w:r w:rsidRPr="00CC30B9">
        <w:rPr>
          <w:rFonts w:ascii="Times New Roman" w:eastAsia="Times New Roman" w:hAnsi="Times New Roman" w:cs="Times New Roman"/>
          <w:b/>
          <w:bCs/>
          <w:sz w:val="24"/>
          <w:szCs w:val="24"/>
        </w:rPr>
        <w:t>growth drivers</w:t>
      </w:r>
      <w:r w:rsidRPr="00CC30B9">
        <w:rPr>
          <w:rFonts w:ascii="Times New Roman" w:eastAsia="Times New Roman" w:hAnsi="Times New Roman" w:cs="Times New Roman"/>
          <w:sz w:val="24"/>
          <w:szCs w:val="24"/>
        </w:rPr>
        <w:t xml:space="preserve"> for TRK therapies, particularly in developed markets like the U.S., Germany, and Japan. Equipped with </w:t>
      </w:r>
      <w:r w:rsidRPr="00CC30B9">
        <w:rPr>
          <w:rFonts w:ascii="Times New Roman" w:eastAsia="Times New Roman" w:hAnsi="Times New Roman" w:cs="Times New Roman"/>
          <w:b/>
          <w:bCs/>
          <w:sz w:val="24"/>
          <w:szCs w:val="24"/>
        </w:rPr>
        <w:t>oncology-specific electronic health records (EHRs)</w:t>
      </w:r>
      <w:r w:rsidRPr="00CC30B9">
        <w:rPr>
          <w:rFonts w:ascii="Times New Roman" w:eastAsia="Times New Roman" w:hAnsi="Times New Roman" w:cs="Times New Roman"/>
          <w:sz w:val="24"/>
          <w:szCs w:val="24"/>
        </w:rPr>
        <w:t xml:space="preserve"> and integrated genomic reporting, these institutions benefit from rapid patient triage and targeted treatment deployment.</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3. General Hospitals</w:t>
      </w:r>
      <w:r w:rsidRPr="00CC30B9">
        <w:rPr>
          <w:rFonts w:ascii="Times New Roman" w:eastAsia="Times New Roman" w:hAnsi="Times New Roman" w:cs="Times New Roman"/>
          <w:sz w:val="24"/>
          <w:szCs w:val="24"/>
        </w:rPr>
        <w:br/>
        <w:t xml:space="preserve">While general hospitals treat a wide variety of cancer cases, </w:t>
      </w:r>
      <w:r w:rsidRPr="00CC30B9">
        <w:rPr>
          <w:rFonts w:ascii="Times New Roman" w:eastAsia="Times New Roman" w:hAnsi="Times New Roman" w:cs="Times New Roman"/>
          <w:b/>
          <w:bCs/>
          <w:sz w:val="24"/>
          <w:szCs w:val="24"/>
        </w:rPr>
        <w:t>limited access to in-house genomic testing</w:t>
      </w:r>
      <w:r w:rsidRPr="00CC30B9">
        <w:rPr>
          <w:rFonts w:ascii="Times New Roman" w:eastAsia="Times New Roman" w:hAnsi="Times New Roman" w:cs="Times New Roman"/>
          <w:sz w:val="24"/>
          <w:szCs w:val="24"/>
        </w:rPr>
        <w:t xml:space="preserve"> can delay the identification of NTRK fusion-positive patients. However, increasing availability of third-party testing partnerships (e.g., Foundation Medicine, </w:t>
      </w:r>
      <w:proofErr w:type="spellStart"/>
      <w:r w:rsidRPr="00CC30B9">
        <w:rPr>
          <w:rFonts w:ascii="Times New Roman" w:eastAsia="Times New Roman" w:hAnsi="Times New Roman" w:cs="Times New Roman"/>
          <w:sz w:val="24"/>
          <w:szCs w:val="24"/>
        </w:rPr>
        <w:t>Caris</w:t>
      </w:r>
      <w:proofErr w:type="spellEnd"/>
      <w:r w:rsidRPr="00CC30B9">
        <w:rPr>
          <w:rFonts w:ascii="Times New Roman" w:eastAsia="Times New Roman" w:hAnsi="Times New Roman" w:cs="Times New Roman"/>
          <w:sz w:val="24"/>
          <w:szCs w:val="24"/>
        </w:rPr>
        <w:t xml:space="preserve"> Life Sciences) is helping general hospitals participate more actively.</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4. Diagnostic Laboratories</w:t>
      </w:r>
      <w:r w:rsidRPr="00CC30B9">
        <w:rPr>
          <w:rFonts w:ascii="Times New Roman" w:eastAsia="Times New Roman" w:hAnsi="Times New Roman" w:cs="Times New Roman"/>
          <w:sz w:val="24"/>
          <w:szCs w:val="24"/>
        </w:rPr>
        <w:br/>
        <w:t xml:space="preserve">Third-party labs and genomic service providers are key enablers of this market. Many use </w:t>
      </w:r>
      <w:r w:rsidRPr="00CC30B9">
        <w:rPr>
          <w:rFonts w:ascii="Times New Roman" w:eastAsia="Times New Roman" w:hAnsi="Times New Roman" w:cs="Times New Roman"/>
          <w:b/>
          <w:bCs/>
          <w:sz w:val="24"/>
          <w:szCs w:val="24"/>
        </w:rPr>
        <w:t>centralized NGS panels</w:t>
      </w:r>
      <w:r w:rsidRPr="00CC30B9">
        <w:rPr>
          <w:rFonts w:ascii="Times New Roman" w:eastAsia="Times New Roman" w:hAnsi="Times New Roman" w:cs="Times New Roman"/>
          <w:sz w:val="24"/>
          <w:szCs w:val="24"/>
        </w:rPr>
        <w:t xml:space="preserve"> capable of detecting over 300 gene fusions, often supported by AI-based variant calling. They partner with hospitals and biopharma companies for </w:t>
      </w:r>
      <w:r w:rsidRPr="00CC30B9">
        <w:rPr>
          <w:rFonts w:ascii="Times New Roman" w:eastAsia="Times New Roman" w:hAnsi="Times New Roman" w:cs="Times New Roman"/>
          <w:b/>
          <w:bCs/>
          <w:sz w:val="24"/>
          <w:szCs w:val="24"/>
        </w:rPr>
        <w:t>companion diagnostics and patient screening support</w:t>
      </w:r>
      <w:r w:rsidRPr="00CC30B9">
        <w:rPr>
          <w:rFonts w:ascii="Times New Roman" w:eastAsia="Times New Roman" w:hAnsi="Times New Roman" w:cs="Times New Roman"/>
          <w:sz w:val="24"/>
          <w:szCs w:val="24"/>
        </w:rPr>
        <w:t>.</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CC30B9" w:rsidRPr="00CC30B9" w:rsidRDefault="00CC30B9" w:rsidP="00CC30B9">
      <w:pPr>
        <w:spacing w:before="100" w:beforeAutospacing="1" w:after="100" w:afterAutospacing="1" w:line="240" w:lineRule="auto"/>
        <w:outlineLvl w:val="2"/>
        <w:rPr>
          <w:rFonts w:ascii="Times New Roman" w:eastAsia="Times New Roman" w:hAnsi="Times New Roman" w:cs="Times New Roman"/>
          <w:b/>
          <w:bCs/>
          <w:sz w:val="27"/>
          <w:szCs w:val="27"/>
        </w:rPr>
      </w:pPr>
      <w:r w:rsidRPr="00CC30B9">
        <w:rPr>
          <w:rFonts w:ascii="Times New Roman" w:eastAsia="Times New Roman" w:hAnsi="Times New Roman" w:cs="Times New Roman"/>
          <w:b/>
          <w:bCs/>
          <w:sz w:val="27"/>
          <w:szCs w:val="27"/>
        </w:rPr>
        <w:t>🧪 Real-World Use Case:</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i/>
          <w:iCs/>
          <w:sz w:val="24"/>
          <w:szCs w:val="24"/>
        </w:rPr>
        <w:t>A tertiary hospital in South Korea—part of the Korean Cancer Precision Medicine Enterprise (K-MASTER)—adopted an NGS panel for all advanced-stage solid tumor patients in 2023. Among a cohort of 800 patients, 6 were identified with NTRK fusions across diverse tumor types (colorectal, pancreatic, sarcoma). These patients were initiated on TRK inhibitor therapy within 2 weeks of diagnosis. Clinical follow-ups at 8 months revealed 4 partial responses and 2 stable disease outcomes, with no severe grade 3 or 4 adverse events reported. The hospital integrated the outcomes into its national cancer data registry and now recommends reflex testing for NTRK in all high-grade undifferentiated tumors.</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This case reflects how </w:t>
      </w:r>
      <w:r w:rsidRPr="00CC30B9">
        <w:rPr>
          <w:rFonts w:ascii="Times New Roman" w:eastAsia="Times New Roman" w:hAnsi="Times New Roman" w:cs="Times New Roman"/>
          <w:b/>
          <w:bCs/>
          <w:sz w:val="24"/>
          <w:szCs w:val="24"/>
        </w:rPr>
        <w:t>standardizing genomic testing in frontline oncology</w:t>
      </w:r>
      <w:r w:rsidRPr="00CC30B9">
        <w:rPr>
          <w:rFonts w:ascii="Times New Roman" w:eastAsia="Times New Roman" w:hAnsi="Times New Roman" w:cs="Times New Roman"/>
          <w:sz w:val="24"/>
          <w:szCs w:val="24"/>
        </w:rPr>
        <w:t xml:space="preserve"> can lead to early identification of rare mutations and targeted therapy deployment—improving both survival and patient experience.</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CC30B9" w:rsidRPr="00CC30B9" w:rsidRDefault="00CC30B9" w:rsidP="00CC30B9">
      <w:pPr>
        <w:spacing w:before="100" w:beforeAutospacing="1" w:after="100" w:afterAutospacing="1" w:line="240" w:lineRule="auto"/>
        <w:outlineLvl w:val="2"/>
        <w:rPr>
          <w:rFonts w:ascii="Times New Roman" w:eastAsia="Times New Roman" w:hAnsi="Times New Roman" w:cs="Times New Roman"/>
          <w:b/>
          <w:bCs/>
          <w:sz w:val="27"/>
          <w:szCs w:val="27"/>
        </w:rPr>
      </w:pPr>
      <w:r w:rsidRPr="00CC30B9">
        <w:rPr>
          <w:rFonts w:ascii="Times New Roman" w:eastAsia="Times New Roman" w:hAnsi="Times New Roman" w:cs="Times New Roman"/>
          <w:b/>
          <w:bCs/>
          <w:sz w:val="27"/>
          <w:szCs w:val="27"/>
        </w:rPr>
        <w:lastRenderedPageBreak/>
        <w:t>7. Recent Developments + Opportunities &amp; Restraints</w: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Segoe UI Symbol" w:eastAsia="Times New Roman" w:hAnsi="Segoe UI Symbol" w:cs="Segoe UI Symbol"/>
          <w:b/>
          <w:bCs/>
          <w:sz w:val="24"/>
          <w:szCs w:val="24"/>
        </w:rPr>
        <w:t>🆕</w:t>
      </w:r>
      <w:r w:rsidRPr="00CC30B9">
        <w:rPr>
          <w:rFonts w:ascii="Times New Roman" w:eastAsia="Times New Roman" w:hAnsi="Times New Roman" w:cs="Times New Roman"/>
          <w:b/>
          <w:bCs/>
          <w:sz w:val="24"/>
          <w:szCs w:val="24"/>
        </w:rPr>
        <w:t xml:space="preserve"> Recent Developments (Past 2 Years)</w:t>
      </w:r>
    </w:p>
    <w:p w:rsidR="00CC30B9" w:rsidRPr="00CC30B9" w:rsidRDefault="00CC30B9" w:rsidP="00CC30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 xml:space="preserve">FDA Expanded Indication for </w:t>
      </w:r>
      <w:proofErr w:type="spellStart"/>
      <w:r w:rsidRPr="00CC30B9">
        <w:rPr>
          <w:rFonts w:ascii="Times New Roman" w:eastAsia="Times New Roman" w:hAnsi="Times New Roman" w:cs="Times New Roman"/>
          <w:b/>
          <w:bCs/>
          <w:sz w:val="24"/>
          <w:szCs w:val="24"/>
        </w:rPr>
        <w:t>Larotrectinib</w:t>
      </w:r>
      <w:proofErr w:type="spellEnd"/>
      <w:r w:rsidRPr="00CC30B9">
        <w:rPr>
          <w:rFonts w:ascii="Times New Roman" w:eastAsia="Times New Roman" w:hAnsi="Times New Roman" w:cs="Times New Roman"/>
          <w:b/>
          <w:bCs/>
          <w:sz w:val="24"/>
          <w:szCs w:val="24"/>
        </w:rPr>
        <w:t xml:space="preserve"> (2023)</w:t>
      </w:r>
      <w:proofErr w:type="gramStart"/>
      <w:r w:rsidRPr="00CC30B9">
        <w:rPr>
          <w:rFonts w:ascii="Times New Roman" w:eastAsia="Times New Roman" w:hAnsi="Times New Roman" w:cs="Times New Roman"/>
          <w:b/>
          <w:bCs/>
          <w:sz w:val="24"/>
          <w:szCs w:val="24"/>
        </w:rPr>
        <w:t>:</w:t>
      </w:r>
      <w:proofErr w:type="gramEnd"/>
      <w:r w:rsidRPr="00CC30B9">
        <w:rPr>
          <w:rFonts w:ascii="Times New Roman" w:eastAsia="Times New Roman" w:hAnsi="Times New Roman" w:cs="Times New Roman"/>
          <w:sz w:val="24"/>
          <w:szCs w:val="24"/>
        </w:rPr>
        <w:br/>
        <w:t>The U.S. FDA broadened the label for a first-generation TRK inhibitor to include earlier-stage solid tumors with confirmed NTRK fusions, reflecting increasing confidence in tumor-agnostic treatment frameworks.</w:t>
      </w:r>
    </w:p>
    <w:p w:rsidR="00CC30B9" w:rsidRPr="00CC30B9" w:rsidRDefault="00CC30B9" w:rsidP="00CC30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Foundation Medicine Launched Liquid Biopsy Panel with NTRK Focus (2023)</w:t>
      </w:r>
      <w:proofErr w:type="gramStart"/>
      <w:r w:rsidRPr="00CC30B9">
        <w:rPr>
          <w:rFonts w:ascii="Times New Roman" w:eastAsia="Times New Roman" w:hAnsi="Times New Roman" w:cs="Times New Roman"/>
          <w:b/>
          <w:bCs/>
          <w:sz w:val="24"/>
          <w:szCs w:val="24"/>
        </w:rPr>
        <w:t>:</w:t>
      </w:r>
      <w:proofErr w:type="gramEnd"/>
      <w:r w:rsidRPr="00CC30B9">
        <w:rPr>
          <w:rFonts w:ascii="Times New Roman" w:eastAsia="Times New Roman" w:hAnsi="Times New Roman" w:cs="Times New Roman"/>
          <w:sz w:val="24"/>
          <w:szCs w:val="24"/>
        </w:rPr>
        <w:br/>
        <w:t xml:space="preserve">A new </w:t>
      </w:r>
      <w:proofErr w:type="spellStart"/>
      <w:r w:rsidRPr="00CC30B9">
        <w:rPr>
          <w:rFonts w:ascii="Times New Roman" w:eastAsia="Times New Roman" w:hAnsi="Times New Roman" w:cs="Times New Roman"/>
          <w:sz w:val="24"/>
          <w:szCs w:val="24"/>
        </w:rPr>
        <w:t>ctDNA</w:t>
      </w:r>
      <w:proofErr w:type="spellEnd"/>
      <w:r w:rsidRPr="00CC30B9">
        <w:rPr>
          <w:rFonts w:ascii="Times New Roman" w:eastAsia="Times New Roman" w:hAnsi="Times New Roman" w:cs="Times New Roman"/>
          <w:sz w:val="24"/>
          <w:szCs w:val="24"/>
        </w:rPr>
        <w:t>-based test capable of detecting multiple fusion genes, including NTRK1/2/3, received CLIA certification, enhancing non-invasive diagnostics for community oncology settings.</w:t>
      </w:r>
      <w:r w:rsidRPr="00CC30B9">
        <w:rPr>
          <w:rFonts w:ascii="Times New Roman" w:eastAsia="Times New Roman" w:hAnsi="Times New Roman" w:cs="Times New Roman"/>
          <w:sz w:val="24"/>
          <w:szCs w:val="24"/>
        </w:rPr>
        <w:br/>
      </w:r>
      <w:hyperlink r:id="rId5" w:history="1">
        <w:r w:rsidR="00461596" w:rsidRPr="007052F6">
          <w:rPr>
            <w:rStyle w:val="Hyperlink"/>
            <w:rFonts w:ascii="Times New Roman" w:eastAsia="Times New Roman" w:hAnsi="Times New Roman" w:cs="Times New Roman"/>
            <w:sz w:val="24"/>
            <w:szCs w:val="24"/>
          </w:rPr>
          <w:t>https://www.foundationmedicine.com/press-releases</w:t>
        </w:r>
      </w:hyperlink>
      <w:r w:rsidR="00461596">
        <w:rPr>
          <w:rFonts w:ascii="Times New Roman" w:eastAsia="Times New Roman" w:hAnsi="Times New Roman" w:cs="Times New Roman"/>
          <w:sz w:val="24"/>
          <w:szCs w:val="24"/>
        </w:rPr>
        <w:t xml:space="preserve"> </w:t>
      </w:r>
    </w:p>
    <w:p w:rsidR="00CC30B9" w:rsidRPr="00CC30B9" w:rsidRDefault="00CC30B9" w:rsidP="00CC30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 xml:space="preserve">European Commission Approval of </w:t>
      </w:r>
      <w:proofErr w:type="spellStart"/>
      <w:r w:rsidRPr="00CC30B9">
        <w:rPr>
          <w:rFonts w:ascii="Times New Roman" w:eastAsia="Times New Roman" w:hAnsi="Times New Roman" w:cs="Times New Roman"/>
          <w:b/>
          <w:bCs/>
          <w:sz w:val="24"/>
          <w:szCs w:val="24"/>
        </w:rPr>
        <w:t>Entrectinib</w:t>
      </w:r>
      <w:proofErr w:type="spellEnd"/>
      <w:r w:rsidRPr="00CC30B9">
        <w:rPr>
          <w:rFonts w:ascii="Times New Roman" w:eastAsia="Times New Roman" w:hAnsi="Times New Roman" w:cs="Times New Roman"/>
          <w:b/>
          <w:bCs/>
          <w:sz w:val="24"/>
          <w:szCs w:val="24"/>
        </w:rPr>
        <w:t xml:space="preserve"> for Pediatric Use (2024)</w:t>
      </w:r>
      <w:proofErr w:type="gramStart"/>
      <w:r w:rsidRPr="00CC30B9">
        <w:rPr>
          <w:rFonts w:ascii="Times New Roman" w:eastAsia="Times New Roman" w:hAnsi="Times New Roman" w:cs="Times New Roman"/>
          <w:b/>
          <w:bCs/>
          <w:sz w:val="24"/>
          <w:szCs w:val="24"/>
        </w:rPr>
        <w:t>:</w:t>
      </w:r>
      <w:proofErr w:type="gramEnd"/>
      <w:r w:rsidRPr="00CC30B9">
        <w:rPr>
          <w:rFonts w:ascii="Times New Roman" w:eastAsia="Times New Roman" w:hAnsi="Times New Roman" w:cs="Times New Roman"/>
          <w:sz w:val="24"/>
          <w:szCs w:val="24"/>
        </w:rPr>
        <w:br/>
        <w:t xml:space="preserve">Marking a significant regulatory milestone, </w:t>
      </w:r>
      <w:proofErr w:type="spellStart"/>
      <w:r w:rsidRPr="00CC30B9">
        <w:rPr>
          <w:rFonts w:ascii="Times New Roman" w:eastAsia="Times New Roman" w:hAnsi="Times New Roman" w:cs="Times New Roman"/>
          <w:sz w:val="24"/>
          <w:szCs w:val="24"/>
        </w:rPr>
        <w:t>entrectinib</w:t>
      </w:r>
      <w:proofErr w:type="spellEnd"/>
      <w:r w:rsidRPr="00CC30B9">
        <w:rPr>
          <w:rFonts w:ascii="Times New Roman" w:eastAsia="Times New Roman" w:hAnsi="Times New Roman" w:cs="Times New Roman"/>
          <w:sz w:val="24"/>
          <w:szCs w:val="24"/>
        </w:rPr>
        <w:t xml:space="preserve"> received pediatric approval across EU member states, paving the way for its integration into children’s oncology treatment plans.</w:t>
      </w:r>
      <w:r w:rsidRPr="00CC30B9">
        <w:rPr>
          <w:rFonts w:ascii="Times New Roman" w:eastAsia="Times New Roman" w:hAnsi="Times New Roman" w:cs="Times New Roman"/>
          <w:sz w:val="24"/>
          <w:szCs w:val="24"/>
        </w:rPr>
        <w:br/>
      </w:r>
      <w:hyperlink r:id="rId6" w:tgtFrame="_new" w:history="1">
        <w:r w:rsidRPr="00CC30B9">
          <w:rPr>
            <w:rFonts w:ascii="Times New Roman" w:eastAsia="Times New Roman" w:hAnsi="Times New Roman" w:cs="Times New Roman"/>
            <w:color w:val="0000FF"/>
            <w:sz w:val="24"/>
            <w:szCs w:val="24"/>
            <w:u w:val="single"/>
          </w:rPr>
          <w:t>https://www.ema.europa.eu/en/news</w:t>
        </w:r>
      </w:hyperlink>
    </w:p>
    <w:p w:rsidR="00CC30B9" w:rsidRPr="00CC30B9" w:rsidRDefault="00CC30B9" w:rsidP="00CC30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Takeda Initiated Global Phase II Trials for Second-Gen TRK Inhibitor (2024)</w:t>
      </w:r>
      <w:proofErr w:type="gramStart"/>
      <w:r w:rsidRPr="00CC30B9">
        <w:rPr>
          <w:rFonts w:ascii="Times New Roman" w:eastAsia="Times New Roman" w:hAnsi="Times New Roman" w:cs="Times New Roman"/>
          <w:b/>
          <w:bCs/>
          <w:sz w:val="24"/>
          <w:szCs w:val="24"/>
        </w:rPr>
        <w:t>:</w:t>
      </w:r>
      <w:proofErr w:type="gramEnd"/>
      <w:r w:rsidRPr="00CC30B9">
        <w:rPr>
          <w:rFonts w:ascii="Times New Roman" w:eastAsia="Times New Roman" w:hAnsi="Times New Roman" w:cs="Times New Roman"/>
          <w:sz w:val="24"/>
          <w:szCs w:val="24"/>
        </w:rPr>
        <w:br/>
        <w:t>Targeting resistance mutations, this next-generation therapy is undergoing multi-country trials in patients previously treated with first-line inhibitors.</w:t>
      </w:r>
      <w:r w:rsidRPr="00CC30B9">
        <w:rPr>
          <w:rFonts w:ascii="Times New Roman" w:eastAsia="Times New Roman" w:hAnsi="Times New Roman" w:cs="Times New Roman"/>
          <w:sz w:val="24"/>
          <w:szCs w:val="24"/>
        </w:rPr>
        <w:br/>
      </w:r>
      <w:hyperlink r:id="rId7" w:history="1">
        <w:r w:rsidR="00461596" w:rsidRPr="007052F6">
          <w:rPr>
            <w:rStyle w:val="Hyperlink"/>
            <w:rFonts w:ascii="Times New Roman" w:eastAsia="Times New Roman" w:hAnsi="Times New Roman" w:cs="Times New Roman"/>
            <w:sz w:val="24"/>
            <w:szCs w:val="24"/>
          </w:rPr>
          <w:t>https://www.takeda.com/newsroom/newsreleases</w:t>
        </w:r>
      </w:hyperlink>
      <w:r w:rsidR="00461596">
        <w:rPr>
          <w:rFonts w:ascii="Times New Roman" w:eastAsia="Times New Roman" w:hAnsi="Times New Roman" w:cs="Times New Roman"/>
          <w:sz w:val="24"/>
          <w:szCs w:val="24"/>
        </w:rPr>
        <w:t xml:space="preserve"> </w:t>
      </w:r>
    </w:p>
    <w:p w:rsidR="00CC30B9" w:rsidRPr="00CC30B9" w:rsidRDefault="00CC30B9" w:rsidP="00CC30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Collaboration Between Roche and Tempus AI for Data-Driven Fusion Detection (2023)</w:t>
      </w:r>
      <w:proofErr w:type="gramStart"/>
      <w:r w:rsidRPr="00CC30B9">
        <w:rPr>
          <w:rFonts w:ascii="Times New Roman" w:eastAsia="Times New Roman" w:hAnsi="Times New Roman" w:cs="Times New Roman"/>
          <w:b/>
          <w:bCs/>
          <w:sz w:val="24"/>
          <w:szCs w:val="24"/>
        </w:rPr>
        <w:t>:</w:t>
      </w:r>
      <w:proofErr w:type="gramEnd"/>
      <w:r w:rsidRPr="00CC30B9">
        <w:rPr>
          <w:rFonts w:ascii="Times New Roman" w:eastAsia="Times New Roman" w:hAnsi="Times New Roman" w:cs="Times New Roman"/>
          <w:sz w:val="24"/>
          <w:szCs w:val="24"/>
        </w:rPr>
        <w:br/>
        <w:t>Roche partnered with Tempus to integrate AI-powered diagnostics into TRK inhibitor therapy selection, enabling faster and more precise mutation detection.</w:t>
      </w:r>
      <w:r w:rsidRPr="00CC30B9">
        <w:rPr>
          <w:rFonts w:ascii="Times New Roman" w:eastAsia="Times New Roman" w:hAnsi="Times New Roman" w:cs="Times New Roman"/>
          <w:sz w:val="24"/>
          <w:szCs w:val="24"/>
        </w:rPr>
        <w:br/>
      </w:r>
      <w:hyperlink r:id="rId8" w:history="1">
        <w:r w:rsidR="00461596" w:rsidRPr="007052F6">
          <w:rPr>
            <w:rStyle w:val="Hyperlink"/>
            <w:rFonts w:ascii="Times New Roman" w:eastAsia="Times New Roman" w:hAnsi="Times New Roman" w:cs="Times New Roman"/>
            <w:sz w:val="24"/>
            <w:szCs w:val="24"/>
          </w:rPr>
          <w:t>https://www.tempus.com/press</w:t>
        </w:r>
      </w:hyperlink>
      <w:r w:rsidR="00461596">
        <w:rPr>
          <w:rFonts w:ascii="Times New Roman" w:eastAsia="Times New Roman" w:hAnsi="Times New Roman" w:cs="Times New Roman"/>
          <w:sz w:val="24"/>
          <w:szCs w:val="24"/>
        </w:rPr>
        <w:t xml:space="preserve"> </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Segoe UI Symbol" w:eastAsia="Times New Roman" w:hAnsi="Segoe UI Symbol" w:cs="Segoe UI Symbol"/>
          <w:b/>
          <w:bCs/>
          <w:sz w:val="24"/>
          <w:szCs w:val="24"/>
        </w:rPr>
        <w:t>🔁</w:t>
      </w:r>
      <w:r w:rsidRPr="00CC30B9">
        <w:rPr>
          <w:rFonts w:ascii="Times New Roman" w:eastAsia="Times New Roman" w:hAnsi="Times New Roman" w:cs="Times New Roman"/>
          <w:b/>
          <w:bCs/>
          <w:sz w:val="24"/>
          <w:szCs w:val="24"/>
        </w:rPr>
        <w:t xml:space="preserve"> Opportunities</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1. Expansion into Emerging Genomic Markets</w:t>
      </w:r>
      <w:proofErr w:type="gramStart"/>
      <w:r w:rsidRPr="00CC30B9">
        <w:rPr>
          <w:rFonts w:ascii="Times New Roman" w:eastAsia="Times New Roman" w:hAnsi="Times New Roman" w:cs="Times New Roman"/>
          <w:b/>
          <w:bCs/>
          <w:sz w:val="24"/>
          <w:szCs w:val="24"/>
        </w:rPr>
        <w:t>:</w:t>
      </w:r>
      <w:proofErr w:type="gramEnd"/>
      <w:r w:rsidRPr="00CC30B9">
        <w:rPr>
          <w:rFonts w:ascii="Times New Roman" w:eastAsia="Times New Roman" w:hAnsi="Times New Roman" w:cs="Times New Roman"/>
          <w:sz w:val="24"/>
          <w:szCs w:val="24"/>
        </w:rPr>
        <w:br/>
        <w:t>As countries like India, Brazil, and China scale up NGS infrastructure and reimbursement, significant white space exists to expand access to TRK therapies and diagnostics.</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2. Resistance Mutation–Targeted Therapies</w:t>
      </w:r>
      <w:proofErr w:type="gramStart"/>
      <w:r w:rsidRPr="00CC30B9">
        <w:rPr>
          <w:rFonts w:ascii="Times New Roman" w:eastAsia="Times New Roman" w:hAnsi="Times New Roman" w:cs="Times New Roman"/>
          <w:b/>
          <w:bCs/>
          <w:sz w:val="24"/>
          <w:szCs w:val="24"/>
        </w:rPr>
        <w:t>:</w:t>
      </w:r>
      <w:proofErr w:type="gramEnd"/>
      <w:r w:rsidRPr="00CC30B9">
        <w:rPr>
          <w:rFonts w:ascii="Times New Roman" w:eastAsia="Times New Roman" w:hAnsi="Times New Roman" w:cs="Times New Roman"/>
          <w:sz w:val="24"/>
          <w:szCs w:val="24"/>
        </w:rPr>
        <w:br/>
        <w:t xml:space="preserve">Next-gen TRK inhibitors targeting solvent front and </w:t>
      </w:r>
      <w:proofErr w:type="spellStart"/>
      <w:r w:rsidRPr="00CC30B9">
        <w:rPr>
          <w:rFonts w:ascii="Times New Roman" w:eastAsia="Times New Roman" w:hAnsi="Times New Roman" w:cs="Times New Roman"/>
          <w:sz w:val="24"/>
          <w:szCs w:val="24"/>
        </w:rPr>
        <w:t>xDFG</w:t>
      </w:r>
      <w:proofErr w:type="spellEnd"/>
      <w:r w:rsidRPr="00CC30B9">
        <w:rPr>
          <w:rFonts w:ascii="Times New Roman" w:eastAsia="Times New Roman" w:hAnsi="Times New Roman" w:cs="Times New Roman"/>
          <w:sz w:val="24"/>
          <w:szCs w:val="24"/>
        </w:rPr>
        <w:t xml:space="preserve"> mutations can unlock large patient pools currently underserved by first-generation treatments.</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3. Bundled Testing and Therapy Models</w:t>
      </w:r>
      <w:proofErr w:type="gramStart"/>
      <w:r w:rsidRPr="00CC30B9">
        <w:rPr>
          <w:rFonts w:ascii="Times New Roman" w:eastAsia="Times New Roman" w:hAnsi="Times New Roman" w:cs="Times New Roman"/>
          <w:b/>
          <w:bCs/>
          <w:sz w:val="24"/>
          <w:szCs w:val="24"/>
        </w:rPr>
        <w:t>:</w:t>
      </w:r>
      <w:proofErr w:type="gramEnd"/>
      <w:r w:rsidRPr="00CC30B9">
        <w:rPr>
          <w:rFonts w:ascii="Times New Roman" w:eastAsia="Times New Roman" w:hAnsi="Times New Roman" w:cs="Times New Roman"/>
          <w:sz w:val="24"/>
          <w:szCs w:val="24"/>
        </w:rPr>
        <w:br/>
        <w:t>Offering integrated packages that combine diagnostics, genomic interpretation, and therapy can streamline adoption, especially in mid-tier hospitals and clinics.</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Segoe UI Symbol" w:eastAsia="Times New Roman" w:hAnsi="Segoe UI Symbol" w:cs="Segoe UI Symbol"/>
          <w:b/>
          <w:bCs/>
          <w:sz w:val="24"/>
          <w:szCs w:val="24"/>
        </w:rPr>
        <w:lastRenderedPageBreak/>
        <w:t>⚠️</w:t>
      </w:r>
      <w:r w:rsidRPr="00CC30B9">
        <w:rPr>
          <w:rFonts w:ascii="Times New Roman" w:eastAsia="Times New Roman" w:hAnsi="Times New Roman" w:cs="Times New Roman"/>
          <w:b/>
          <w:bCs/>
          <w:sz w:val="24"/>
          <w:szCs w:val="24"/>
        </w:rPr>
        <w:t xml:space="preserve"> Restraints</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1. High Therapy Cost and Access Inequities</w:t>
      </w:r>
      <w:proofErr w:type="gramStart"/>
      <w:r w:rsidRPr="00CC30B9">
        <w:rPr>
          <w:rFonts w:ascii="Times New Roman" w:eastAsia="Times New Roman" w:hAnsi="Times New Roman" w:cs="Times New Roman"/>
          <w:b/>
          <w:bCs/>
          <w:sz w:val="24"/>
          <w:szCs w:val="24"/>
        </w:rPr>
        <w:t>:</w:t>
      </w:r>
      <w:proofErr w:type="gramEnd"/>
      <w:r w:rsidRPr="00CC30B9">
        <w:rPr>
          <w:rFonts w:ascii="Times New Roman" w:eastAsia="Times New Roman" w:hAnsi="Times New Roman" w:cs="Times New Roman"/>
          <w:sz w:val="24"/>
          <w:szCs w:val="24"/>
        </w:rPr>
        <w:br/>
        <w:t>TRK inhibitors remain among the most expensive oncology therapies. In regions lacking robust insurance systems, affordability remains a critical bottleneck.</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2. Limited Awareness Among General Oncologists</w:t>
      </w:r>
      <w:proofErr w:type="gramStart"/>
      <w:r w:rsidRPr="00CC30B9">
        <w:rPr>
          <w:rFonts w:ascii="Times New Roman" w:eastAsia="Times New Roman" w:hAnsi="Times New Roman" w:cs="Times New Roman"/>
          <w:b/>
          <w:bCs/>
          <w:sz w:val="24"/>
          <w:szCs w:val="24"/>
        </w:rPr>
        <w:t>:</w:t>
      </w:r>
      <w:proofErr w:type="gramEnd"/>
      <w:r w:rsidRPr="00CC30B9">
        <w:rPr>
          <w:rFonts w:ascii="Times New Roman" w:eastAsia="Times New Roman" w:hAnsi="Times New Roman" w:cs="Times New Roman"/>
          <w:sz w:val="24"/>
          <w:szCs w:val="24"/>
        </w:rPr>
        <w:br/>
        <w:t>Due to the rarity of NTRK fusions, many non-specialist oncologists may under-test or overlook this actionable mutation—delaying diagnosis and treatment.</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461596" w:rsidRDefault="0046159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C30B9" w:rsidRPr="00CC30B9" w:rsidRDefault="00CC30B9" w:rsidP="00CC30B9">
      <w:pPr>
        <w:spacing w:before="100" w:beforeAutospacing="1" w:after="100" w:afterAutospacing="1" w:line="240" w:lineRule="auto"/>
        <w:outlineLvl w:val="2"/>
        <w:rPr>
          <w:rFonts w:ascii="Times New Roman" w:eastAsia="Times New Roman" w:hAnsi="Times New Roman" w:cs="Times New Roman"/>
          <w:b/>
          <w:bCs/>
          <w:sz w:val="27"/>
          <w:szCs w:val="27"/>
        </w:rPr>
      </w:pPr>
      <w:r w:rsidRPr="00CC30B9">
        <w:rPr>
          <w:rFonts w:ascii="Times New Roman" w:eastAsia="Times New Roman" w:hAnsi="Times New Roman" w:cs="Times New Roman"/>
          <w:b/>
          <w:bCs/>
          <w:sz w:val="27"/>
          <w:szCs w:val="27"/>
        </w:rPr>
        <w:lastRenderedPageBreak/>
        <w:t>8. Report Summary, FAQs, and SEO Schema</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Segoe UI Symbol" w:eastAsia="Times New Roman" w:hAnsi="Segoe UI Symbol" w:cs="Segoe UI Symbol"/>
          <w:b/>
          <w:bCs/>
          <w:sz w:val="24"/>
          <w:szCs w:val="24"/>
        </w:rPr>
        <w:t>📝</w:t>
      </w:r>
      <w:r w:rsidRPr="00CC30B9">
        <w:rPr>
          <w:rFonts w:ascii="Times New Roman" w:eastAsia="Times New Roman" w:hAnsi="Times New Roman" w:cs="Times New Roman"/>
          <w:b/>
          <w:bCs/>
          <w:sz w:val="24"/>
          <w:szCs w:val="24"/>
        </w:rPr>
        <w:t xml:space="preserve"> A. Report Title</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NTRK Fusion Gene Positive Advanced Solid Tumor Market</w:t>
      </w:r>
      <w:r w:rsidRPr="00CC30B9">
        <w:rPr>
          <w:rFonts w:ascii="Times New Roman" w:eastAsia="Times New Roman" w:hAnsi="Times New Roman" w:cs="Times New Roman"/>
          <w:sz w:val="24"/>
          <w:szCs w:val="24"/>
        </w:rPr>
        <w:t xml:space="preserve"> By Treatment Type (Targeted Therapy, Chemotherapy &amp; Radiotherapy, Immunotherapy); By Diagnostic Technology (NGS Panels, FISH, RT-PCR, IHC); By End User (Academic Institutions, Specialty Clinics, General Hospitals, Diagnostic Labs); By Geography, Segment Revenue Estimation, Forecast, 2024–2030.</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Segoe UI Symbol" w:eastAsia="Times New Roman" w:hAnsi="Segoe UI Symbol" w:cs="Segoe UI Symbol"/>
          <w:b/>
          <w:bCs/>
          <w:sz w:val="24"/>
          <w:szCs w:val="24"/>
        </w:rPr>
        <w:t>🌐</w:t>
      </w:r>
      <w:r w:rsidRPr="00CC30B9">
        <w:rPr>
          <w:rFonts w:ascii="Times New Roman" w:eastAsia="Times New Roman" w:hAnsi="Times New Roman" w:cs="Times New Roman"/>
          <w:b/>
          <w:bCs/>
          <w:sz w:val="24"/>
          <w:szCs w:val="24"/>
        </w:rPr>
        <w:t xml:space="preserve"> A.2. SEO-Friendly Slug Version</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C30B9">
        <w:rPr>
          <w:rFonts w:ascii="Times New Roman" w:eastAsia="Times New Roman" w:hAnsi="Times New Roman" w:cs="Times New Roman"/>
          <w:b/>
          <w:bCs/>
          <w:sz w:val="24"/>
          <w:szCs w:val="24"/>
        </w:rPr>
        <w:t>ntrk</w:t>
      </w:r>
      <w:proofErr w:type="spellEnd"/>
      <w:proofErr w:type="gramEnd"/>
      <w:r w:rsidRPr="00CC30B9">
        <w:rPr>
          <w:rFonts w:ascii="Times New Roman" w:eastAsia="Times New Roman" w:hAnsi="Times New Roman" w:cs="Times New Roman"/>
          <w:b/>
          <w:bCs/>
          <w:sz w:val="24"/>
          <w:szCs w:val="24"/>
        </w:rPr>
        <w:t xml:space="preserve"> fusion gene positive advanced solid tumor market</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Segoe UI Symbol" w:eastAsia="Times New Roman" w:hAnsi="Segoe UI Symbol" w:cs="Segoe UI Symbol"/>
          <w:b/>
          <w:bCs/>
          <w:sz w:val="24"/>
          <w:szCs w:val="24"/>
        </w:rPr>
        <w:t>💰</w:t>
      </w:r>
      <w:r w:rsidRPr="00CC30B9">
        <w:rPr>
          <w:rFonts w:ascii="Times New Roman" w:eastAsia="Times New Roman" w:hAnsi="Times New Roman" w:cs="Times New Roman"/>
          <w:b/>
          <w:bCs/>
          <w:sz w:val="24"/>
          <w:szCs w:val="24"/>
        </w:rPr>
        <w:t xml:space="preserve"> A.3. Market Size Format</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NTRK Fusion Gene Positive Advanced Solid Tumor Market Size ($2.32 Billion) 2030</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Segoe UI Symbol" w:eastAsia="Times New Roman" w:hAnsi="Segoe UI Symbol" w:cs="Segoe UI Symbol"/>
          <w:b/>
          <w:bCs/>
          <w:sz w:val="24"/>
          <w:szCs w:val="24"/>
        </w:rPr>
        <w:t>📊</w:t>
      </w:r>
      <w:r w:rsidRPr="00CC30B9">
        <w:rPr>
          <w:rFonts w:ascii="Times New Roman" w:eastAsia="Times New Roman" w:hAnsi="Times New Roman" w:cs="Times New Roman"/>
          <w:b/>
          <w:bCs/>
          <w:sz w:val="24"/>
          <w:szCs w:val="24"/>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6839"/>
      </w:tblGrid>
      <w:tr w:rsidR="00CC30B9" w:rsidRPr="00CC30B9" w:rsidTr="00CC30B9">
        <w:trPr>
          <w:tblHeader/>
          <w:tblCellSpacing w:w="15" w:type="dxa"/>
        </w:trPr>
        <w:tc>
          <w:tcPr>
            <w:tcW w:w="0" w:type="auto"/>
            <w:vAlign w:val="center"/>
            <w:hideMark/>
          </w:tcPr>
          <w:p w:rsidR="00CC30B9" w:rsidRPr="00CC30B9" w:rsidRDefault="00CC30B9" w:rsidP="00CC30B9">
            <w:pPr>
              <w:spacing w:after="0" w:line="240" w:lineRule="auto"/>
              <w:jc w:val="center"/>
              <w:rPr>
                <w:rFonts w:ascii="Times New Roman" w:eastAsia="Times New Roman" w:hAnsi="Times New Roman" w:cs="Times New Roman"/>
                <w:b/>
                <w:bCs/>
                <w:sz w:val="24"/>
                <w:szCs w:val="24"/>
              </w:rPr>
            </w:pPr>
            <w:r w:rsidRPr="00CC30B9">
              <w:rPr>
                <w:rFonts w:ascii="Times New Roman" w:eastAsia="Times New Roman" w:hAnsi="Times New Roman" w:cs="Times New Roman"/>
                <w:b/>
                <w:bCs/>
                <w:sz w:val="24"/>
                <w:szCs w:val="24"/>
              </w:rPr>
              <w:t>Report Attribute</w:t>
            </w:r>
          </w:p>
        </w:tc>
        <w:tc>
          <w:tcPr>
            <w:tcW w:w="0" w:type="auto"/>
            <w:vAlign w:val="center"/>
            <w:hideMark/>
          </w:tcPr>
          <w:p w:rsidR="00CC30B9" w:rsidRPr="00CC30B9" w:rsidRDefault="00CC30B9" w:rsidP="00CC30B9">
            <w:pPr>
              <w:spacing w:after="0" w:line="240" w:lineRule="auto"/>
              <w:jc w:val="center"/>
              <w:rPr>
                <w:rFonts w:ascii="Times New Roman" w:eastAsia="Times New Roman" w:hAnsi="Times New Roman" w:cs="Times New Roman"/>
                <w:b/>
                <w:bCs/>
                <w:sz w:val="24"/>
                <w:szCs w:val="24"/>
              </w:rPr>
            </w:pPr>
            <w:r w:rsidRPr="00CC30B9">
              <w:rPr>
                <w:rFonts w:ascii="Times New Roman" w:eastAsia="Times New Roman" w:hAnsi="Times New Roman" w:cs="Times New Roman"/>
                <w:b/>
                <w:bCs/>
                <w:sz w:val="24"/>
                <w:szCs w:val="24"/>
              </w:rPr>
              <w:t>Details</w:t>
            </w:r>
          </w:p>
        </w:tc>
      </w:tr>
      <w:tr w:rsidR="00CC30B9" w:rsidRPr="00CC30B9" w:rsidTr="00CC30B9">
        <w:trPr>
          <w:tblCellSpacing w:w="15" w:type="dxa"/>
        </w:trPr>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Forecast Period</w:t>
            </w:r>
          </w:p>
        </w:tc>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2024 – 2030</w:t>
            </w:r>
          </w:p>
        </w:tc>
      </w:tr>
      <w:tr w:rsidR="00CC30B9" w:rsidRPr="00CC30B9" w:rsidTr="00CC30B9">
        <w:trPr>
          <w:tblCellSpacing w:w="15" w:type="dxa"/>
        </w:trPr>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Market Size Value in 2024</w:t>
            </w:r>
          </w:p>
        </w:tc>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USD 1.15 Billion</w:t>
            </w:r>
          </w:p>
        </w:tc>
      </w:tr>
      <w:tr w:rsidR="00CC30B9" w:rsidRPr="00CC30B9" w:rsidTr="00CC30B9">
        <w:trPr>
          <w:tblCellSpacing w:w="15" w:type="dxa"/>
        </w:trPr>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Revenue Forecast in 2030</w:t>
            </w:r>
          </w:p>
        </w:tc>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USD 2.32 Billion</w:t>
            </w:r>
          </w:p>
        </w:tc>
      </w:tr>
      <w:tr w:rsidR="00CC30B9" w:rsidRPr="00CC30B9" w:rsidTr="00CC30B9">
        <w:trPr>
          <w:tblCellSpacing w:w="15" w:type="dxa"/>
        </w:trPr>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Overall Growth Rate</w:t>
            </w:r>
          </w:p>
        </w:tc>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CAGR of 12.3% (2024 – 2030)</w:t>
            </w:r>
          </w:p>
        </w:tc>
      </w:tr>
      <w:tr w:rsidR="00CC30B9" w:rsidRPr="00CC30B9" w:rsidTr="00CC30B9">
        <w:trPr>
          <w:tblCellSpacing w:w="15" w:type="dxa"/>
        </w:trPr>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Base Year for Estimation</w:t>
            </w:r>
          </w:p>
        </w:tc>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2023</w:t>
            </w:r>
          </w:p>
        </w:tc>
      </w:tr>
      <w:tr w:rsidR="00CC30B9" w:rsidRPr="00CC30B9" w:rsidTr="00CC30B9">
        <w:trPr>
          <w:tblCellSpacing w:w="15" w:type="dxa"/>
        </w:trPr>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Historical Data</w:t>
            </w:r>
          </w:p>
        </w:tc>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2017 – 2021</w:t>
            </w:r>
          </w:p>
        </w:tc>
      </w:tr>
      <w:tr w:rsidR="00CC30B9" w:rsidRPr="00CC30B9" w:rsidTr="00CC30B9">
        <w:trPr>
          <w:tblCellSpacing w:w="15" w:type="dxa"/>
        </w:trPr>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Unit</w:t>
            </w:r>
          </w:p>
        </w:tc>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USD Million, CAGR (%)</w:t>
            </w:r>
          </w:p>
        </w:tc>
      </w:tr>
      <w:tr w:rsidR="00CC30B9" w:rsidRPr="00CC30B9" w:rsidTr="00CC30B9">
        <w:trPr>
          <w:tblCellSpacing w:w="15" w:type="dxa"/>
        </w:trPr>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Segmentation</w:t>
            </w:r>
          </w:p>
        </w:tc>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By Treatment Type, By Diagnostic Technology, By End User, By Geography</w:t>
            </w:r>
          </w:p>
        </w:tc>
      </w:tr>
      <w:tr w:rsidR="00CC30B9" w:rsidRPr="00CC30B9" w:rsidTr="00CC30B9">
        <w:trPr>
          <w:tblCellSpacing w:w="15" w:type="dxa"/>
        </w:trPr>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By Treatment Type</w:t>
            </w:r>
          </w:p>
        </w:tc>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Targeted Therapy, Chemotherapy &amp; Radiotherapy, Immunotherapy</w:t>
            </w:r>
          </w:p>
        </w:tc>
      </w:tr>
      <w:tr w:rsidR="00CC30B9" w:rsidRPr="00CC30B9" w:rsidTr="00CC30B9">
        <w:trPr>
          <w:tblCellSpacing w:w="15" w:type="dxa"/>
        </w:trPr>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By Diagnostic Technology</w:t>
            </w:r>
          </w:p>
        </w:tc>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NGS Panels, FISH, RT-PCR, IHC</w:t>
            </w:r>
          </w:p>
        </w:tc>
      </w:tr>
      <w:tr w:rsidR="00CC30B9" w:rsidRPr="00CC30B9" w:rsidTr="00CC30B9">
        <w:trPr>
          <w:tblCellSpacing w:w="15" w:type="dxa"/>
        </w:trPr>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lastRenderedPageBreak/>
              <w:t>By End User</w:t>
            </w:r>
          </w:p>
        </w:tc>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Academic Institutions, Specialty Clinics, General Hospitals, Diagnostic Labs</w:t>
            </w:r>
          </w:p>
        </w:tc>
      </w:tr>
      <w:tr w:rsidR="00CC30B9" w:rsidRPr="00CC30B9" w:rsidTr="00CC30B9">
        <w:trPr>
          <w:tblCellSpacing w:w="15" w:type="dxa"/>
        </w:trPr>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By Region</w:t>
            </w:r>
          </w:p>
        </w:tc>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North America, Europe, Asia-Pacific, Latin America, Middle East &amp; Africa</w:t>
            </w:r>
          </w:p>
        </w:tc>
      </w:tr>
      <w:tr w:rsidR="00CC30B9" w:rsidRPr="00CC30B9" w:rsidTr="00CC30B9">
        <w:trPr>
          <w:tblCellSpacing w:w="15" w:type="dxa"/>
        </w:trPr>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Country Scope</w:t>
            </w:r>
          </w:p>
        </w:tc>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U.S., Germany, UK, Japan, China, South Korea, Brazil, UAE</w:t>
            </w:r>
          </w:p>
        </w:tc>
      </w:tr>
      <w:tr w:rsidR="00CC30B9" w:rsidRPr="00CC30B9" w:rsidTr="00CC30B9">
        <w:trPr>
          <w:tblCellSpacing w:w="15" w:type="dxa"/>
        </w:trPr>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Market Drivers</w:t>
            </w:r>
          </w:p>
        </w:tc>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Tumor-agnostic therapy approvals</w:t>
            </w:r>
            <w:r w:rsidRPr="00CC30B9">
              <w:rPr>
                <w:rFonts w:ascii="Times New Roman" w:eastAsia="Times New Roman" w:hAnsi="Times New Roman" w:cs="Times New Roman"/>
                <w:sz w:val="24"/>
                <w:szCs w:val="24"/>
              </w:rPr>
              <w:br/>
              <w:t>- Widespread NGS adoption</w:t>
            </w:r>
            <w:r w:rsidRPr="00CC30B9">
              <w:rPr>
                <w:rFonts w:ascii="Times New Roman" w:eastAsia="Times New Roman" w:hAnsi="Times New Roman" w:cs="Times New Roman"/>
                <w:sz w:val="24"/>
                <w:szCs w:val="24"/>
              </w:rPr>
              <w:br/>
              <w:t>- Real-world evidence availability</w:t>
            </w:r>
          </w:p>
        </w:tc>
      </w:tr>
      <w:tr w:rsidR="00CC30B9" w:rsidRPr="00CC30B9" w:rsidTr="00CC30B9">
        <w:trPr>
          <w:tblCellSpacing w:w="15" w:type="dxa"/>
        </w:trPr>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Customization Option</w:t>
            </w:r>
          </w:p>
        </w:tc>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Available upon request</w:t>
            </w:r>
          </w:p>
        </w:tc>
      </w:tr>
    </w:tbl>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Segoe UI Symbol" w:eastAsia="Times New Roman" w:hAnsi="Segoe UI Symbol" w:cs="Segoe UI Symbol"/>
          <w:b/>
          <w:bCs/>
          <w:sz w:val="24"/>
          <w:szCs w:val="24"/>
        </w:rPr>
        <w:t>❓</w:t>
      </w:r>
      <w:r w:rsidRPr="00CC30B9">
        <w:rPr>
          <w:rFonts w:ascii="Times New Roman" w:eastAsia="Times New Roman" w:hAnsi="Times New Roman" w:cs="Times New Roman"/>
          <w:b/>
          <w:bCs/>
          <w:sz w:val="24"/>
          <w:szCs w:val="24"/>
        </w:rPr>
        <w:t xml:space="preserve"> C. Top 5 FAQs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9"/>
        <w:gridCol w:w="5671"/>
      </w:tblGrid>
      <w:tr w:rsidR="00CC30B9" w:rsidRPr="00CC30B9" w:rsidTr="00CC30B9">
        <w:trPr>
          <w:tblHeader/>
          <w:tblCellSpacing w:w="15" w:type="dxa"/>
        </w:trPr>
        <w:tc>
          <w:tcPr>
            <w:tcW w:w="0" w:type="auto"/>
            <w:vAlign w:val="center"/>
            <w:hideMark/>
          </w:tcPr>
          <w:p w:rsidR="00CC30B9" w:rsidRPr="00CC30B9" w:rsidRDefault="00CC30B9" w:rsidP="00CC30B9">
            <w:pPr>
              <w:spacing w:after="0" w:line="240" w:lineRule="auto"/>
              <w:jc w:val="center"/>
              <w:rPr>
                <w:rFonts w:ascii="Times New Roman" w:eastAsia="Times New Roman" w:hAnsi="Times New Roman" w:cs="Times New Roman"/>
                <w:b/>
                <w:bCs/>
                <w:sz w:val="24"/>
                <w:szCs w:val="24"/>
              </w:rPr>
            </w:pPr>
            <w:r w:rsidRPr="00CC30B9">
              <w:rPr>
                <w:rFonts w:ascii="Times New Roman" w:eastAsia="Times New Roman" w:hAnsi="Times New Roman" w:cs="Times New Roman"/>
                <w:b/>
                <w:bCs/>
                <w:sz w:val="24"/>
                <w:szCs w:val="24"/>
              </w:rPr>
              <w:t>Question</w:t>
            </w:r>
          </w:p>
        </w:tc>
        <w:tc>
          <w:tcPr>
            <w:tcW w:w="0" w:type="auto"/>
            <w:vAlign w:val="center"/>
            <w:hideMark/>
          </w:tcPr>
          <w:p w:rsidR="00CC30B9" w:rsidRPr="00CC30B9" w:rsidRDefault="00CC30B9" w:rsidP="00CC30B9">
            <w:pPr>
              <w:spacing w:after="0" w:line="240" w:lineRule="auto"/>
              <w:jc w:val="center"/>
              <w:rPr>
                <w:rFonts w:ascii="Times New Roman" w:eastAsia="Times New Roman" w:hAnsi="Times New Roman" w:cs="Times New Roman"/>
                <w:b/>
                <w:bCs/>
                <w:sz w:val="24"/>
                <w:szCs w:val="24"/>
              </w:rPr>
            </w:pPr>
            <w:r w:rsidRPr="00CC30B9">
              <w:rPr>
                <w:rFonts w:ascii="Times New Roman" w:eastAsia="Times New Roman" w:hAnsi="Times New Roman" w:cs="Times New Roman"/>
                <w:b/>
                <w:bCs/>
                <w:sz w:val="24"/>
                <w:szCs w:val="24"/>
              </w:rPr>
              <w:t>Answer</w:t>
            </w:r>
          </w:p>
        </w:tc>
      </w:tr>
      <w:tr w:rsidR="00CC30B9" w:rsidRPr="00CC30B9" w:rsidTr="00CC30B9">
        <w:trPr>
          <w:tblCellSpacing w:w="15" w:type="dxa"/>
        </w:trPr>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How big is the NTRK Fusion Gene Positive Advanced Solid Tumor market?</w:t>
            </w:r>
          </w:p>
        </w:tc>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The global NTRK fusion gene positive advanced solid tumor market was valued at </w:t>
            </w:r>
            <w:r w:rsidRPr="00CC30B9">
              <w:rPr>
                <w:rFonts w:ascii="Times New Roman" w:eastAsia="Times New Roman" w:hAnsi="Times New Roman" w:cs="Times New Roman"/>
                <w:b/>
                <w:bCs/>
                <w:sz w:val="24"/>
                <w:szCs w:val="24"/>
              </w:rPr>
              <w:t>USD 1.15 billion in 2024</w:t>
            </w:r>
            <w:r w:rsidRPr="00CC30B9">
              <w:rPr>
                <w:rFonts w:ascii="Times New Roman" w:eastAsia="Times New Roman" w:hAnsi="Times New Roman" w:cs="Times New Roman"/>
                <w:sz w:val="24"/>
                <w:szCs w:val="24"/>
              </w:rPr>
              <w:t>.</w:t>
            </w:r>
          </w:p>
        </w:tc>
      </w:tr>
      <w:tr w:rsidR="00CC30B9" w:rsidRPr="00CC30B9" w:rsidTr="00CC30B9">
        <w:trPr>
          <w:tblCellSpacing w:w="15" w:type="dxa"/>
        </w:trPr>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What is the CAGR for this market during the forecast period?</w:t>
            </w:r>
          </w:p>
        </w:tc>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The market is expected to grow at a </w:t>
            </w:r>
            <w:r w:rsidRPr="00CC30B9">
              <w:rPr>
                <w:rFonts w:ascii="Times New Roman" w:eastAsia="Times New Roman" w:hAnsi="Times New Roman" w:cs="Times New Roman"/>
                <w:b/>
                <w:bCs/>
                <w:sz w:val="24"/>
                <w:szCs w:val="24"/>
              </w:rPr>
              <w:t>CAGR of 12.3% from 2024 to 2030</w:t>
            </w:r>
            <w:r w:rsidRPr="00CC30B9">
              <w:rPr>
                <w:rFonts w:ascii="Times New Roman" w:eastAsia="Times New Roman" w:hAnsi="Times New Roman" w:cs="Times New Roman"/>
                <w:sz w:val="24"/>
                <w:szCs w:val="24"/>
              </w:rPr>
              <w:t>.</w:t>
            </w:r>
          </w:p>
        </w:tc>
      </w:tr>
      <w:tr w:rsidR="00CC30B9" w:rsidRPr="00CC30B9" w:rsidTr="00CC30B9">
        <w:trPr>
          <w:tblCellSpacing w:w="15" w:type="dxa"/>
        </w:trPr>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Who are the major players in this market?</w:t>
            </w:r>
          </w:p>
        </w:tc>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Leading players include </w:t>
            </w:r>
            <w:r w:rsidRPr="00CC30B9">
              <w:rPr>
                <w:rFonts w:ascii="Times New Roman" w:eastAsia="Times New Roman" w:hAnsi="Times New Roman" w:cs="Times New Roman"/>
                <w:b/>
                <w:bCs/>
                <w:sz w:val="24"/>
                <w:szCs w:val="24"/>
              </w:rPr>
              <w:t>Bayer AG, Roche, Pfizer, Eli Lilly, Blueprint Medicines, Takeda, and Foundation Medicine</w:t>
            </w:r>
            <w:r w:rsidRPr="00CC30B9">
              <w:rPr>
                <w:rFonts w:ascii="Times New Roman" w:eastAsia="Times New Roman" w:hAnsi="Times New Roman" w:cs="Times New Roman"/>
                <w:sz w:val="24"/>
                <w:szCs w:val="24"/>
              </w:rPr>
              <w:t>.</w:t>
            </w:r>
          </w:p>
        </w:tc>
      </w:tr>
      <w:tr w:rsidR="00CC30B9" w:rsidRPr="00CC30B9" w:rsidTr="00CC30B9">
        <w:trPr>
          <w:tblCellSpacing w:w="15" w:type="dxa"/>
        </w:trPr>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Which region dominates this market?</w:t>
            </w:r>
          </w:p>
        </w:tc>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North America</w:t>
            </w:r>
            <w:r w:rsidRPr="00CC30B9">
              <w:rPr>
                <w:rFonts w:ascii="Times New Roman" w:eastAsia="Times New Roman" w:hAnsi="Times New Roman" w:cs="Times New Roman"/>
                <w:sz w:val="24"/>
                <w:szCs w:val="24"/>
              </w:rPr>
              <w:t xml:space="preserve"> leads due to strong diagnostic infrastructure and early regulatory approvals.</w:t>
            </w:r>
          </w:p>
        </w:tc>
      </w:tr>
      <w:tr w:rsidR="00CC30B9" w:rsidRPr="00CC30B9" w:rsidTr="00CC30B9">
        <w:trPr>
          <w:tblCellSpacing w:w="15" w:type="dxa"/>
        </w:trPr>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What factors are driving this market?</w:t>
            </w:r>
          </w:p>
        </w:tc>
        <w:tc>
          <w:tcPr>
            <w:tcW w:w="0" w:type="auto"/>
            <w:vAlign w:val="center"/>
            <w:hideMark/>
          </w:tcPr>
          <w:p w:rsidR="00CC30B9" w:rsidRPr="00CC30B9" w:rsidRDefault="00CC30B9" w:rsidP="00CC30B9">
            <w:pPr>
              <w:spacing w:after="0"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Growth is fueled by </w:t>
            </w:r>
            <w:r w:rsidRPr="00CC30B9">
              <w:rPr>
                <w:rFonts w:ascii="Times New Roman" w:eastAsia="Times New Roman" w:hAnsi="Times New Roman" w:cs="Times New Roman"/>
                <w:b/>
                <w:bCs/>
                <w:sz w:val="24"/>
                <w:szCs w:val="24"/>
              </w:rPr>
              <w:t>tumor-agnostic FDA approvals, genomic testing expansion, and drug-payer alignment</w:t>
            </w:r>
            <w:r w:rsidRPr="00CC30B9">
              <w:rPr>
                <w:rFonts w:ascii="Times New Roman" w:eastAsia="Times New Roman" w:hAnsi="Times New Roman" w:cs="Times New Roman"/>
                <w:sz w:val="24"/>
                <w:szCs w:val="24"/>
              </w:rPr>
              <w:t>.</w:t>
            </w:r>
          </w:p>
        </w:tc>
      </w:tr>
    </w:tbl>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Times New Roman" w:eastAsia="Times New Roman" w:hAnsi="Times New Roman" w:cs="Times New Roman"/>
          <w:b/>
          <w:bCs/>
          <w:sz w:val="24"/>
          <w:szCs w:val="24"/>
        </w:rPr>
        <w:t>🧩 D. JSON-LD Schema Markup</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Breadcrumb Schema</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C30B9">
        <w:rPr>
          <w:rFonts w:ascii="Courier New" w:eastAsia="Times New Roman" w:hAnsi="Courier New" w:cs="Courier New"/>
          <w:sz w:val="20"/>
          <w:szCs w:val="20"/>
        </w:rPr>
        <w:t>json</w:t>
      </w:r>
      <w:proofErr w:type="spellEnd"/>
      <w:proofErr w:type="gramEnd"/>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C30B9">
        <w:rPr>
          <w:rFonts w:ascii="Courier New" w:eastAsia="Times New Roman" w:hAnsi="Courier New" w:cs="Courier New"/>
          <w:sz w:val="20"/>
          <w:szCs w:val="20"/>
        </w:rPr>
        <w:t>CopyEdit</w:t>
      </w:r>
      <w:proofErr w:type="spellEnd"/>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"@context": "https://schema.org",</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"@type": "</w:t>
      </w:r>
      <w:proofErr w:type="spellStart"/>
      <w:r w:rsidRPr="00CC30B9">
        <w:rPr>
          <w:rFonts w:ascii="Courier New" w:eastAsia="Times New Roman" w:hAnsi="Courier New" w:cs="Courier New"/>
          <w:sz w:val="20"/>
          <w:szCs w:val="20"/>
        </w:rPr>
        <w:t>BreadcrumbList</w:t>
      </w:r>
      <w:proofErr w:type="spellEnd"/>
      <w:r w:rsidRPr="00CC30B9">
        <w:rPr>
          <w:rFonts w:ascii="Courier New" w:eastAsia="Times New Roman" w:hAnsi="Courier New" w:cs="Courier New"/>
          <w:sz w:val="20"/>
          <w:szCs w:val="20"/>
        </w:rPr>
        <w:t>",</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spellStart"/>
      <w:proofErr w:type="gramStart"/>
      <w:r w:rsidRPr="00CC30B9">
        <w:rPr>
          <w:rFonts w:ascii="Courier New" w:eastAsia="Times New Roman" w:hAnsi="Courier New" w:cs="Courier New"/>
          <w:sz w:val="20"/>
          <w:szCs w:val="20"/>
        </w:rPr>
        <w:t>itemListElement</w:t>
      </w:r>
      <w:proofErr w:type="spellEnd"/>
      <w:proofErr w:type="gramEnd"/>
      <w:r w:rsidRPr="00CC30B9">
        <w:rPr>
          <w:rFonts w:ascii="Courier New" w:eastAsia="Times New Roman" w:hAnsi="Courier New" w:cs="Courier New"/>
          <w:sz w:val="20"/>
          <w:szCs w:val="20"/>
        </w:rPr>
        <w:t>":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"@type": "</w:t>
      </w:r>
      <w:proofErr w:type="spellStart"/>
      <w:r w:rsidRPr="00CC30B9">
        <w:rPr>
          <w:rFonts w:ascii="Courier New" w:eastAsia="Times New Roman" w:hAnsi="Courier New" w:cs="Courier New"/>
          <w:sz w:val="20"/>
          <w:szCs w:val="20"/>
        </w:rPr>
        <w:t>ListItem</w:t>
      </w:r>
      <w:proofErr w:type="spellEnd"/>
      <w:r w:rsidRPr="00CC30B9">
        <w:rPr>
          <w:rFonts w:ascii="Courier New" w:eastAsia="Times New Roman" w:hAnsi="Courier New" w:cs="Courier New"/>
          <w:sz w:val="20"/>
          <w:szCs w:val="20"/>
        </w:rPr>
        <w:t>",</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gramStart"/>
      <w:r w:rsidRPr="00CC30B9">
        <w:rPr>
          <w:rFonts w:ascii="Courier New" w:eastAsia="Times New Roman" w:hAnsi="Courier New" w:cs="Courier New"/>
          <w:sz w:val="20"/>
          <w:szCs w:val="20"/>
        </w:rPr>
        <w:t>position</w:t>
      </w:r>
      <w:proofErr w:type="gramEnd"/>
      <w:r w:rsidRPr="00CC30B9">
        <w:rPr>
          <w:rFonts w:ascii="Courier New" w:eastAsia="Times New Roman" w:hAnsi="Courier New" w:cs="Courier New"/>
          <w:sz w:val="20"/>
          <w:szCs w:val="20"/>
        </w:rPr>
        <w:t>": 1,</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gramStart"/>
      <w:r w:rsidRPr="00CC30B9">
        <w:rPr>
          <w:rFonts w:ascii="Courier New" w:eastAsia="Times New Roman" w:hAnsi="Courier New" w:cs="Courier New"/>
          <w:sz w:val="20"/>
          <w:szCs w:val="20"/>
        </w:rPr>
        <w:t>name</w:t>
      </w:r>
      <w:proofErr w:type="gramEnd"/>
      <w:r w:rsidRPr="00CC30B9">
        <w:rPr>
          <w:rFonts w:ascii="Courier New" w:eastAsia="Times New Roman" w:hAnsi="Courier New" w:cs="Courier New"/>
          <w:sz w:val="20"/>
          <w:szCs w:val="20"/>
        </w:rPr>
        <w:t>": "Home",</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gramStart"/>
      <w:r w:rsidRPr="00CC30B9">
        <w:rPr>
          <w:rFonts w:ascii="Courier New" w:eastAsia="Times New Roman" w:hAnsi="Courier New" w:cs="Courier New"/>
          <w:sz w:val="20"/>
          <w:szCs w:val="20"/>
        </w:rPr>
        <w:t>item</w:t>
      </w:r>
      <w:proofErr w:type="gramEnd"/>
      <w:r w:rsidRPr="00CC30B9">
        <w:rPr>
          <w:rFonts w:ascii="Courier New" w:eastAsia="Times New Roman" w:hAnsi="Courier New" w:cs="Courier New"/>
          <w:sz w:val="20"/>
          <w:szCs w:val="20"/>
        </w:rPr>
        <w:t>": "https://www.strategicmarketresearch.com/"</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lastRenderedPageBreak/>
        <w:t xml:space="preserve">      "@type": "</w:t>
      </w:r>
      <w:proofErr w:type="spellStart"/>
      <w:r w:rsidRPr="00CC30B9">
        <w:rPr>
          <w:rFonts w:ascii="Courier New" w:eastAsia="Times New Roman" w:hAnsi="Courier New" w:cs="Courier New"/>
          <w:sz w:val="20"/>
          <w:szCs w:val="20"/>
        </w:rPr>
        <w:t>ListItem</w:t>
      </w:r>
      <w:proofErr w:type="spellEnd"/>
      <w:r w:rsidRPr="00CC30B9">
        <w:rPr>
          <w:rFonts w:ascii="Courier New" w:eastAsia="Times New Roman" w:hAnsi="Courier New" w:cs="Courier New"/>
          <w:sz w:val="20"/>
          <w:szCs w:val="20"/>
        </w:rPr>
        <w:t>",</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gramStart"/>
      <w:r w:rsidRPr="00CC30B9">
        <w:rPr>
          <w:rFonts w:ascii="Courier New" w:eastAsia="Times New Roman" w:hAnsi="Courier New" w:cs="Courier New"/>
          <w:sz w:val="20"/>
          <w:szCs w:val="20"/>
        </w:rPr>
        <w:t>position</w:t>
      </w:r>
      <w:proofErr w:type="gramEnd"/>
      <w:r w:rsidRPr="00CC30B9">
        <w:rPr>
          <w:rFonts w:ascii="Courier New" w:eastAsia="Times New Roman" w:hAnsi="Courier New" w:cs="Courier New"/>
          <w:sz w:val="20"/>
          <w:szCs w:val="20"/>
        </w:rPr>
        <w:t>": 2,</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gramStart"/>
      <w:r w:rsidRPr="00CC30B9">
        <w:rPr>
          <w:rFonts w:ascii="Courier New" w:eastAsia="Times New Roman" w:hAnsi="Courier New" w:cs="Courier New"/>
          <w:sz w:val="20"/>
          <w:szCs w:val="20"/>
        </w:rPr>
        <w:t>name</w:t>
      </w:r>
      <w:proofErr w:type="gramEnd"/>
      <w:r w:rsidRPr="00CC30B9">
        <w:rPr>
          <w:rFonts w:ascii="Courier New" w:eastAsia="Times New Roman" w:hAnsi="Courier New" w:cs="Courier New"/>
          <w:sz w:val="20"/>
          <w:szCs w:val="20"/>
        </w:rPr>
        <w:t>": "Healthcare",</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gramStart"/>
      <w:r w:rsidRPr="00CC30B9">
        <w:rPr>
          <w:rFonts w:ascii="Courier New" w:eastAsia="Times New Roman" w:hAnsi="Courier New" w:cs="Courier New"/>
          <w:sz w:val="20"/>
          <w:szCs w:val="20"/>
        </w:rPr>
        <w:t>item</w:t>
      </w:r>
      <w:proofErr w:type="gramEnd"/>
      <w:r w:rsidRPr="00CC30B9">
        <w:rPr>
          <w:rFonts w:ascii="Courier New" w:eastAsia="Times New Roman" w:hAnsi="Courier New" w:cs="Courier New"/>
          <w:sz w:val="20"/>
          <w:szCs w:val="20"/>
        </w:rPr>
        <w:t>": "https://www.strategicmarketresearch.com/reports/healthcare"</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"@type": "</w:t>
      </w:r>
      <w:proofErr w:type="spellStart"/>
      <w:r w:rsidRPr="00CC30B9">
        <w:rPr>
          <w:rFonts w:ascii="Courier New" w:eastAsia="Times New Roman" w:hAnsi="Courier New" w:cs="Courier New"/>
          <w:sz w:val="20"/>
          <w:szCs w:val="20"/>
        </w:rPr>
        <w:t>ListItem</w:t>
      </w:r>
      <w:proofErr w:type="spellEnd"/>
      <w:r w:rsidRPr="00CC30B9">
        <w:rPr>
          <w:rFonts w:ascii="Courier New" w:eastAsia="Times New Roman" w:hAnsi="Courier New" w:cs="Courier New"/>
          <w:sz w:val="20"/>
          <w:szCs w:val="20"/>
        </w:rPr>
        <w:t>",</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gramStart"/>
      <w:r w:rsidRPr="00CC30B9">
        <w:rPr>
          <w:rFonts w:ascii="Courier New" w:eastAsia="Times New Roman" w:hAnsi="Courier New" w:cs="Courier New"/>
          <w:sz w:val="20"/>
          <w:szCs w:val="20"/>
        </w:rPr>
        <w:t>position</w:t>
      </w:r>
      <w:proofErr w:type="gramEnd"/>
      <w:r w:rsidRPr="00CC30B9">
        <w:rPr>
          <w:rFonts w:ascii="Courier New" w:eastAsia="Times New Roman" w:hAnsi="Courier New" w:cs="Courier New"/>
          <w:sz w:val="20"/>
          <w:szCs w:val="20"/>
        </w:rPr>
        <w:t>": 3,</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gramStart"/>
      <w:r w:rsidRPr="00CC30B9">
        <w:rPr>
          <w:rFonts w:ascii="Courier New" w:eastAsia="Times New Roman" w:hAnsi="Courier New" w:cs="Courier New"/>
          <w:sz w:val="20"/>
          <w:szCs w:val="20"/>
        </w:rPr>
        <w:t>name</w:t>
      </w:r>
      <w:proofErr w:type="gramEnd"/>
      <w:r w:rsidRPr="00CC30B9">
        <w:rPr>
          <w:rFonts w:ascii="Courier New" w:eastAsia="Times New Roman" w:hAnsi="Courier New" w:cs="Courier New"/>
          <w:sz w:val="20"/>
          <w:szCs w:val="20"/>
        </w:rPr>
        <w:t>": "NTRK Fusion Gene Positive Advanced Solid Tumor Market Report 2030",</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gramStart"/>
      <w:r w:rsidRPr="00CC30B9">
        <w:rPr>
          <w:rFonts w:ascii="Courier New" w:eastAsia="Times New Roman" w:hAnsi="Courier New" w:cs="Courier New"/>
          <w:sz w:val="20"/>
          <w:szCs w:val="20"/>
        </w:rPr>
        <w:t>item</w:t>
      </w:r>
      <w:proofErr w:type="gramEnd"/>
      <w:r w:rsidRPr="00CC30B9">
        <w:rPr>
          <w:rFonts w:ascii="Courier New" w:eastAsia="Times New Roman" w:hAnsi="Courier New" w:cs="Courier New"/>
          <w:sz w:val="20"/>
          <w:szCs w:val="20"/>
        </w:rPr>
        <w:t>": "https://www.strategicmarketresearch.com/market-report/ntrk-fusion-gene-positive-advanced-solid-tumor-market"</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FAQ Schema</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C30B9">
        <w:rPr>
          <w:rFonts w:ascii="Courier New" w:eastAsia="Times New Roman" w:hAnsi="Courier New" w:cs="Courier New"/>
          <w:sz w:val="20"/>
          <w:szCs w:val="20"/>
        </w:rPr>
        <w:t>json</w:t>
      </w:r>
      <w:proofErr w:type="spellEnd"/>
      <w:proofErr w:type="gramEnd"/>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C30B9">
        <w:rPr>
          <w:rFonts w:ascii="Courier New" w:eastAsia="Times New Roman" w:hAnsi="Courier New" w:cs="Courier New"/>
          <w:sz w:val="20"/>
          <w:szCs w:val="20"/>
        </w:rPr>
        <w:t>CopyEdit</w:t>
      </w:r>
      <w:proofErr w:type="spellEnd"/>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"@context": "https://schema.org",</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"@type": "</w:t>
      </w:r>
      <w:proofErr w:type="spellStart"/>
      <w:r w:rsidRPr="00CC30B9">
        <w:rPr>
          <w:rFonts w:ascii="Courier New" w:eastAsia="Times New Roman" w:hAnsi="Courier New" w:cs="Courier New"/>
          <w:sz w:val="20"/>
          <w:szCs w:val="20"/>
        </w:rPr>
        <w:t>FAQPage</w:t>
      </w:r>
      <w:proofErr w:type="spellEnd"/>
      <w:r w:rsidRPr="00CC30B9">
        <w:rPr>
          <w:rFonts w:ascii="Courier New" w:eastAsia="Times New Roman" w:hAnsi="Courier New" w:cs="Courier New"/>
          <w:sz w:val="20"/>
          <w:szCs w:val="20"/>
        </w:rPr>
        <w:t>",</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spellStart"/>
      <w:proofErr w:type="gramStart"/>
      <w:r w:rsidRPr="00CC30B9">
        <w:rPr>
          <w:rFonts w:ascii="Courier New" w:eastAsia="Times New Roman" w:hAnsi="Courier New" w:cs="Courier New"/>
          <w:sz w:val="20"/>
          <w:szCs w:val="20"/>
        </w:rPr>
        <w:t>mainEntity</w:t>
      </w:r>
      <w:proofErr w:type="spellEnd"/>
      <w:proofErr w:type="gramEnd"/>
      <w:r w:rsidRPr="00CC30B9">
        <w:rPr>
          <w:rFonts w:ascii="Courier New" w:eastAsia="Times New Roman" w:hAnsi="Courier New" w:cs="Courier New"/>
          <w:sz w:val="20"/>
          <w:szCs w:val="20"/>
        </w:rPr>
        <w:t>":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"@type": "Question",</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gramStart"/>
      <w:r w:rsidRPr="00CC30B9">
        <w:rPr>
          <w:rFonts w:ascii="Courier New" w:eastAsia="Times New Roman" w:hAnsi="Courier New" w:cs="Courier New"/>
          <w:sz w:val="20"/>
          <w:szCs w:val="20"/>
        </w:rPr>
        <w:t>name</w:t>
      </w:r>
      <w:proofErr w:type="gramEnd"/>
      <w:r w:rsidRPr="00CC30B9">
        <w:rPr>
          <w:rFonts w:ascii="Courier New" w:eastAsia="Times New Roman" w:hAnsi="Courier New" w:cs="Courier New"/>
          <w:sz w:val="20"/>
          <w:szCs w:val="20"/>
        </w:rPr>
        <w:t>": "How big is the NTRK Fusion Gene Positive Advanced Solid Tumor market?",</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spellStart"/>
      <w:proofErr w:type="gramStart"/>
      <w:r w:rsidRPr="00CC30B9">
        <w:rPr>
          <w:rFonts w:ascii="Courier New" w:eastAsia="Times New Roman" w:hAnsi="Courier New" w:cs="Courier New"/>
          <w:sz w:val="20"/>
          <w:szCs w:val="20"/>
        </w:rPr>
        <w:t>acceptedAnswer</w:t>
      </w:r>
      <w:proofErr w:type="spellEnd"/>
      <w:proofErr w:type="gramEnd"/>
      <w:r w:rsidRPr="00CC30B9">
        <w:rPr>
          <w:rFonts w:ascii="Courier New" w:eastAsia="Times New Roman" w:hAnsi="Courier New" w:cs="Courier New"/>
          <w:sz w:val="20"/>
          <w:szCs w:val="20"/>
        </w:rPr>
        <w:t>":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"@type": "Answer",</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gramStart"/>
      <w:r w:rsidRPr="00CC30B9">
        <w:rPr>
          <w:rFonts w:ascii="Courier New" w:eastAsia="Times New Roman" w:hAnsi="Courier New" w:cs="Courier New"/>
          <w:sz w:val="20"/>
          <w:szCs w:val="20"/>
        </w:rPr>
        <w:t>text</w:t>
      </w:r>
      <w:proofErr w:type="gramEnd"/>
      <w:r w:rsidRPr="00CC30B9">
        <w:rPr>
          <w:rFonts w:ascii="Courier New" w:eastAsia="Times New Roman" w:hAnsi="Courier New" w:cs="Courier New"/>
          <w:sz w:val="20"/>
          <w:szCs w:val="20"/>
        </w:rPr>
        <w:t>": "The global NTRK fusion gene positive advanced solid tumor market was valued at USD 1.15 billion in 2024."</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"@type": "Question",</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gramStart"/>
      <w:r w:rsidRPr="00CC30B9">
        <w:rPr>
          <w:rFonts w:ascii="Courier New" w:eastAsia="Times New Roman" w:hAnsi="Courier New" w:cs="Courier New"/>
          <w:sz w:val="20"/>
          <w:szCs w:val="20"/>
        </w:rPr>
        <w:t>name</w:t>
      </w:r>
      <w:proofErr w:type="gramEnd"/>
      <w:r w:rsidRPr="00CC30B9">
        <w:rPr>
          <w:rFonts w:ascii="Courier New" w:eastAsia="Times New Roman" w:hAnsi="Courier New" w:cs="Courier New"/>
          <w:sz w:val="20"/>
          <w:szCs w:val="20"/>
        </w:rPr>
        <w:t>": "What is the CAGR for this market during the forecast period?",</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spellStart"/>
      <w:proofErr w:type="gramStart"/>
      <w:r w:rsidRPr="00CC30B9">
        <w:rPr>
          <w:rFonts w:ascii="Courier New" w:eastAsia="Times New Roman" w:hAnsi="Courier New" w:cs="Courier New"/>
          <w:sz w:val="20"/>
          <w:szCs w:val="20"/>
        </w:rPr>
        <w:t>acceptedAnswer</w:t>
      </w:r>
      <w:proofErr w:type="spellEnd"/>
      <w:proofErr w:type="gramEnd"/>
      <w:r w:rsidRPr="00CC30B9">
        <w:rPr>
          <w:rFonts w:ascii="Courier New" w:eastAsia="Times New Roman" w:hAnsi="Courier New" w:cs="Courier New"/>
          <w:sz w:val="20"/>
          <w:szCs w:val="20"/>
        </w:rPr>
        <w:t>":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"@type": "Answer",</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gramStart"/>
      <w:r w:rsidRPr="00CC30B9">
        <w:rPr>
          <w:rFonts w:ascii="Courier New" w:eastAsia="Times New Roman" w:hAnsi="Courier New" w:cs="Courier New"/>
          <w:sz w:val="20"/>
          <w:szCs w:val="20"/>
        </w:rPr>
        <w:t>text</w:t>
      </w:r>
      <w:proofErr w:type="gramEnd"/>
      <w:r w:rsidRPr="00CC30B9">
        <w:rPr>
          <w:rFonts w:ascii="Courier New" w:eastAsia="Times New Roman" w:hAnsi="Courier New" w:cs="Courier New"/>
          <w:sz w:val="20"/>
          <w:szCs w:val="20"/>
        </w:rPr>
        <w:t>": "The market is expected to grow at a CAGR of 12.3% from 2024 to 2030."</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"@type": "Question",</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gramStart"/>
      <w:r w:rsidRPr="00CC30B9">
        <w:rPr>
          <w:rFonts w:ascii="Courier New" w:eastAsia="Times New Roman" w:hAnsi="Courier New" w:cs="Courier New"/>
          <w:sz w:val="20"/>
          <w:szCs w:val="20"/>
        </w:rPr>
        <w:t>name</w:t>
      </w:r>
      <w:proofErr w:type="gramEnd"/>
      <w:r w:rsidRPr="00CC30B9">
        <w:rPr>
          <w:rFonts w:ascii="Courier New" w:eastAsia="Times New Roman" w:hAnsi="Courier New" w:cs="Courier New"/>
          <w:sz w:val="20"/>
          <w:szCs w:val="20"/>
        </w:rPr>
        <w:t>": "Who are the major players in this market?",</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spellStart"/>
      <w:proofErr w:type="gramStart"/>
      <w:r w:rsidRPr="00CC30B9">
        <w:rPr>
          <w:rFonts w:ascii="Courier New" w:eastAsia="Times New Roman" w:hAnsi="Courier New" w:cs="Courier New"/>
          <w:sz w:val="20"/>
          <w:szCs w:val="20"/>
        </w:rPr>
        <w:t>acceptedAnswer</w:t>
      </w:r>
      <w:proofErr w:type="spellEnd"/>
      <w:proofErr w:type="gramEnd"/>
      <w:r w:rsidRPr="00CC30B9">
        <w:rPr>
          <w:rFonts w:ascii="Courier New" w:eastAsia="Times New Roman" w:hAnsi="Courier New" w:cs="Courier New"/>
          <w:sz w:val="20"/>
          <w:szCs w:val="20"/>
        </w:rPr>
        <w:t>":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"@type": "Answer",</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gramStart"/>
      <w:r w:rsidRPr="00CC30B9">
        <w:rPr>
          <w:rFonts w:ascii="Courier New" w:eastAsia="Times New Roman" w:hAnsi="Courier New" w:cs="Courier New"/>
          <w:sz w:val="20"/>
          <w:szCs w:val="20"/>
        </w:rPr>
        <w:t>text</w:t>
      </w:r>
      <w:proofErr w:type="gramEnd"/>
      <w:r w:rsidRPr="00CC30B9">
        <w:rPr>
          <w:rFonts w:ascii="Courier New" w:eastAsia="Times New Roman" w:hAnsi="Courier New" w:cs="Courier New"/>
          <w:sz w:val="20"/>
          <w:szCs w:val="20"/>
        </w:rPr>
        <w:t>": "Leading players include Bayer AG, Roche, Pfizer, Eli Lilly, Blueprint Medicines, Takeda, and Foundation Medicine."</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"@type": "Question",</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gramStart"/>
      <w:r w:rsidRPr="00CC30B9">
        <w:rPr>
          <w:rFonts w:ascii="Courier New" w:eastAsia="Times New Roman" w:hAnsi="Courier New" w:cs="Courier New"/>
          <w:sz w:val="20"/>
          <w:szCs w:val="20"/>
        </w:rPr>
        <w:t>name</w:t>
      </w:r>
      <w:proofErr w:type="gramEnd"/>
      <w:r w:rsidRPr="00CC30B9">
        <w:rPr>
          <w:rFonts w:ascii="Courier New" w:eastAsia="Times New Roman" w:hAnsi="Courier New" w:cs="Courier New"/>
          <w:sz w:val="20"/>
          <w:szCs w:val="20"/>
        </w:rPr>
        <w:t>": "Which region dominates this market?",</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spellStart"/>
      <w:proofErr w:type="gramStart"/>
      <w:r w:rsidRPr="00CC30B9">
        <w:rPr>
          <w:rFonts w:ascii="Courier New" w:eastAsia="Times New Roman" w:hAnsi="Courier New" w:cs="Courier New"/>
          <w:sz w:val="20"/>
          <w:szCs w:val="20"/>
        </w:rPr>
        <w:t>acceptedAnswer</w:t>
      </w:r>
      <w:proofErr w:type="spellEnd"/>
      <w:proofErr w:type="gramEnd"/>
      <w:r w:rsidRPr="00CC30B9">
        <w:rPr>
          <w:rFonts w:ascii="Courier New" w:eastAsia="Times New Roman" w:hAnsi="Courier New" w:cs="Courier New"/>
          <w:sz w:val="20"/>
          <w:szCs w:val="20"/>
        </w:rPr>
        <w:t>":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lastRenderedPageBreak/>
        <w:t xml:space="preserve">        "@type": "Answer",</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gramStart"/>
      <w:r w:rsidRPr="00CC30B9">
        <w:rPr>
          <w:rFonts w:ascii="Courier New" w:eastAsia="Times New Roman" w:hAnsi="Courier New" w:cs="Courier New"/>
          <w:sz w:val="20"/>
          <w:szCs w:val="20"/>
        </w:rPr>
        <w:t>text</w:t>
      </w:r>
      <w:proofErr w:type="gramEnd"/>
      <w:r w:rsidRPr="00CC30B9">
        <w:rPr>
          <w:rFonts w:ascii="Courier New" w:eastAsia="Times New Roman" w:hAnsi="Courier New" w:cs="Courier New"/>
          <w:sz w:val="20"/>
          <w:szCs w:val="20"/>
        </w:rPr>
        <w:t>": "North America leads due to strong diagnostic infrastructure and early regulatory approvals."</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"@type": "Question",</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gramStart"/>
      <w:r w:rsidRPr="00CC30B9">
        <w:rPr>
          <w:rFonts w:ascii="Courier New" w:eastAsia="Times New Roman" w:hAnsi="Courier New" w:cs="Courier New"/>
          <w:sz w:val="20"/>
          <w:szCs w:val="20"/>
        </w:rPr>
        <w:t>name</w:t>
      </w:r>
      <w:proofErr w:type="gramEnd"/>
      <w:r w:rsidRPr="00CC30B9">
        <w:rPr>
          <w:rFonts w:ascii="Courier New" w:eastAsia="Times New Roman" w:hAnsi="Courier New" w:cs="Courier New"/>
          <w:sz w:val="20"/>
          <w:szCs w:val="20"/>
        </w:rPr>
        <w:t>": "What factors are driving this market?",</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spellStart"/>
      <w:proofErr w:type="gramStart"/>
      <w:r w:rsidRPr="00CC30B9">
        <w:rPr>
          <w:rFonts w:ascii="Courier New" w:eastAsia="Times New Roman" w:hAnsi="Courier New" w:cs="Courier New"/>
          <w:sz w:val="20"/>
          <w:szCs w:val="20"/>
        </w:rPr>
        <w:t>acceptedAnswer</w:t>
      </w:r>
      <w:proofErr w:type="spellEnd"/>
      <w:proofErr w:type="gramEnd"/>
      <w:r w:rsidRPr="00CC30B9">
        <w:rPr>
          <w:rFonts w:ascii="Courier New" w:eastAsia="Times New Roman" w:hAnsi="Courier New" w:cs="Courier New"/>
          <w:sz w:val="20"/>
          <w:szCs w:val="20"/>
        </w:rPr>
        <w:t>":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"@type": "Answer",</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roofErr w:type="gramStart"/>
      <w:r w:rsidRPr="00CC30B9">
        <w:rPr>
          <w:rFonts w:ascii="Courier New" w:eastAsia="Times New Roman" w:hAnsi="Courier New" w:cs="Courier New"/>
          <w:sz w:val="20"/>
          <w:szCs w:val="20"/>
        </w:rPr>
        <w:t>text</w:t>
      </w:r>
      <w:proofErr w:type="gramEnd"/>
      <w:r w:rsidRPr="00CC30B9">
        <w:rPr>
          <w:rFonts w:ascii="Courier New" w:eastAsia="Times New Roman" w:hAnsi="Courier New" w:cs="Courier New"/>
          <w:sz w:val="20"/>
          <w:szCs w:val="20"/>
        </w:rPr>
        <w:t>": "Growth is fueled by tumor-agnostic FDA approvals, genomic testing expansion, and drug-payer alignment."</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 xml:space="preserve">  ]</w:t>
      </w:r>
    </w:p>
    <w:p w:rsidR="00CC30B9" w:rsidRPr="00CC30B9" w:rsidRDefault="00CC30B9" w:rsidP="00CC3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30B9">
        <w:rPr>
          <w:rFonts w:ascii="Courier New" w:eastAsia="Times New Roman" w:hAnsi="Courier New" w:cs="Courier New"/>
          <w:sz w:val="20"/>
          <w:szCs w:val="20"/>
        </w:rPr>
        <w:t>}</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461596" w:rsidRDefault="0046159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C30B9" w:rsidRPr="00CC30B9" w:rsidRDefault="00CC30B9" w:rsidP="00CC30B9">
      <w:pPr>
        <w:spacing w:before="100" w:beforeAutospacing="1" w:after="100" w:afterAutospacing="1" w:line="240" w:lineRule="auto"/>
        <w:outlineLvl w:val="2"/>
        <w:rPr>
          <w:rFonts w:ascii="Times New Roman" w:eastAsia="Times New Roman" w:hAnsi="Times New Roman" w:cs="Times New Roman"/>
          <w:b/>
          <w:bCs/>
          <w:sz w:val="27"/>
          <w:szCs w:val="27"/>
        </w:rPr>
      </w:pPr>
      <w:r w:rsidRPr="00CC30B9">
        <w:rPr>
          <w:rFonts w:ascii="Times New Roman" w:eastAsia="Times New Roman" w:hAnsi="Times New Roman" w:cs="Times New Roman"/>
          <w:b/>
          <w:bCs/>
          <w:sz w:val="27"/>
          <w:szCs w:val="27"/>
        </w:rPr>
        <w:lastRenderedPageBreak/>
        <w:t>9. Table of Contents for NTRK Fusion Gene Positive Advanced Solid Tumor Market Report (2024–2030)</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Times New Roman" w:eastAsia="Times New Roman" w:hAnsi="Times New Roman" w:cs="Times New Roman"/>
          <w:b/>
          <w:bCs/>
          <w:sz w:val="24"/>
          <w:szCs w:val="24"/>
        </w:rPr>
        <w:t>Executive Summary</w:t>
      </w:r>
    </w:p>
    <w:p w:rsidR="00CC30B9" w:rsidRPr="00CC30B9" w:rsidRDefault="00CC30B9" w:rsidP="00CC30B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Market Overview</w:t>
      </w:r>
    </w:p>
    <w:p w:rsidR="00CC30B9" w:rsidRPr="00CC30B9" w:rsidRDefault="00CC30B9" w:rsidP="00CC30B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Market Attractiveness by Treatment Type, Diagnostic Technology, End User, and Region</w:t>
      </w:r>
    </w:p>
    <w:p w:rsidR="00CC30B9" w:rsidRPr="00CC30B9" w:rsidRDefault="00CC30B9" w:rsidP="00CC30B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Strategic Insights from Key Executives (CXO Perspective)</w:t>
      </w:r>
    </w:p>
    <w:p w:rsidR="00CC30B9" w:rsidRPr="00CC30B9" w:rsidRDefault="00CC30B9" w:rsidP="00CC30B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Historical Market Size and Future Projections (2022–2030)</w:t>
      </w:r>
    </w:p>
    <w:p w:rsidR="00CC30B9" w:rsidRPr="00CC30B9" w:rsidRDefault="00CC30B9" w:rsidP="00CC30B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Summary of Market Segmentation by Treatment, Diagnostics, End User, and Region</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Times New Roman" w:eastAsia="Times New Roman" w:hAnsi="Times New Roman" w:cs="Times New Roman"/>
          <w:b/>
          <w:bCs/>
          <w:sz w:val="24"/>
          <w:szCs w:val="24"/>
        </w:rPr>
        <w:t>Market Share Analysis</w:t>
      </w:r>
    </w:p>
    <w:p w:rsidR="00CC30B9" w:rsidRPr="00CC30B9" w:rsidRDefault="00CC30B9" w:rsidP="00CC30B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Leading Players by Revenue and Market Share</w:t>
      </w:r>
    </w:p>
    <w:p w:rsidR="00CC30B9" w:rsidRPr="00CC30B9" w:rsidRDefault="00CC30B9" w:rsidP="00CC30B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Market Share Analysis by Treatment Type and Diagnostic Method</w:t>
      </w:r>
    </w:p>
    <w:p w:rsidR="00CC30B9" w:rsidRPr="00CC30B9" w:rsidRDefault="00CC30B9" w:rsidP="00CC30B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Market Share by End User and Region</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Times New Roman" w:eastAsia="Times New Roman" w:hAnsi="Times New Roman" w:cs="Times New Roman"/>
          <w:b/>
          <w:bCs/>
          <w:sz w:val="24"/>
          <w:szCs w:val="24"/>
        </w:rPr>
        <w:t>Investment Opportunities in the NTRK Fusion Gene Positive Advanced Solid Tumor Market</w:t>
      </w:r>
    </w:p>
    <w:p w:rsidR="00CC30B9" w:rsidRPr="00CC30B9" w:rsidRDefault="00CC30B9" w:rsidP="00CC30B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Key Developments and Innovation Hotspots</w:t>
      </w:r>
    </w:p>
    <w:p w:rsidR="00CC30B9" w:rsidRPr="00CC30B9" w:rsidRDefault="00CC30B9" w:rsidP="00CC30B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Strategic M&amp;A, Licensing Deals, and Pipeline Expansions</w:t>
      </w:r>
    </w:p>
    <w:p w:rsidR="00CC30B9" w:rsidRPr="00CC30B9" w:rsidRDefault="00CC30B9" w:rsidP="00CC30B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High-Growth Segments for Investment (e.g., Second-Gen Inhibitors, Liquid Biopsy Platforms)</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Times New Roman" w:eastAsia="Times New Roman" w:hAnsi="Times New Roman" w:cs="Times New Roman"/>
          <w:b/>
          <w:bCs/>
          <w:sz w:val="24"/>
          <w:szCs w:val="24"/>
        </w:rPr>
        <w:t>Market Introduction</w:t>
      </w:r>
    </w:p>
    <w:p w:rsidR="00CC30B9" w:rsidRPr="00CC30B9" w:rsidRDefault="00CC30B9" w:rsidP="00CC30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Definition and Scope of the Study</w:t>
      </w:r>
    </w:p>
    <w:p w:rsidR="00CC30B9" w:rsidRPr="00CC30B9" w:rsidRDefault="00CC30B9" w:rsidP="00CC30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Market Structure and Key Terminologies</w:t>
      </w:r>
    </w:p>
    <w:p w:rsidR="00CC30B9" w:rsidRPr="00CC30B9" w:rsidRDefault="00CC30B9" w:rsidP="00CC30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Overview of Investment Pockets and Opportunity Map</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Times New Roman" w:eastAsia="Times New Roman" w:hAnsi="Times New Roman" w:cs="Times New Roman"/>
          <w:b/>
          <w:bCs/>
          <w:sz w:val="24"/>
          <w:szCs w:val="24"/>
        </w:rPr>
        <w:t>Research Methodology</w:t>
      </w:r>
    </w:p>
    <w:p w:rsidR="00CC30B9" w:rsidRPr="00CC30B9" w:rsidRDefault="00CC30B9" w:rsidP="00CC30B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Research Process Overview</w:t>
      </w:r>
    </w:p>
    <w:p w:rsidR="00CC30B9" w:rsidRPr="00CC30B9" w:rsidRDefault="00CC30B9" w:rsidP="00CC30B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Primary and Secondary Research Approaches</w:t>
      </w:r>
    </w:p>
    <w:p w:rsidR="00CC30B9" w:rsidRPr="00CC30B9" w:rsidRDefault="00CC30B9" w:rsidP="00CC30B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Market Size Estimation and Forecasting Techniques</w:t>
      </w:r>
    </w:p>
    <w:p w:rsidR="00CC30B9" w:rsidRPr="00CC30B9" w:rsidRDefault="00CC30B9" w:rsidP="00CC30B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lastRenderedPageBreak/>
        <w:t>Data Triangulation and Expert Validation Methods</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Times New Roman" w:eastAsia="Times New Roman" w:hAnsi="Times New Roman" w:cs="Times New Roman"/>
          <w:b/>
          <w:bCs/>
          <w:sz w:val="24"/>
          <w:szCs w:val="24"/>
        </w:rPr>
        <w:t>Market Dynamics</w:t>
      </w:r>
    </w:p>
    <w:p w:rsidR="00CC30B9" w:rsidRPr="00CC30B9" w:rsidRDefault="00CC30B9" w:rsidP="00CC30B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Key Market Drivers</w:t>
      </w:r>
    </w:p>
    <w:p w:rsidR="00CC30B9" w:rsidRPr="00CC30B9" w:rsidRDefault="00CC30B9" w:rsidP="00CC30B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Challenges and Restraints Impacting Growth</w:t>
      </w:r>
    </w:p>
    <w:p w:rsidR="00CC30B9" w:rsidRPr="00CC30B9" w:rsidRDefault="00CC30B9" w:rsidP="00CC30B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Emerging Opportunities for Stakeholders</w:t>
      </w:r>
    </w:p>
    <w:p w:rsidR="00CC30B9" w:rsidRPr="00CC30B9" w:rsidRDefault="00CC30B9" w:rsidP="00CC30B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Impact of Precision Oncology Policies and Payer Alignment</w:t>
      </w:r>
    </w:p>
    <w:p w:rsidR="00CC30B9" w:rsidRPr="00CC30B9" w:rsidRDefault="00CC30B9" w:rsidP="00CC30B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Regulatory Trends (FDA, EMA, PMDA, etc.)</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Times New Roman" w:eastAsia="Times New Roman" w:hAnsi="Times New Roman" w:cs="Times New Roman"/>
          <w:b/>
          <w:bCs/>
          <w:sz w:val="24"/>
          <w:szCs w:val="24"/>
        </w:rPr>
        <w:t>Global Market Analysis (2024–2030)</w:t>
      </w:r>
    </w:p>
    <w:p w:rsidR="00CC30B9" w:rsidRPr="00CC30B9" w:rsidRDefault="00CC30B9" w:rsidP="00CC30B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Market Size and Volume Forecasts</w:t>
      </w:r>
    </w:p>
    <w:p w:rsidR="00CC30B9" w:rsidRPr="00CC30B9" w:rsidRDefault="00CC30B9" w:rsidP="00CC30B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Market Analysis by Treatment Type:</w:t>
      </w:r>
    </w:p>
    <w:p w:rsidR="00CC30B9" w:rsidRPr="00CC30B9" w:rsidRDefault="00CC30B9" w:rsidP="00CC30B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Targeted Therapy (TRK Inhibitors)</w:t>
      </w:r>
    </w:p>
    <w:p w:rsidR="00CC30B9" w:rsidRPr="00CC30B9" w:rsidRDefault="00CC30B9" w:rsidP="00CC30B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Chemotherapy &amp; Radiotherapy</w:t>
      </w:r>
    </w:p>
    <w:p w:rsidR="00CC30B9" w:rsidRPr="00CC30B9" w:rsidRDefault="00CC30B9" w:rsidP="00CC30B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Immunotherapy</w:t>
      </w:r>
    </w:p>
    <w:p w:rsidR="00CC30B9" w:rsidRPr="00CC30B9" w:rsidRDefault="00CC30B9" w:rsidP="00CC30B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Market Analysis by Diagnostic Technology:</w:t>
      </w:r>
    </w:p>
    <w:p w:rsidR="00CC30B9" w:rsidRPr="00CC30B9" w:rsidRDefault="00CC30B9" w:rsidP="00CC30B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Next-Generation Sequencing (NGS)</w:t>
      </w:r>
    </w:p>
    <w:p w:rsidR="00CC30B9" w:rsidRPr="00CC30B9" w:rsidRDefault="00CC30B9" w:rsidP="00CC30B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FISH</w:t>
      </w:r>
    </w:p>
    <w:p w:rsidR="00CC30B9" w:rsidRPr="00CC30B9" w:rsidRDefault="00CC30B9" w:rsidP="00CC30B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RT-PCR</w:t>
      </w:r>
    </w:p>
    <w:p w:rsidR="00CC30B9" w:rsidRPr="00CC30B9" w:rsidRDefault="00CC30B9" w:rsidP="00CC30B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Immunohistochemistry (IHC)</w:t>
      </w:r>
    </w:p>
    <w:p w:rsidR="00CC30B9" w:rsidRPr="00CC30B9" w:rsidRDefault="00CC30B9" w:rsidP="00CC30B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Market Analysis by End User:</w:t>
      </w:r>
    </w:p>
    <w:p w:rsidR="00CC30B9" w:rsidRPr="00CC30B9" w:rsidRDefault="00CC30B9" w:rsidP="00CC30B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Academic Institutions</w:t>
      </w:r>
    </w:p>
    <w:p w:rsidR="00CC30B9" w:rsidRPr="00CC30B9" w:rsidRDefault="00CC30B9" w:rsidP="00CC30B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Specialty Oncology Clinics</w:t>
      </w:r>
    </w:p>
    <w:p w:rsidR="00CC30B9" w:rsidRPr="00CC30B9" w:rsidRDefault="00CC30B9" w:rsidP="00CC30B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General Hospitals</w:t>
      </w:r>
    </w:p>
    <w:p w:rsidR="00CC30B9" w:rsidRPr="00CC30B9" w:rsidRDefault="00CC30B9" w:rsidP="00CC30B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Diagnostic Laboratories</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Times New Roman" w:eastAsia="Times New Roman" w:hAnsi="Times New Roman" w:cs="Times New Roman"/>
          <w:b/>
          <w:bCs/>
          <w:sz w:val="24"/>
          <w:szCs w:val="24"/>
        </w:rPr>
        <w:t>Regional Market Analysis</w:t>
      </w:r>
    </w:p>
    <w:p w:rsidR="00CC30B9" w:rsidRPr="00CC30B9" w:rsidRDefault="00CC30B9" w:rsidP="00CC30B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North America</w:t>
      </w:r>
    </w:p>
    <w:p w:rsidR="00CC30B9" w:rsidRPr="00CC30B9" w:rsidRDefault="00CC30B9" w:rsidP="00CC30B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U.S., Canada, Mexico</w:t>
      </w:r>
    </w:p>
    <w:p w:rsidR="00CC30B9" w:rsidRPr="00CC30B9" w:rsidRDefault="00CC30B9" w:rsidP="00CC30B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Europe</w:t>
      </w:r>
    </w:p>
    <w:p w:rsidR="00CC30B9" w:rsidRPr="00CC30B9" w:rsidRDefault="00CC30B9" w:rsidP="00CC30B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Germany, UK, France, Italy, Spain, Rest of Europe</w:t>
      </w:r>
    </w:p>
    <w:p w:rsidR="00CC30B9" w:rsidRPr="00CC30B9" w:rsidRDefault="00CC30B9" w:rsidP="00CC30B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Asia Pacific</w:t>
      </w:r>
    </w:p>
    <w:p w:rsidR="00CC30B9" w:rsidRPr="00CC30B9" w:rsidRDefault="00CC30B9" w:rsidP="00CC30B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China, Japan, South Korea, India, Rest of Asia Pacific</w:t>
      </w:r>
    </w:p>
    <w:p w:rsidR="00CC30B9" w:rsidRPr="00CC30B9" w:rsidRDefault="00CC30B9" w:rsidP="00CC30B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Latin America</w:t>
      </w:r>
    </w:p>
    <w:p w:rsidR="00CC30B9" w:rsidRPr="00CC30B9" w:rsidRDefault="00CC30B9" w:rsidP="00CC30B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Brazil, Argentina, Rest of Latin America</w:t>
      </w:r>
    </w:p>
    <w:p w:rsidR="00CC30B9" w:rsidRPr="00CC30B9" w:rsidRDefault="00CC30B9" w:rsidP="00CC30B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b/>
          <w:bCs/>
          <w:sz w:val="24"/>
          <w:szCs w:val="24"/>
        </w:rPr>
        <w:t>Middle East &amp; Africa</w:t>
      </w:r>
    </w:p>
    <w:p w:rsidR="00CC30B9" w:rsidRPr="00CC30B9" w:rsidRDefault="00CC30B9" w:rsidP="00CC30B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UAE, Israel, South Africa, Rest of MEA</w:t>
      </w:r>
    </w:p>
    <w:p w:rsidR="00CC30B9" w:rsidRPr="00CC30B9" w:rsidRDefault="00CC30B9" w:rsidP="00CC30B9">
      <w:p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lastRenderedPageBreak/>
        <w:t>Each region includes:</w:t>
      </w:r>
    </w:p>
    <w:p w:rsidR="00CC30B9" w:rsidRPr="00CC30B9" w:rsidRDefault="00CC30B9" w:rsidP="00CC30B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Historical &amp; Forecasted Market Size</w:t>
      </w:r>
    </w:p>
    <w:p w:rsidR="00CC30B9" w:rsidRPr="00CC30B9" w:rsidRDefault="00CC30B9" w:rsidP="00CC30B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Regional Drivers &amp; Barriers</w:t>
      </w:r>
    </w:p>
    <w:p w:rsidR="00CC30B9" w:rsidRPr="00CC30B9" w:rsidRDefault="00CC30B9" w:rsidP="00CC30B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Infrastructure and Reimbursement Overview</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Times New Roman" w:eastAsia="Times New Roman" w:hAnsi="Times New Roman" w:cs="Times New Roman"/>
          <w:b/>
          <w:bCs/>
          <w:sz w:val="24"/>
          <w:szCs w:val="24"/>
        </w:rPr>
        <w:t>Competitive Intelligence and Benchmarking</w:t>
      </w:r>
    </w:p>
    <w:p w:rsidR="00CC30B9" w:rsidRPr="00CC30B9" w:rsidRDefault="00CC30B9" w:rsidP="00CC30B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Competitive Landscape Overview</w:t>
      </w:r>
    </w:p>
    <w:p w:rsidR="00CC30B9" w:rsidRPr="00CC30B9" w:rsidRDefault="00CC30B9" w:rsidP="00CC30B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Company Profiles:</w:t>
      </w:r>
    </w:p>
    <w:p w:rsidR="00CC30B9" w:rsidRPr="00CC30B9" w:rsidRDefault="00CC30B9" w:rsidP="00CC30B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Bayer AG</w:t>
      </w:r>
    </w:p>
    <w:p w:rsidR="00CC30B9" w:rsidRPr="00CC30B9" w:rsidRDefault="00CC30B9" w:rsidP="00CC30B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Roche Holding AG</w:t>
      </w:r>
    </w:p>
    <w:p w:rsidR="00CC30B9" w:rsidRPr="00CC30B9" w:rsidRDefault="00CC30B9" w:rsidP="00CC30B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Pfizer Inc.</w:t>
      </w:r>
    </w:p>
    <w:p w:rsidR="00CC30B9" w:rsidRPr="00CC30B9" w:rsidRDefault="00CC30B9" w:rsidP="00CC30B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Eli Lilly and Company</w:t>
      </w:r>
    </w:p>
    <w:p w:rsidR="00CC30B9" w:rsidRPr="00CC30B9" w:rsidRDefault="00CC30B9" w:rsidP="00CC30B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Blueprint Medicines</w:t>
      </w:r>
    </w:p>
    <w:p w:rsidR="00CC30B9" w:rsidRPr="00CC30B9" w:rsidRDefault="00CC30B9" w:rsidP="00CC30B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Takeda Pharmaceutical</w:t>
      </w:r>
    </w:p>
    <w:p w:rsidR="00CC30B9" w:rsidRPr="00CC30B9" w:rsidRDefault="00CC30B9" w:rsidP="00CC30B9">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Foundation Medicine</w:t>
      </w:r>
    </w:p>
    <w:p w:rsidR="00CC30B9" w:rsidRPr="00CC30B9" w:rsidRDefault="00CC30B9" w:rsidP="00CC30B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Strategic Differentiation Matrix</w:t>
      </w:r>
    </w:p>
    <w:p w:rsidR="00CC30B9" w:rsidRPr="00CC30B9" w:rsidRDefault="00CC30B9" w:rsidP="00CC30B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Product Launches, Trials, and Approvals</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Times New Roman" w:eastAsia="Times New Roman" w:hAnsi="Times New Roman" w:cs="Times New Roman"/>
          <w:b/>
          <w:bCs/>
          <w:sz w:val="24"/>
          <w:szCs w:val="24"/>
        </w:rPr>
        <w:t>Appendix</w:t>
      </w:r>
    </w:p>
    <w:p w:rsidR="00CC30B9" w:rsidRPr="00CC30B9" w:rsidRDefault="00CC30B9" w:rsidP="00CC30B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Abbreviations and Acronyms</w:t>
      </w:r>
    </w:p>
    <w:p w:rsidR="00CC30B9" w:rsidRPr="00CC30B9" w:rsidRDefault="00CC30B9" w:rsidP="00CC30B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Data Sources and References</w:t>
      </w:r>
    </w:p>
    <w:p w:rsidR="00CC30B9" w:rsidRPr="00CC30B9" w:rsidRDefault="00CC30B9" w:rsidP="00CC30B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Research Assumptions and Limitations</w:t>
      </w:r>
    </w:p>
    <w:p w:rsidR="00CC30B9" w:rsidRPr="00CC30B9" w:rsidRDefault="00CC30B9" w:rsidP="00CC30B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Customization Services</w:t>
      </w:r>
    </w:p>
    <w:p w:rsidR="00CC30B9" w:rsidRPr="00CC30B9" w:rsidRDefault="00461596" w:rsidP="00CC3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CC30B9" w:rsidRPr="00CC30B9" w:rsidRDefault="00CC30B9" w:rsidP="00CC30B9">
      <w:pPr>
        <w:spacing w:before="100" w:beforeAutospacing="1" w:after="100" w:afterAutospacing="1" w:line="240" w:lineRule="auto"/>
        <w:outlineLvl w:val="3"/>
        <w:rPr>
          <w:rFonts w:ascii="Times New Roman" w:eastAsia="Times New Roman" w:hAnsi="Times New Roman" w:cs="Times New Roman"/>
          <w:b/>
          <w:bCs/>
          <w:sz w:val="24"/>
          <w:szCs w:val="24"/>
        </w:rPr>
      </w:pPr>
      <w:r w:rsidRPr="00CC30B9">
        <w:rPr>
          <w:rFonts w:ascii="Times New Roman" w:eastAsia="Times New Roman" w:hAnsi="Times New Roman" w:cs="Times New Roman"/>
          <w:b/>
          <w:bCs/>
          <w:sz w:val="24"/>
          <w:szCs w:val="24"/>
        </w:rPr>
        <w:t>List of Tables and Figures</w:t>
      </w:r>
    </w:p>
    <w:p w:rsidR="00CC30B9" w:rsidRPr="00CC30B9" w:rsidRDefault="00CC30B9" w:rsidP="00CC30B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Market Size by Segment (2024–2030)</w:t>
      </w:r>
    </w:p>
    <w:p w:rsidR="00CC30B9" w:rsidRPr="00CC30B9" w:rsidRDefault="00CC30B9" w:rsidP="00CC30B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Market Share by Region and Segment</w:t>
      </w:r>
    </w:p>
    <w:p w:rsidR="00CC30B9" w:rsidRPr="00CC30B9" w:rsidRDefault="00CC30B9" w:rsidP="00CC30B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Key Regulatory Approvals (2022–2024)</w:t>
      </w:r>
    </w:p>
    <w:p w:rsidR="00CC30B9" w:rsidRPr="00CC30B9" w:rsidRDefault="00CC30B9" w:rsidP="00CC30B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Investment Trends by Company</w:t>
      </w:r>
    </w:p>
    <w:p w:rsidR="00CC30B9" w:rsidRPr="00CC30B9" w:rsidRDefault="00CC30B9" w:rsidP="00CC30B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Regional Penetration Rates of Genomic Testing</w:t>
      </w:r>
    </w:p>
    <w:p w:rsidR="00CC30B9" w:rsidRPr="00CC30B9" w:rsidRDefault="00CC30B9" w:rsidP="00CC30B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C30B9">
        <w:rPr>
          <w:rFonts w:ascii="Times New Roman" w:eastAsia="Times New Roman" w:hAnsi="Times New Roman" w:cs="Times New Roman"/>
          <w:sz w:val="24"/>
          <w:szCs w:val="24"/>
        </w:rPr>
        <w:t xml:space="preserve">Competitive </w:t>
      </w:r>
      <w:proofErr w:type="spellStart"/>
      <w:r w:rsidRPr="00CC30B9">
        <w:rPr>
          <w:rFonts w:ascii="Times New Roman" w:eastAsia="Times New Roman" w:hAnsi="Times New Roman" w:cs="Times New Roman"/>
          <w:sz w:val="24"/>
          <w:szCs w:val="24"/>
        </w:rPr>
        <w:t>Heatmaps</w:t>
      </w:r>
      <w:proofErr w:type="spellEnd"/>
      <w:r w:rsidRPr="00CC30B9">
        <w:rPr>
          <w:rFonts w:ascii="Times New Roman" w:eastAsia="Times New Roman" w:hAnsi="Times New Roman" w:cs="Times New Roman"/>
          <w:sz w:val="24"/>
          <w:szCs w:val="24"/>
        </w:rPr>
        <w:t xml:space="preserve"> and Benchmarking Tools</w:t>
      </w:r>
    </w:p>
    <w:p w:rsidR="00643157" w:rsidRDefault="00643157"/>
    <w:sectPr w:rsidR="006431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42C88"/>
    <w:multiLevelType w:val="multilevel"/>
    <w:tmpl w:val="57D4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2346E"/>
    <w:multiLevelType w:val="multilevel"/>
    <w:tmpl w:val="29DE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F4E37"/>
    <w:multiLevelType w:val="multilevel"/>
    <w:tmpl w:val="A8CC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57D60"/>
    <w:multiLevelType w:val="multilevel"/>
    <w:tmpl w:val="3A3A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A20B43"/>
    <w:multiLevelType w:val="multilevel"/>
    <w:tmpl w:val="5F3C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42735"/>
    <w:multiLevelType w:val="multilevel"/>
    <w:tmpl w:val="8634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6658F"/>
    <w:multiLevelType w:val="multilevel"/>
    <w:tmpl w:val="EAC8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608B4"/>
    <w:multiLevelType w:val="multilevel"/>
    <w:tmpl w:val="08DC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7301E"/>
    <w:multiLevelType w:val="multilevel"/>
    <w:tmpl w:val="44CA7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8061DC"/>
    <w:multiLevelType w:val="multilevel"/>
    <w:tmpl w:val="E70A0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649CA"/>
    <w:multiLevelType w:val="multilevel"/>
    <w:tmpl w:val="27D8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D29A6"/>
    <w:multiLevelType w:val="multilevel"/>
    <w:tmpl w:val="0DB6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021EF"/>
    <w:multiLevelType w:val="multilevel"/>
    <w:tmpl w:val="24EA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163C7"/>
    <w:multiLevelType w:val="multilevel"/>
    <w:tmpl w:val="40E86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6E3E71"/>
    <w:multiLevelType w:val="multilevel"/>
    <w:tmpl w:val="9258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B96309"/>
    <w:multiLevelType w:val="multilevel"/>
    <w:tmpl w:val="1D2A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334A13"/>
    <w:multiLevelType w:val="multilevel"/>
    <w:tmpl w:val="1F8A4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AE6A4B"/>
    <w:multiLevelType w:val="multilevel"/>
    <w:tmpl w:val="3214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682DF7"/>
    <w:multiLevelType w:val="multilevel"/>
    <w:tmpl w:val="0D2CB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F27C75"/>
    <w:multiLevelType w:val="multilevel"/>
    <w:tmpl w:val="DFA0A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C4A03"/>
    <w:multiLevelType w:val="multilevel"/>
    <w:tmpl w:val="21F8A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F72D27"/>
    <w:multiLevelType w:val="multilevel"/>
    <w:tmpl w:val="EDB6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3167D3"/>
    <w:multiLevelType w:val="multilevel"/>
    <w:tmpl w:val="B394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05765"/>
    <w:multiLevelType w:val="multilevel"/>
    <w:tmpl w:val="1D5A4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931C87"/>
    <w:multiLevelType w:val="multilevel"/>
    <w:tmpl w:val="3E5E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49583E"/>
    <w:multiLevelType w:val="multilevel"/>
    <w:tmpl w:val="14B2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7"/>
  </w:num>
  <w:num w:numId="3">
    <w:abstractNumId w:val="3"/>
  </w:num>
  <w:num w:numId="4">
    <w:abstractNumId w:val="20"/>
  </w:num>
  <w:num w:numId="5">
    <w:abstractNumId w:val="23"/>
  </w:num>
  <w:num w:numId="6">
    <w:abstractNumId w:val="13"/>
  </w:num>
  <w:num w:numId="7">
    <w:abstractNumId w:val="16"/>
  </w:num>
  <w:num w:numId="8">
    <w:abstractNumId w:val="12"/>
  </w:num>
  <w:num w:numId="9">
    <w:abstractNumId w:val="24"/>
  </w:num>
  <w:num w:numId="10">
    <w:abstractNumId w:val="6"/>
  </w:num>
  <w:num w:numId="11">
    <w:abstractNumId w:val="1"/>
  </w:num>
  <w:num w:numId="12">
    <w:abstractNumId w:val="22"/>
  </w:num>
  <w:num w:numId="13">
    <w:abstractNumId w:val="5"/>
  </w:num>
  <w:num w:numId="14">
    <w:abstractNumId w:val="18"/>
  </w:num>
  <w:num w:numId="15">
    <w:abstractNumId w:val="10"/>
  </w:num>
  <w:num w:numId="16">
    <w:abstractNumId w:val="15"/>
  </w:num>
  <w:num w:numId="17">
    <w:abstractNumId w:val="2"/>
  </w:num>
  <w:num w:numId="18">
    <w:abstractNumId w:val="14"/>
  </w:num>
  <w:num w:numId="19">
    <w:abstractNumId w:val="0"/>
  </w:num>
  <w:num w:numId="20">
    <w:abstractNumId w:val="25"/>
  </w:num>
  <w:num w:numId="21">
    <w:abstractNumId w:val="8"/>
  </w:num>
  <w:num w:numId="22">
    <w:abstractNumId w:val="19"/>
  </w:num>
  <w:num w:numId="23">
    <w:abstractNumId w:val="4"/>
  </w:num>
  <w:num w:numId="24">
    <w:abstractNumId w:val="9"/>
  </w:num>
  <w:num w:numId="25">
    <w:abstractNumId w:val="11"/>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0B9"/>
    <w:rsid w:val="00461596"/>
    <w:rsid w:val="00643157"/>
    <w:rsid w:val="00CC3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21BF4"/>
  <w15:chartTrackingRefBased/>
  <w15:docId w15:val="{D743DD82-0214-4106-A0B6-9B23E54F0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159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2570778">
      <w:bodyDiv w:val="1"/>
      <w:marLeft w:val="0"/>
      <w:marRight w:val="0"/>
      <w:marTop w:val="0"/>
      <w:marBottom w:val="0"/>
      <w:divBdr>
        <w:top w:val="none" w:sz="0" w:space="0" w:color="auto"/>
        <w:left w:val="none" w:sz="0" w:space="0" w:color="auto"/>
        <w:bottom w:val="none" w:sz="0" w:space="0" w:color="auto"/>
        <w:right w:val="none" w:sz="0" w:space="0" w:color="auto"/>
      </w:divBdr>
      <w:divsChild>
        <w:div w:id="670450733">
          <w:marLeft w:val="0"/>
          <w:marRight w:val="0"/>
          <w:marTop w:val="0"/>
          <w:marBottom w:val="0"/>
          <w:divBdr>
            <w:top w:val="none" w:sz="0" w:space="0" w:color="auto"/>
            <w:left w:val="none" w:sz="0" w:space="0" w:color="auto"/>
            <w:bottom w:val="none" w:sz="0" w:space="0" w:color="auto"/>
            <w:right w:val="none" w:sz="0" w:space="0" w:color="auto"/>
          </w:divBdr>
          <w:divsChild>
            <w:div w:id="1559976807">
              <w:marLeft w:val="0"/>
              <w:marRight w:val="0"/>
              <w:marTop w:val="0"/>
              <w:marBottom w:val="0"/>
              <w:divBdr>
                <w:top w:val="none" w:sz="0" w:space="0" w:color="auto"/>
                <w:left w:val="none" w:sz="0" w:space="0" w:color="auto"/>
                <w:bottom w:val="none" w:sz="0" w:space="0" w:color="auto"/>
                <w:right w:val="none" w:sz="0" w:space="0" w:color="auto"/>
              </w:divBdr>
              <w:divsChild>
                <w:div w:id="322903665">
                  <w:marLeft w:val="0"/>
                  <w:marRight w:val="0"/>
                  <w:marTop w:val="0"/>
                  <w:marBottom w:val="0"/>
                  <w:divBdr>
                    <w:top w:val="none" w:sz="0" w:space="0" w:color="auto"/>
                    <w:left w:val="none" w:sz="0" w:space="0" w:color="auto"/>
                    <w:bottom w:val="none" w:sz="0" w:space="0" w:color="auto"/>
                    <w:right w:val="none" w:sz="0" w:space="0" w:color="auto"/>
                  </w:divBdr>
                  <w:divsChild>
                    <w:div w:id="302009243">
                      <w:marLeft w:val="0"/>
                      <w:marRight w:val="0"/>
                      <w:marTop w:val="0"/>
                      <w:marBottom w:val="0"/>
                      <w:divBdr>
                        <w:top w:val="none" w:sz="0" w:space="0" w:color="auto"/>
                        <w:left w:val="none" w:sz="0" w:space="0" w:color="auto"/>
                        <w:bottom w:val="none" w:sz="0" w:space="0" w:color="auto"/>
                        <w:right w:val="none" w:sz="0" w:space="0" w:color="auto"/>
                      </w:divBdr>
                      <w:divsChild>
                        <w:div w:id="798687626">
                          <w:marLeft w:val="0"/>
                          <w:marRight w:val="0"/>
                          <w:marTop w:val="0"/>
                          <w:marBottom w:val="0"/>
                          <w:divBdr>
                            <w:top w:val="none" w:sz="0" w:space="0" w:color="auto"/>
                            <w:left w:val="none" w:sz="0" w:space="0" w:color="auto"/>
                            <w:bottom w:val="none" w:sz="0" w:space="0" w:color="auto"/>
                            <w:right w:val="none" w:sz="0" w:space="0" w:color="auto"/>
                          </w:divBdr>
                          <w:divsChild>
                            <w:div w:id="992487374">
                              <w:marLeft w:val="0"/>
                              <w:marRight w:val="0"/>
                              <w:marTop w:val="0"/>
                              <w:marBottom w:val="0"/>
                              <w:divBdr>
                                <w:top w:val="none" w:sz="0" w:space="0" w:color="auto"/>
                                <w:left w:val="none" w:sz="0" w:space="0" w:color="auto"/>
                                <w:bottom w:val="none" w:sz="0" w:space="0" w:color="auto"/>
                                <w:right w:val="none" w:sz="0" w:space="0" w:color="auto"/>
                              </w:divBdr>
                              <w:divsChild>
                                <w:div w:id="251597296">
                                  <w:marLeft w:val="0"/>
                                  <w:marRight w:val="0"/>
                                  <w:marTop w:val="0"/>
                                  <w:marBottom w:val="0"/>
                                  <w:divBdr>
                                    <w:top w:val="none" w:sz="0" w:space="0" w:color="auto"/>
                                    <w:left w:val="none" w:sz="0" w:space="0" w:color="auto"/>
                                    <w:bottom w:val="none" w:sz="0" w:space="0" w:color="auto"/>
                                    <w:right w:val="none" w:sz="0" w:space="0" w:color="auto"/>
                                  </w:divBdr>
                                  <w:divsChild>
                                    <w:div w:id="2379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8529974">
          <w:marLeft w:val="0"/>
          <w:marRight w:val="0"/>
          <w:marTop w:val="0"/>
          <w:marBottom w:val="0"/>
          <w:divBdr>
            <w:top w:val="none" w:sz="0" w:space="0" w:color="auto"/>
            <w:left w:val="none" w:sz="0" w:space="0" w:color="auto"/>
            <w:bottom w:val="none" w:sz="0" w:space="0" w:color="auto"/>
            <w:right w:val="none" w:sz="0" w:space="0" w:color="auto"/>
          </w:divBdr>
          <w:divsChild>
            <w:div w:id="214391931">
              <w:marLeft w:val="0"/>
              <w:marRight w:val="0"/>
              <w:marTop w:val="0"/>
              <w:marBottom w:val="0"/>
              <w:divBdr>
                <w:top w:val="none" w:sz="0" w:space="0" w:color="auto"/>
                <w:left w:val="none" w:sz="0" w:space="0" w:color="auto"/>
                <w:bottom w:val="none" w:sz="0" w:space="0" w:color="auto"/>
                <w:right w:val="none" w:sz="0" w:space="0" w:color="auto"/>
              </w:divBdr>
              <w:divsChild>
                <w:div w:id="884296986">
                  <w:marLeft w:val="0"/>
                  <w:marRight w:val="0"/>
                  <w:marTop w:val="0"/>
                  <w:marBottom w:val="0"/>
                  <w:divBdr>
                    <w:top w:val="none" w:sz="0" w:space="0" w:color="auto"/>
                    <w:left w:val="none" w:sz="0" w:space="0" w:color="auto"/>
                    <w:bottom w:val="none" w:sz="0" w:space="0" w:color="auto"/>
                    <w:right w:val="none" w:sz="0" w:space="0" w:color="auto"/>
                  </w:divBdr>
                  <w:divsChild>
                    <w:div w:id="376782553">
                      <w:marLeft w:val="0"/>
                      <w:marRight w:val="0"/>
                      <w:marTop w:val="0"/>
                      <w:marBottom w:val="0"/>
                      <w:divBdr>
                        <w:top w:val="none" w:sz="0" w:space="0" w:color="auto"/>
                        <w:left w:val="none" w:sz="0" w:space="0" w:color="auto"/>
                        <w:bottom w:val="none" w:sz="0" w:space="0" w:color="auto"/>
                        <w:right w:val="none" w:sz="0" w:space="0" w:color="auto"/>
                      </w:divBdr>
                      <w:divsChild>
                        <w:div w:id="898321037">
                          <w:marLeft w:val="0"/>
                          <w:marRight w:val="0"/>
                          <w:marTop w:val="0"/>
                          <w:marBottom w:val="0"/>
                          <w:divBdr>
                            <w:top w:val="none" w:sz="0" w:space="0" w:color="auto"/>
                            <w:left w:val="none" w:sz="0" w:space="0" w:color="auto"/>
                            <w:bottom w:val="none" w:sz="0" w:space="0" w:color="auto"/>
                            <w:right w:val="none" w:sz="0" w:space="0" w:color="auto"/>
                          </w:divBdr>
                          <w:divsChild>
                            <w:div w:id="2043244320">
                              <w:marLeft w:val="0"/>
                              <w:marRight w:val="0"/>
                              <w:marTop w:val="0"/>
                              <w:marBottom w:val="0"/>
                              <w:divBdr>
                                <w:top w:val="none" w:sz="0" w:space="0" w:color="auto"/>
                                <w:left w:val="none" w:sz="0" w:space="0" w:color="auto"/>
                                <w:bottom w:val="none" w:sz="0" w:space="0" w:color="auto"/>
                                <w:right w:val="none" w:sz="0" w:space="0" w:color="auto"/>
                              </w:divBdr>
                              <w:divsChild>
                                <w:div w:id="396318536">
                                  <w:marLeft w:val="0"/>
                                  <w:marRight w:val="0"/>
                                  <w:marTop w:val="0"/>
                                  <w:marBottom w:val="0"/>
                                  <w:divBdr>
                                    <w:top w:val="none" w:sz="0" w:space="0" w:color="auto"/>
                                    <w:left w:val="none" w:sz="0" w:space="0" w:color="auto"/>
                                    <w:bottom w:val="none" w:sz="0" w:space="0" w:color="auto"/>
                                    <w:right w:val="none" w:sz="0" w:space="0" w:color="auto"/>
                                  </w:divBdr>
                                  <w:divsChild>
                                    <w:div w:id="949776182">
                                      <w:marLeft w:val="0"/>
                                      <w:marRight w:val="0"/>
                                      <w:marTop w:val="0"/>
                                      <w:marBottom w:val="0"/>
                                      <w:divBdr>
                                        <w:top w:val="none" w:sz="0" w:space="0" w:color="auto"/>
                                        <w:left w:val="none" w:sz="0" w:space="0" w:color="auto"/>
                                        <w:bottom w:val="none" w:sz="0" w:space="0" w:color="auto"/>
                                        <w:right w:val="none" w:sz="0" w:space="0" w:color="auto"/>
                                      </w:divBdr>
                                      <w:divsChild>
                                        <w:div w:id="19033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7901132">
          <w:marLeft w:val="0"/>
          <w:marRight w:val="0"/>
          <w:marTop w:val="0"/>
          <w:marBottom w:val="0"/>
          <w:divBdr>
            <w:top w:val="none" w:sz="0" w:space="0" w:color="auto"/>
            <w:left w:val="none" w:sz="0" w:space="0" w:color="auto"/>
            <w:bottom w:val="none" w:sz="0" w:space="0" w:color="auto"/>
            <w:right w:val="none" w:sz="0" w:space="0" w:color="auto"/>
          </w:divBdr>
          <w:divsChild>
            <w:div w:id="2058695275">
              <w:marLeft w:val="0"/>
              <w:marRight w:val="0"/>
              <w:marTop w:val="0"/>
              <w:marBottom w:val="0"/>
              <w:divBdr>
                <w:top w:val="none" w:sz="0" w:space="0" w:color="auto"/>
                <w:left w:val="none" w:sz="0" w:space="0" w:color="auto"/>
                <w:bottom w:val="none" w:sz="0" w:space="0" w:color="auto"/>
                <w:right w:val="none" w:sz="0" w:space="0" w:color="auto"/>
              </w:divBdr>
              <w:divsChild>
                <w:div w:id="881214752">
                  <w:marLeft w:val="0"/>
                  <w:marRight w:val="0"/>
                  <w:marTop w:val="0"/>
                  <w:marBottom w:val="0"/>
                  <w:divBdr>
                    <w:top w:val="none" w:sz="0" w:space="0" w:color="auto"/>
                    <w:left w:val="none" w:sz="0" w:space="0" w:color="auto"/>
                    <w:bottom w:val="none" w:sz="0" w:space="0" w:color="auto"/>
                    <w:right w:val="none" w:sz="0" w:space="0" w:color="auto"/>
                  </w:divBdr>
                  <w:divsChild>
                    <w:div w:id="1537737463">
                      <w:marLeft w:val="0"/>
                      <w:marRight w:val="0"/>
                      <w:marTop w:val="0"/>
                      <w:marBottom w:val="0"/>
                      <w:divBdr>
                        <w:top w:val="none" w:sz="0" w:space="0" w:color="auto"/>
                        <w:left w:val="none" w:sz="0" w:space="0" w:color="auto"/>
                        <w:bottom w:val="none" w:sz="0" w:space="0" w:color="auto"/>
                        <w:right w:val="none" w:sz="0" w:space="0" w:color="auto"/>
                      </w:divBdr>
                      <w:divsChild>
                        <w:div w:id="494607684">
                          <w:marLeft w:val="0"/>
                          <w:marRight w:val="0"/>
                          <w:marTop w:val="0"/>
                          <w:marBottom w:val="0"/>
                          <w:divBdr>
                            <w:top w:val="none" w:sz="0" w:space="0" w:color="auto"/>
                            <w:left w:val="none" w:sz="0" w:space="0" w:color="auto"/>
                            <w:bottom w:val="none" w:sz="0" w:space="0" w:color="auto"/>
                            <w:right w:val="none" w:sz="0" w:space="0" w:color="auto"/>
                          </w:divBdr>
                          <w:divsChild>
                            <w:div w:id="996349160">
                              <w:marLeft w:val="0"/>
                              <w:marRight w:val="0"/>
                              <w:marTop w:val="0"/>
                              <w:marBottom w:val="0"/>
                              <w:divBdr>
                                <w:top w:val="none" w:sz="0" w:space="0" w:color="auto"/>
                                <w:left w:val="none" w:sz="0" w:space="0" w:color="auto"/>
                                <w:bottom w:val="none" w:sz="0" w:space="0" w:color="auto"/>
                                <w:right w:val="none" w:sz="0" w:space="0" w:color="auto"/>
                              </w:divBdr>
                              <w:divsChild>
                                <w:div w:id="497355405">
                                  <w:marLeft w:val="0"/>
                                  <w:marRight w:val="0"/>
                                  <w:marTop w:val="0"/>
                                  <w:marBottom w:val="0"/>
                                  <w:divBdr>
                                    <w:top w:val="none" w:sz="0" w:space="0" w:color="auto"/>
                                    <w:left w:val="none" w:sz="0" w:space="0" w:color="auto"/>
                                    <w:bottom w:val="none" w:sz="0" w:space="0" w:color="auto"/>
                                    <w:right w:val="none" w:sz="0" w:space="0" w:color="auto"/>
                                  </w:divBdr>
                                  <w:divsChild>
                                    <w:div w:id="1339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7900045">
          <w:marLeft w:val="0"/>
          <w:marRight w:val="0"/>
          <w:marTop w:val="0"/>
          <w:marBottom w:val="0"/>
          <w:divBdr>
            <w:top w:val="none" w:sz="0" w:space="0" w:color="auto"/>
            <w:left w:val="none" w:sz="0" w:space="0" w:color="auto"/>
            <w:bottom w:val="none" w:sz="0" w:space="0" w:color="auto"/>
            <w:right w:val="none" w:sz="0" w:space="0" w:color="auto"/>
          </w:divBdr>
          <w:divsChild>
            <w:div w:id="1537965864">
              <w:marLeft w:val="0"/>
              <w:marRight w:val="0"/>
              <w:marTop w:val="0"/>
              <w:marBottom w:val="0"/>
              <w:divBdr>
                <w:top w:val="none" w:sz="0" w:space="0" w:color="auto"/>
                <w:left w:val="none" w:sz="0" w:space="0" w:color="auto"/>
                <w:bottom w:val="none" w:sz="0" w:space="0" w:color="auto"/>
                <w:right w:val="none" w:sz="0" w:space="0" w:color="auto"/>
              </w:divBdr>
              <w:divsChild>
                <w:div w:id="753627780">
                  <w:marLeft w:val="0"/>
                  <w:marRight w:val="0"/>
                  <w:marTop w:val="0"/>
                  <w:marBottom w:val="0"/>
                  <w:divBdr>
                    <w:top w:val="none" w:sz="0" w:space="0" w:color="auto"/>
                    <w:left w:val="none" w:sz="0" w:space="0" w:color="auto"/>
                    <w:bottom w:val="none" w:sz="0" w:space="0" w:color="auto"/>
                    <w:right w:val="none" w:sz="0" w:space="0" w:color="auto"/>
                  </w:divBdr>
                  <w:divsChild>
                    <w:div w:id="2125610963">
                      <w:marLeft w:val="0"/>
                      <w:marRight w:val="0"/>
                      <w:marTop w:val="0"/>
                      <w:marBottom w:val="0"/>
                      <w:divBdr>
                        <w:top w:val="none" w:sz="0" w:space="0" w:color="auto"/>
                        <w:left w:val="none" w:sz="0" w:space="0" w:color="auto"/>
                        <w:bottom w:val="none" w:sz="0" w:space="0" w:color="auto"/>
                        <w:right w:val="none" w:sz="0" w:space="0" w:color="auto"/>
                      </w:divBdr>
                      <w:divsChild>
                        <w:div w:id="668606920">
                          <w:marLeft w:val="0"/>
                          <w:marRight w:val="0"/>
                          <w:marTop w:val="0"/>
                          <w:marBottom w:val="0"/>
                          <w:divBdr>
                            <w:top w:val="none" w:sz="0" w:space="0" w:color="auto"/>
                            <w:left w:val="none" w:sz="0" w:space="0" w:color="auto"/>
                            <w:bottom w:val="none" w:sz="0" w:space="0" w:color="auto"/>
                            <w:right w:val="none" w:sz="0" w:space="0" w:color="auto"/>
                          </w:divBdr>
                          <w:divsChild>
                            <w:div w:id="423036986">
                              <w:marLeft w:val="0"/>
                              <w:marRight w:val="0"/>
                              <w:marTop w:val="0"/>
                              <w:marBottom w:val="0"/>
                              <w:divBdr>
                                <w:top w:val="none" w:sz="0" w:space="0" w:color="auto"/>
                                <w:left w:val="none" w:sz="0" w:space="0" w:color="auto"/>
                                <w:bottom w:val="none" w:sz="0" w:space="0" w:color="auto"/>
                                <w:right w:val="none" w:sz="0" w:space="0" w:color="auto"/>
                              </w:divBdr>
                              <w:divsChild>
                                <w:div w:id="1858154426">
                                  <w:marLeft w:val="0"/>
                                  <w:marRight w:val="0"/>
                                  <w:marTop w:val="0"/>
                                  <w:marBottom w:val="0"/>
                                  <w:divBdr>
                                    <w:top w:val="none" w:sz="0" w:space="0" w:color="auto"/>
                                    <w:left w:val="none" w:sz="0" w:space="0" w:color="auto"/>
                                    <w:bottom w:val="none" w:sz="0" w:space="0" w:color="auto"/>
                                    <w:right w:val="none" w:sz="0" w:space="0" w:color="auto"/>
                                  </w:divBdr>
                                  <w:divsChild>
                                    <w:div w:id="1290211522">
                                      <w:marLeft w:val="0"/>
                                      <w:marRight w:val="0"/>
                                      <w:marTop w:val="0"/>
                                      <w:marBottom w:val="0"/>
                                      <w:divBdr>
                                        <w:top w:val="none" w:sz="0" w:space="0" w:color="auto"/>
                                        <w:left w:val="none" w:sz="0" w:space="0" w:color="auto"/>
                                        <w:bottom w:val="none" w:sz="0" w:space="0" w:color="auto"/>
                                        <w:right w:val="none" w:sz="0" w:space="0" w:color="auto"/>
                                      </w:divBdr>
                                      <w:divsChild>
                                        <w:div w:id="146592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9555563">
          <w:marLeft w:val="0"/>
          <w:marRight w:val="0"/>
          <w:marTop w:val="0"/>
          <w:marBottom w:val="0"/>
          <w:divBdr>
            <w:top w:val="none" w:sz="0" w:space="0" w:color="auto"/>
            <w:left w:val="none" w:sz="0" w:space="0" w:color="auto"/>
            <w:bottom w:val="none" w:sz="0" w:space="0" w:color="auto"/>
            <w:right w:val="none" w:sz="0" w:space="0" w:color="auto"/>
          </w:divBdr>
          <w:divsChild>
            <w:div w:id="1402559351">
              <w:marLeft w:val="0"/>
              <w:marRight w:val="0"/>
              <w:marTop w:val="0"/>
              <w:marBottom w:val="0"/>
              <w:divBdr>
                <w:top w:val="none" w:sz="0" w:space="0" w:color="auto"/>
                <w:left w:val="none" w:sz="0" w:space="0" w:color="auto"/>
                <w:bottom w:val="none" w:sz="0" w:space="0" w:color="auto"/>
                <w:right w:val="none" w:sz="0" w:space="0" w:color="auto"/>
              </w:divBdr>
              <w:divsChild>
                <w:div w:id="252864785">
                  <w:marLeft w:val="0"/>
                  <w:marRight w:val="0"/>
                  <w:marTop w:val="0"/>
                  <w:marBottom w:val="0"/>
                  <w:divBdr>
                    <w:top w:val="none" w:sz="0" w:space="0" w:color="auto"/>
                    <w:left w:val="none" w:sz="0" w:space="0" w:color="auto"/>
                    <w:bottom w:val="none" w:sz="0" w:space="0" w:color="auto"/>
                    <w:right w:val="none" w:sz="0" w:space="0" w:color="auto"/>
                  </w:divBdr>
                  <w:divsChild>
                    <w:div w:id="217976787">
                      <w:marLeft w:val="0"/>
                      <w:marRight w:val="0"/>
                      <w:marTop w:val="0"/>
                      <w:marBottom w:val="0"/>
                      <w:divBdr>
                        <w:top w:val="none" w:sz="0" w:space="0" w:color="auto"/>
                        <w:left w:val="none" w:sz="0" w:space="0" w:color="auto"/>
                        <w:bottom w:val="none" w:sz="0" w:space="0" w:color="auto"/>
                        <w:right w:val="none" w:sz="0" w:space="0" w:color="auto"/>
                      </w:divBdr>
                      <w:divsChild>
                        <w:div w:id="655492844">
                          <w:marLeft w:val="0"/>
                          <w:marRight w:val="0"/>
                          <w:marTop w:val="0"/>
                          <w:marBottom w:val="0"/>
                          <w:divBdr>
                            <w:top w:val="none" w:sz="0" w:space="0" w:color="auto"/>
                            <w:left w:val="none" w:sz="0" w:space="0" w:color="auto"/>
                            <w:bottom w:val="none" w:sz="0" w:space="0" w:color="auto"/>
                            <w:right w:val="none" w:sz="0" w:space="0" w:color="auto"/>
                          </w:divBdr>
                          <w:divsChild>
                            <w:div w:id="1750424980">
                              <w:marLeft w:val="0"/>
                              <w:marRight w:val="0"/>
                              <w:marTop w:val="0"/>
                              <w:marBottom w:val="0"/>
                              <w:divBdr>
                                <w:top w:val="none" w:sz="0" w:space="0" w:color="auto"/>
                                <w:left w:val="none" w:sz="0" w:space="0" w:color="auto"/>
                                <w:bottom w:val="none" w:sz="0" w:space="0" w:color="auto"/>
                                <w:right w:val="none" w:sz="0" w:space="0" w:color="auto"/>
                              </w:divBdr>
                              <w:divsChild>
                                <w:div w:id="365646933">
                                  <w:marLeft w:val="0"/>
                                  <w:marRight w:val="0"/>
                                  <w:marTop w:val="0"/>
                                  <w:marBottom w:val="0"/>
                                  <w:divBdr>
                                    <w:top w:val="none" w:sz="0" w:space="0" w:color="auto"/>
                                    <w:left w:val="none" w:sz="0" w:space="0" w:color="auto"/>
                                    <w:bottom w:val="none" w:sz="0" w:space="0" w:color="auto"/>
                                    <w:right w:val="none" w:sz="0" w:space="0" w:color="auto"/>
                                  </w:divBdr>
                                  <w:divsChild>
                                    <w:div w:id="202573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9944208">
          <w:marLeft w:val="0"/>
          <w:marRight w:val="0"/>
          <w:marTop w:val="0"/>
          <w:marBottom w:val="0"/>
          <w:divBdr>
            <w:top w:val="none" w:sz="0" w:space="0" w:color="auto"/>
            <w:left w:val="none" w:sz="0" w:space="0" w:color="auto"/>
            <w:bottom w:val="none" w:sz="0" w:space="0" w:color="auto"/>
            <w:right w:val="none" w:sz="0" w:space="0" w:color="auto"/>
          </w:divBdr>
          <w:divsChild>
            <w:div w:id="2062247374">
              <w:marLeft w:val="0"/>
              <w:marRight w:val="0"/>
              <w:marTop w:val="0"/>
              <w:marBottom w:val="0"/>
              <w:divBdr>
                <w:top w:val="none" w:sz="0" w:space="0" w:color="auto"/>
                <w:left w:val="none" w:sz="0" w:space="0" w:color="auto"/>
                <w:bottom w:val="none" w:sz="0" w:space="0" w:color="auto"/>
                <w:right w:val="none" w:sz="0" w:space="0" w:color="auto"/>
              </w:divBdr>
              <w:divsChild>
                <w:div w:id="512190614">
                  <w:marLeft w:val="0"/>
                  <w:marRight w:val="0"/>
                  <w:marTop w:val="0"/>
                  <w:marBottom w:val="0"/>
                  <w:divBdr>
                    <w:top w:val="none" w:sz="0" w:space="0" w:color="auto"/>
                    <w:left w:val="none" w:sz="0" w:space="0" w:color="auto"/>
                    <w:bottom w:val="none" w:sz="0" w:space="0" w:color="auto"/>
                    <w:right w:val="none" w:sz="0" w:space="0" w:color="auto"/>
                  </w:divBdr>
                  <w:divsChild>
                    <w:div w:id="429084525">
                      <w:marLeft w:val="0"/>
                      <w:marRight w:val="0"/>
                      <w:marTop w:val="0"/>
                      <w:marBottom w:val="0"/>
                      <w:divBdr>
                        <w:top w:val="none" w:sz="0" w:space="0" w:color="auto"/>
                        <w:left w:val="none" w:sz="0" w:space="0" w:color="auto"/>
                        <w:bottom w:val="none" w:sz="0" w:space="0" w:color="auto"/>
                        <w:right w:val="none" w:sz="0" w:space="0" w:color="auto"/>
                      </w:divBdr>
                      <w:divsChild>
                        <w:div w:id="782190341">
                          <w:marLeft w:val="0"/>
                          <w:marRight w:val="0"/>
                          <w:marTop w:val="0"/>
                          <w:marBottom w:val="0"/>
                          <w:divBdr>
                            <w:top w:val="none" w:sz="0" w:space="0" w:color="auto"/>
                            <w:left w:val="none" w:sz="0" w:space="0" w:color="auto"/>
                            <w:bottom w:val="none" w:sz="0" w:space="0" w:color="auto"/>
                            <w:right w:val="none" w:sz="0" w:space="0" w:color="auto"/>
                          </w:divBdr>
                          <w:divsChild>
                            <w:div w:id="287056696">
                              <w:marLeft w:val="0"/>
                              <w:marRight w:val="0"/>
                              <w:marTop w:val="0"/>
                              <w:marBottom w:val="0"/>
                              <w:divBdr>
                                <w:top w:val="none" w:sz="0" w:space="0" w:color="auto"/>
                                <w:left w:val="none" w:sz="0" w:space="0" w:color="auto"/>
                                <w:bottom w:val="none" w:sz="0" w:space="0" w:color="auto"/>
                                <w:right w:val="none" w:sz="0" w:space="0" w:color="auto"/>
                              </w:divBdr>
                              <w:divsChild>
                                <w:div w:id="1007829050">
                                  <w:marLeft w:val="0"/>
                                  <w:marRight w:val="0"/>
                                  <w:marTop w:val="0"/>
                                  <w:marBottom w:val="0"/>
                                  <w:divBdr>
                                    <w:top w:val="none" w:sz="0" w:space="0" w:color="auto"/>
                                    <w:left w:val="none" w:sz="0" w:space="0" w:color="auto"/>
                                    <w:bottom w:val="none" w:sz="0" w:space="0" w:color="auto"/>
                                    <w:right w:val="none" w:sz="0" w:space="0" w:color="auto"/>
                                  </w:divBdr>
                                  <w:divsChild>
                                    <w:div w:id="1136949305">
                                      <w:marLeft w:val="0"/>
                                      <w:marRight w:val="0"/>
                                      <w:marTop w:val="0"/>
                                      <w:marBottom w:val="0"/>
                                      <w:divBdr>
                                        <w:top w:val="none" w:sz="0" w:space="0" w:color="auto"/>
                                        <w:left w:val="none" w:sz="0" w:space="0" w:color="auto"/>
                                        <w:bottom w:val="none" w:sz="0" w:space="0" w:color="auto"/>
                                        <w:right w:val="none" w:sz="0" w:space="0" w:color="auto"/>
                                      </w:divBdr>
                                      <w:divsChild>
                                        <w:div w:id="2221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3777621">
          <w:marLeft w:val="0"/>
          <w:marRight w:val="0"/>
          <w:marTop w:val="0"/>
          <w:marBottom w:val="0"/>
          <w:divBdr>
            <w:top w:val="none" w:sz="0" w:space="0" w:color="auto"/>
            <w:left w:val="none" w:sz="0" w:space="0" w:color="auto"/>
            <w:bottom w:val="none" w:sz="0" w:space="0" w:color="auto"/>
            <w:right w:val="none" w:sz="0" w:space="0" w:color="auto"/>
          </w:divBdr>
          <w:divsChild>
            <w:div w:id="1060448295">
              <w:marLeft w:val="0"/>
              <w:marRight w:val="0"/>
              <w:marTop w:val="0"/>
              <w:marBottom w:val="0"/>
              <w:divBdr>
                <w:top w:val="none" w:sz="0" w:space="0" w:color="auto"/>
                <w:left w:val="none" w:sz="0" w:space="0" w:color="auto"/>
                <w:bottom w:val="none" w:sz="0" w:space="0" w:color="auto"/>
                <w:right w:val="none" w:sz="0" w:space="0" w:color="auto"/>
              </w:divBdr>
              <w:divsChild>
                <w:div w:id="1787196506">
                  <w:marLeft w:val="0"/>
                  <w:marRight w:val="0"/>
                  <w:marTop w:val="0"/>
                  <w:marBottom w:val="0"/>
                  <w:divBdr>
                    <w:top w:val="none" w:sz="0" w:space="0" w:color="auto"/>
                    <w:left w:val="none" w:sz="0" w:space="0" w:color="auto"/>
                    <w:bottom w:val="none" w:sz="0" w:space="0" w:color="auto"/>
                    <w:right w:val="none" w:sz="0" w:space="0" w:color="auto"/>
                  </w:divBdr>
                  <w:divsChild>
                    <w:div w:id="526800154">
                      <w:marLeft w:val="0"/>
                      <w:marRight w:val="0"/>
                      <w:marTop w:val="0"/>
                      <w:marBottom w:val="0"/>
                      <w:divBdr>
                        <w:top w:val="none" w:sz="0" w:space="0" w:color="auto"/>
                        <w:left w:val="none" w:sz="0" w:space="0" w:color="auto"/>
                        <w:bottom w:val="none" w:sz="0" w:space="0" w:color="auto"/>
                        <w:right w:val="none" w:sz="0" w:space="0" w:color="auto"/>
                      </w:divBdr>
                      <w:divsChild>
                        <w:div w:id="67383273">
                          <w:marLeft w:val="0"/>
                          <w:marRight w:val="0"/>
                          <w:marTop w:val="0"/>
                          <w:marBottom w:val="0"/>
                          <w:divBdr>
                            <w:top w:val="none" w:sz="0" w:space="0" w:color="auto"/>
                            <w:left w:val="none" w:sz="0" w:space="0" w:color="auto"/>
                            <w:bottom w:val="none" w:sz="0" w:space="0" w:color="auto"/>
                            <w:right w:val="none" w:sz="0" w:space="0" w:color="auto"/>
                          </w:divBdr>
                          <w:divsChild>
                            <w:div w:id="1218587057">
                              <w:marLeft w:val="0"/>
                              <w:marRight w:val="0"/>
                              <w:marTop w:val="0"/>
                              <w:marBottom w:val="0"/>
                              <w:divBdr>
                                <w:top w:val="none" w:sz="0" w:space="0" w:color="auto"/>
                                <w:left w:val="none" w:sz="0" w:space="0" w:color="auto"/>
                                <w:bottom w:val="none" w:sz="0" w:space="0" w:color="auto"/>
                                <w:right w:val="none" w:sz="0" w:space="0" w:color="auto"/>
                              </w:divBdr>
                              <w:divsChild>
                                <w:div w:id="1714965444">
                                  <w:marLeft w:val="0"/>
                                  <w:marRight w:val="0"/>
                                  <w:marTop w:val="0"/>
                                  <w:marBottom w:val="0"/>
                                  <w:divBdr>
                                    <w:top w:val="none" w:sz="0" w:space="0" w:color="auto"/>
                                    <w:left w:val="none" w:sz="0" w:space="0" w:color="auto"/>
                                    <w:bottom w:val="none" w:sz="0" w:space="0" w:color="auto"/>
                                    <w:right w:val="none" w:sz="0" w:space="0" w:color="auto"/>
                                  </w:divBdr>
                                  <w:divsChild>
                                    <w:div w:id="142202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8730220">
          <w:marLeft w:val="0"/>
          <w:marRight w:val="0"/>
          <w:marTop w:val="0"/>
          <w:marBottom w:val="0"/>
          <w:divBdr>
            <w:top w:val="none" w:sz="0" w:space="0" w:color="auto"/>
            <w:left w:val="none" w:sz="0" w:space="0" w:color="auto"/>
            <w:bottom w:val="none" w:sz="0" w:space="0" w:color="auto"/>
            <w:right w:val="none" w:sz="0" w:space="0" w:color="auto"/>
          </w:divBdr>
          <w:divsChild>
            <w:div w:id="1816214844">
              <w:marLeft w:val="0"/>
              <w:marRight w:val="0"/>
              <w:marTop w:val="0"/>
              <w:marBottom w:val="0"/>
              <w:divBdr>
                <w:top w:val="none" w:sz="0" w:space="0" w:color="auto"/>
                <w:left w:val="none" w:sz="0" w:space="0" w:color="auto"/>
                <w:bottom w:val="none" w:sz="0" w:space="0" w:color="auto"/>
                <w:right w:val="none" w:sz="0" w:space="0" w:color="auto"/>
              </w:divBdr>
              <w:divsChild>
                <w:div w:id="693306378">
                  <w:marLeft w:val="0"/>
                  <w:marRight w:val="0"/>
                  <w:marTop w:val="0"/>
                  <w:marBottom w:val="0"/>
                  <w:divBdr>
                    <w:top w:val="none" w:sz="0" w:space="0" w:color="auto"/>
                    <w:left w:val="none" w:sz="0" w:space="0" w:color="auto"/>
                    <w:bottom w:val="none" w:sz="0" w:space="0" w:color="auto"/>
                    <w:right w:val="none" w:sz="0" w:space="0" w:color="auto"/>
                  </w:divBdr>
                  <w:divsChild>
                    <w:div w:id="1700856913">
                      <w:marLeft w:val="0"/>
                      <w:marRight w:val="0"/>
                      <w:marTop w:val="0"/>
                      <w:marBottom w:val="0"/>
                      <w:divBdr>
                        <w:top w:val="none" w:sz="0" w:space="0" w:color="auto"/>
                        <w:left w:val="none" w:sz="0" w:space="0" w:color="auto"/>
                        <w:bottom w:val="none" w:sz="0" w:space="0" w:color="auto"/>
                        <w:right w:val="none" w:sz="0" w:space="0" w:color="auto"/>
                      </w:divBdr>
                      <w:divsChild>
                        <w:div w:id="503016134">
                          <w:marLeft w:val="0"/>
                          <w:marRight w:val="0"/>
                          <w:marTop w:val="0"/>
                          <w:marBottom w:val="0"/>
                          <w:divBdr>
                            <w:top w:val="none" w:sz="0" w:space="0" w:color="auto"/>
                            <w:left w:val="none" w:sz="0" w:space="0" w:color="auto"/>
                            <w:bottom w:val="none" w:sz="0" w:space="0" w:color="auto"/>
                            <w:right w:val="none" w:sz="0" w:space="0" w:color="auto"/>
                          </w:divBdr>
                          <w:divsChild>
                            <w:div w:id="5399887">
                              <w:marLeft w:val="0"/>
                              <w:marRight w:val="0"/>
                              <w:marTop w:val="0"/>
                              <w:marBottom w:val="0"/>
                              <w:divBdr>
                                <w:top w:val="none" w:sz="0" w:space="0" w:color="auto"/>
                                <w:left w:val="none" w:sz="0" w:space="0" w:color="auto"/>
                                <w:bottom w:val="none" w:sz="0" w:space="0" w:color="auto"/>
                                <w:right w:val="none" w:sz="0" w:space="0" w:color="auto"/>
                              </w:divBdr>
                              <w:divsChild>
                                <w:div w:id="915673599">
                                  <w:marLeft w:val="0"/>
                                  <w:marRight w:val="0"/>
                                  <w:marTop w:val="0"/>
                                  <w:marBottom w:val="0"/>
                                  <w:divBdr>
                                    <w:top w:val="none" w:sz="0" w:space="0" w:color="auto"/>
                                    <w:left w:val="none" w:sz="0" w:space="0" w:color="auto"/>
                                    <w:bottom w:val="none" w:sz="0" w:space="0" w:color="auto"/>
                                    <w:right w:val="none" w:sz="0" w:space="0" w:color="auto"/>
                                  </w:divBdr>
                                  <w:divsChild>
                                    <w:div w:id="2112313552">
                                      <w:marLeft w:val="0"/>
                                      <w:marRight w:val="0"/>
                                      <w:marTop w:val="0"/>
                                      <w:marBottom w:val="0"/>
                                      <w:divBdr>
                                        <w:top w:val="none" w:sz="0" w:space="0" w:color="auto"/>
                                        <w:left w:val="none" w:sz="0" w:space="0" w:color="auto"/>
                                        <w:bottom w:val="none" w:sz="0" w:space="0" w:color="auto"/>
                                        <w:right w:val="none" w:sz="0" w:space="0" w:color="auto"/>
                                      </w:divBdr>
                                      <w:divsChild>
                                        <w:div w:id="163849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409487">
          <w:marLeft w:val="0"/>
          <w:marRight w:val="0"/>
          <w:marTop w:val="0"/>
          <w:marBottom w:val="0"/>
          <w:divBdr>
            <w:top w:val="none" w:sz="0" w:space="0" w:color="auto"/>
            <w:left w:val="none" w:sz="0" w:space="0" w:color="auto"/>
            <w:bottom w:val="none" w:sz="0" w:space="0" w:color="auto"/>
            <w:right w:val="none" w:sz="0" w:space="0" w:color="auto"/>
          </w:divBdr>
          <w:divsChild>
            <w:div w:id="1695500122">
              <w:marLeft w:val="0"/>
              <w:marRight w:val="0"/>
              <w:marTop w:val="0"/>
              <w:marBottom w:val="0"/>
              <w:divBdr>
                <w:top w:val="none" w:sz="0" w:space="0" w:color="auto"/>
                <w:left w:val="none" w:sz="0" w:space="0" w:color="auto"/>
                <w:bottom w:val="none" w:sz="0" w:space="0" w:color="auto"/>
                <w:right w:val="none" w:sz="0" w:space="0" w:color="auto"/>
              </w:divBdr>
              <w:divsChild>
                <w:div w:id="473526736">
                  <w:marLeft w:val="0"/>
                  <w:marRight w:val="0"/>
                  <w:marTop w:val="0"/>
                  <w:marBottom w:val="0"/>
                  <w:divBdr>
                    <w:top w:val="none" w:sz="0" w:space="0" w:color="auto"/>
                    <w:left w:val="none" w:sz="0" w:space="0" w:color="auto"/>
                    <w:bottom w:val="none" w:sz="0" w:space="0" w:color="auto"/>
                    <w:right w:val="none" w:sz="0" w:space="0" w:color="auto"/>
                  </w:divBdr>
                  <w:divsChild>
                    <w:div w:id="1027872517">
                      <w:marLeft w:val="0"/>
                      <w:marRight w:val="0"/>
                      <w:marTop w:val="0"/>
                      <w:marBottom w:val="0"/>
                      <w:divBdr>
                        <w:top w:val="none" w:sz="0" w:space="0" w:color="auto"/>
                        <w:left w:val="none" w:sz="0" w:space="0" w:color="auto"/>
                        <w:bottom w:val="none" w:sz="0" w:space="0" w:color="auto"/>
                        <w:right w:val="none" w:sz="0" w:space="0" w:color="auto"/>
                      </w:divBdr>
                      <w:divsChild>
                        <w:div w:id="327515970">
                          <w:marLeft w:val="0"/>
                          <w:marRight w:val="0"/>
                          <w:marTop w:val="0"/>
                          <w:marBottom w:val="0"/>
                          <w:divBdr>
                            <w:top w:val="none" w:sz="0" w:space="0" w:color="auto"/>
                            <w:left w:val="none" w:sz="0" w:space="0" w:color="auto"/>
                            <w:bottom w:val="none" w:sz="0" w:space="0" w:color="auto"/>
                            <w:right w:val="none" w:sz="0" w:space="0" w:color="auto"/>
                          </w:divBdr>
                          <w:divsChild>
                            <w:div w:id="514921414">
                              <w:marLeft w:val="0"/>
                              <w:marRight w:val="0"/>
                              <w:marTop w:val="0"/>
                              <w:marBottom w:val="0"/>
                              <w:divBdr>
                                <w:top w:val="none" w:sz="0" w:space="0" w:color="auto"/>
                                <w:left w:val="none" w:sz="0" w:space="0" w:color="auto"/>
                                <w:bottom w:val="none" w:sz="0" w:space="0" w:color="auto"/>
                                <w:right w:val="none" w:sz="0" w:space="0" w:color="auto"/>
                              </w:divBdr>
                              <w:divsChild>
                                <w:div w:id="792940800">
                                  <w:marLeft w:val="0"/>
                                  <w:marRight w:val="0"/>
                                  <w:marTop w:val="0"/>
                                  <w:marBottom w:val="0"/>
                                  <w:divBdr>
                                    <w:top w:val="none" w:sz="0" w:space="0" w:color="auto"/>
                                    <w:left w:val="none" w:sz="0" w:space="0" w:color="auto"/>
                                    <w:bottom w:val="none" w:sz="0" w:space="0" w:color="auto"/>
                                    <w:right w:val="none" w:sz="0" w:space="0" w:color="auto"/>
                                  </w:divBdr>
                                  <w:divsChild>
                                    <w:div w:id="40615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593482">
          <w:marLeft w:val="0"/>
          <w:marRight w:val="0"/>
          <w:marTop w:val="0"/>
          <w:marBottom w:val="0"/>
          <w:divBdr>
            <w:top w:val="none" w:sz="0" w:space="0" w:color="auto"/>
            <w:left w:val="none" w:sz="0" w:space="0" w:color="auto"/>
            <w:bottom w:val="none" w:sz="0" w:space="0" w:color="auto"/>
            <w:right w:val="none" w:sz="0" w:space="0" w:color="auto"/>
          </w:divBdr>
          <w:divsChild>
            <w:div w:id="1609897600">
              <w:marLeft w:val="0"/>
              <w:marRight w:val="0"/>
              <w:marTop w:val="0"/>
              <w:marBottom w:val="0"/>
              <w:divBdr>
                <w:top w:val="none" w:sz="0" w:space="0" w:color="auto"/>
                <w:left w:val="none" w:sz="0" w:space="0" w:color="auto"/>
                <w:bottom w:val="none" w:sz="0" w:space="0" w:color="auto"/>
                <w:right w:val="none" w:sz="0" w:space="0" w:color="auto"/>
              </w:divBdr>
              <w:divsChild>
                <w:div w:id="1008367797">
                  <w:marLeft w:val="0"/>
                  <w:marRight w:val="0"/>
                  <w:marTop w:val="0"/>
                  <w:marBottom w:val="0"/>
                  <w:divBdr>
                    <w:top w:val="none" w:sz="0" w:space="0" w:color="auto"/>
                    <w:left w:val="none" w:sz="0" w:space="0" w:color="auto"/>
                    <w:bottom w:val="none" w:sz="0" w:space="0" w:color="auto"/>
                    <w:right w:val="none" w:sz="0" w:space="0" w:color="auto"/>
                  </w:divBdr>
                  <w:divsChild>
                    <w:div w:id="943880542">
                      <w:marLeft w:val="0"/>
                      <w:marRight w:val="0"/>
                      <w:marTop w:val="0"/>
                      <w:marBottom w:val="0"/>
                      <w:divBdr>
                        <w:top w:val="none" w:sz="0" w:space="0" w:color="auto"/>
                        <w:left w:val="none" w:sz="0" w:space="0" w:color="auto"/>
                        <w:bottom w:val="none" w:sz="0" w:space="0" w:color="auto"/>
                        <w:right w:val="none" w:sz="0" w:space="0" w:color="auto"/>
                      </w:divBdr>
                      <w:divsChild>
                        <w:div w:id="1765153715">
                          <w:marLeft w:val="0"/>
                          <w:marRight w:val="0"/>
                          <w:marTop w:val="0"/>
                          <w:marBottom w:val="0"/>
                          <w:divBdr>
                            <w:top w:val="none" w:sz="0" w:space="0" w:color="auto"/>
                            <w:left w:val="none" w:sz="0" w:space="0" w:color="auto"/>
                            <w:bottom w:val="none" w:sz="0" w:space="0" w:color="auto"/>
                            <w:right w:val="none" w:sz="0" w:space="0" w:color="auto"/>
                          </w:divBdr>
                          <w:divsChild>
                            <w:div w:id="538930590">
                              <w:marLeft w:val="0"/>
                              <w:marRight w:val="0"/>
                              <w:marTop w:val="0"/>
                              <w:marBottom w:val="0"/>
                              <w:divBdr>
                                <w:top w:val="none" w:sz="0" w:space="0" w:color="auto"/>
                                <w:left w:val="none" w:sz="0" w:space="0" w:color="auto"/>
                                <w:bottom w:val="none" w:sz="0" w:space="0" w:color="auto"/>
                                <w:right w:val="none" w:sz="0" w:space="0" w:color="auto"/>
                              </w:divBdr>
                              <w:divsChild>
                                <w:div w:id="1441603664">
                                  <w:marLeft w:val="0"/>
                                  <w:marRight w:val="0"/>
                                  <w:marTop w:val="0"/>
                                  <w:marBottom w:val="0"/>
                                  <w:divBdr>
                                    <w:top w:val="none" w:sz="0" w:space="0" w:color="auto"/>
                                    <w:left w:val="none" w:sz="0" w:space="0" w:color="auto"/>
                                    <w:bottom w:val="none" w:sz="0" w:space="0" w:color="auto"/>
                                    <w:right w:val="none" w:sz="0" w:space="0" w:color="auto"/>
                                  </w:divBdr>
                                  <w:divsChild>
                                    <w:div w:id="2120449909">
                                      <w:marLeft w:val="0"/>
                                      <w:marRight w:val="0"/>
                                      <w:marTop w:val="0"/>
                                      <w:marBottom w:val="0"/>
                                      <w:divBdr>
                                        <w:top w:val="none" w:sz="0" w:space="0" w:color="auto"/>
                                        <w:left w:val="none" w:sz="0" w:space="0" w:color="auto"/>
                                        <w:bottom w:val="none" w:sz="0" w:space="0" w:color="auto"/>
                                        <w:right w:val="none" w:sz="0" w:space="0" w:color="auto"/>
                                      </w:divBdr>
                                      <w:divsChild>
                                        <w:div w:id="56861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394131">
          <w:marLeft w:val="0"/>
          <w:marRight w:val="0"/>
          <w:marTop w:val="0"/>
          <w:marBottom w:val="0"/>
          <w:divBdr>
            <w:top w:val="none" w:sz="0" w:space="0" w:color="auto"/>
            <w:left w:val="none" w:sz="0" w:space="0" w:color="auto"/>
            <w:bottom w:val="none" w:sz="0" w:space="0" w:color="auto"/>
            <w:right w:val="none" w:sz="0" w:space="0" w:color="auto"/>
          </w:divBdr>
          <w:divsChild>
            <w:div w:id="1691100128">
              <w:marLeft w:val="0"/>
              <w:marRight w:val="0"/>
              <w:marTop w:val="0"/>
              <w:marBottom w:val="0"/>
              <w:divBdr>
                <w:top w:val="none" w:sz="0" w:space="0" w:color="auto"/>
                <w:left w:val="none" w:sz="0" w:space="0" w:color="auto"/>
                <w:bottom w:val="none" w:sz="0" w:space="0" w:color="auto"/>
                <w:right w:val="none" w:sz="0" w:space="0" w:color="auto"/>
              </w:divBdr>
              <w:divsChild>
                <w:div w:id="859396575">
                  <w:marLeft w:val="0"/>
                  <w:marRight w:val="0"/>
                  <w:marTop w:val="0"/>
                  <w:marBottom w:val="0"/>
                  <w:divBdr>
                    <w:top w:val="none" w:sz="0" w:space="0" w:color="auto"/>
                    <w:left w:val="none" w:sz="0" w:space="0" w:color="auto"/>
                    <w:bottom w:val="none" w:sz="0" w:space="0" w:color="auto"/>
                    <w:right w:val="none" w:sz="0" w:space="0" w:color="auto"/>
                  </w:divBdr>
                  <w:divsChild>
                    <w:div w:id="920528766">
                      <w:marLeft w:val="0"/>
                      <w:marRight w:val="0"/>
                      <w:marTop w:val="0"/>
                      <w:marBottom w:val="0"/>
                      <w:divBdr>
                        <w:top w:val="none" w:sz="0" w:space="0" w:color="auto"/>
                        <w:left w:val="none" w:sz="0" w:space="0" w:color="auto"/>
                        <w:bottom w:val="none" w:sz="0" w:space="0" w:color="auto"/>
                        <w:right w:val="none" w:sz="0" w:space="0" w:color="auto"/>
                      </w:divBdr>
                      <w:divsChild>
                        <w:div w:id="2017882261">
                          <w:marLeft w:val="0"/>
                          <w:marRight w:val="0"/>
                          <w:marTop w:val="0"/>
                          <w:marBottom w:val="0"/>
                          <w:divBdr>
                            <w:top w:val="none" w:sz="0" w:space="0" w:color="auto"/>
                            <w:left w:val="none" w:sz="0" w:space="0" w:color="auto"/>
                            <w:bottom w:val="none" w:sz="0" w:space="0" w:color="auto"/>
                            <w:right w:val="none" w:sz="0" w:space="0" w:color="auto"/>
                          </w:divBdr>
                          <w:divsChild>
                            <w:div w:id="2093039580">
                              <w:marLeft w:val="0"/>
                              <w:marRight w:val="0"/>
                              <w:marTop w:val="0"/>
                              <w:marBottom w:val="0"/>
                              <w:divBdr>
                                <w:top w:val="none" w:sz="0" w:space="0" w:color="auto"/>
                                <w:left w:val="none" w:sz="0" w:space="0" w:color="auto"/>
                                <w:bottom w:val="none" w:sz="0" w:space="0" w:color="auto"/>
                                <w:right w:val="none" w:sz="0" w:space="0" w:color="auto"/>
                              </w:divBdr>
                              <w:divsChild>
                                <w:div w:id="847409900">
                                  <w:marLeft w:val="0"/>
                                  <w:marRight w:val="0"/>
                                  <w:marTop w:val="0"/>
                                  <w:marBottom w:val="0"/>
                                  <w:divBdr>
                                    <w:top w:val="none" w:sz="0" w:space="0" w:color="auto"/>
                                    <w:left w:val="none" w:sz="0" w:space="0" w:color="auto"/>
                                    <w:bottom w:val="none" w:sz="0" w:space="0" w:color="auto"/>
                                    <w:right w:val="none" w:sz="0" w:space="0" w:color="auto"/>
                                  </w:divBdr>
                                  <w:divsChild>
                                    <w:div w:id="64508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66824">
          <w:marLeft w:val="0"/>
          <w:marRight w:val="0"/>
          <w:marTop w:val="0"/>
          <w:marBottom w:val="0"/>
          <w:divBdr>
            <w:top w:val="none" w:sz="0" w:space="0" w:color="auto"/>
            <w:left w:val="none" w:sz="0" w:space="0" w:color="auto"/>
            <w:bottom w:val="none" w:sz="0" w:space="0" w:color="auto"/>
            <w:right w:val="none" w:sz="0" w:space="0" w:color="auto"/>
          </w:divBdr>
          <w:divsChild>
            <w:div w:id="1344939741">
              <w:marLeft w:val="0"/>
              <w:marRight w:val="0"/>
              <w:marTop w:val="0"/>
              <w:marBottom w:val="0"/>
              <w:divBdr>
                <w:top w:val="none" w:sz="0" w:space="0" w:color="auto"/>
                <w:left w:val="none" w:sz="0" w:space="0" w:color="auto"/>
                <w:bottom w:val="none" w:sz="0" w:space="0" w:color="auto"/>
                <w:right w:val="none" w:sz="0" w:space="0" w:color="auto"/>
              </w:divBdr>
              <w:divsChild>
                <w:div w:id="75983311">
                  <w:marLeft w:val="0"/>
                  <w:marRight w:val="0"/>
                  <w:marTop w:val="0"/>
                  <w:marBottom w:val="0"/>
                  <w:divBdr>
                    <w:top w:val="none" w:sz="0" w:space="0" w:color="auto"/>
                    <w:left w:val="none" w:sz="0" w:space="0" w:color="auto"/>
                    <w:bottom w:val="none" w:sz="0" w:space="0" w:color="auto"/>
                    <w:right w:val="none" w:sz="0" w:space="0" w:color="auto"/>
                  </w:divBdr>
                  <w:divsChild>
                    <w:div w:id="664238522">
                      <w:marLeft w:val="0"/>
                      <w:marRight w:val="0"/>
                      <w:marTop w:val="0"/>
                      <w:marBottom w:val="0"/>
                      <w:divBdr>
                        <w:top w:val="none" w:sz="0" w:space="0" w:color="auto"/>
                        <w:left w:val="none" w:sz="0" w:space="0" w:color="auto"/>
                        <w:bottom w:val="none" w:sz="0" w:space="0" w:color="auto"/>
                        <w:right w:val="none" w:sz="0" w:space="0" w:color="auto"/>
                      </w:divBdr>
                      <w:divsChild>
                        <w:div w:id="972948388">
                          <w:marLeft w:val="0"/>
                          <w:marRight w:val="0"/>
                          <w:marTop w:val="0"/>
                          <w:marBottom w:val="0"/>
                          <w:divBdr>
                            <w:top w:val="none" w:sz="0" w:space="0" w:color="auto"/>
                            <w:left w:val="none" w:sz="0" w:space="0" w:color="auto"/>
                            <w:bottom w:val="none" w:sz="0" w:space="0" w:color="auto"/>
                            <w:right w:val="none" w:sz="0" w:space="0" w:color="auto"/>
                          </w:divBdr>
                          <w:divsChild>
                            <w:div w:id="1672026202">
                              <w:marLeft w:val="0"/>
                              <w:marRight w:val="0"/>
                              <w:marTop w:val="0"/>
                              <w:marBottom w:val="0"/>
                              <w:divBdr>
                                <w:top w:val="none" w:sz="0" w:space="0" w:color="auto"/>
                                <w:left w:val="none" w:sz="0" w:space="0" w:color="auto"/>
                                <w:bottom w:val="none" w:sz="0" w:space="0" w:color="auto"/>
                                <w:right w:val="none" w:sz="0" w:space="0" w:color="auto"/>
                              </w:divBdr>
                              <w:divsChild>
                                <w:div w:id="735326024">
                                  <w:marLeft w:val="0"/>
                                  <w:marRight w:val="0"/>
                                  <w:marTop w:val="0"/>
                                  <w:marBottom w:val="0"/>
                                  <w:divBdr>
                                    <w:top w:val="none" w:sz="0" w:space="0" w:color="auto"/>
                                    <w:left w:val="none" w:sz="0" w:space="0" w:color="auto"/>
                                    <w:bottom w:val="none" w:sz="0" w:space="0" w:color="auto"/>
                                    <w:right w:val="none" w:sz="0" w:space="0" w:color="auto"/>
                                  </w:divBdr>
                                  <w:divsChild>
                                    <w:div w:id="1044254452">
                                      <w:marLeft w:val="0"/>
                                      <w:marRight w:val="0"/>
                                      <w:marTop w:val="0"/>
                                      <w:marBottom w:val="0"/>
                                      <w:divBdr>
                                        <w:top w:val="none" w:sz="0" w:space="0" w:color="auto"/>
                                        <w:left w:val="none" w:sz="0" w:space="0" w:color="auto"/>
                                        <w:bottom w:val="none" w:sz="0" w:space="0" w:color="auto"/>
                                        <w:right w:val="none" w:sz="0" w:space="0" w:color="auto"/>
                                      </w:divBdr>
                                      <w:divsChild>
                                        <w:div w:id="1779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461583">
          <w:marLeft w:val="0"/>
          <w:marRight w:val="0"/>
          <w:marTop w:val="0"/>
          <w:marBottom w:val="0"/>
          <w:divBdr>
            <w:top w:val="none" w:sz="0" w:space="0" w:color="auto"/>
            <w:left w:val="none" w:sz="0" w:space="0" w:color="auto"/>
            <w:bottom w:val="none" w:sz="0" w:space="0" w:color="auto"/>
            <w:right w:val="none" w:sz="0" w:space="0" w:color="auto"/>
          </w:divBdr>
          <w:divsChild>
            <w:div w:id="1376809191">
              <w:marLeft w:val="0"/>
              <w:marRight w:val="0"/>
              <w:marTop w:val="0"/>
              <w:marBottom w:val="0"/>
              <w:divBdr>
                <w:top w:val="none" w:sz="0" w:space="0" w:color="auto"/>
                <w:left w:val="none" w:sz="0" w:space="0" w:color="auto"/>
                <w:bottom w:val="none" w:sz="0" w:space="0" w:color="auto"/>
                <w:right w:val="none" w:sz="0" w:space="0" w:color="auto"/>
              </w:divBdr>
              <w:divsChild>
                <w:div w:id="1201626241">
                  <w:marLeft w:val="0"/>
                  <w:marRight w:val="0"/>
                  <w:marTop w:val="0"/>
                  <w:marBottom w:val="0"/>
                  <w:divBdr>
                    <w:top w:val="none" w:sz="0" w:space="0" w:color="auto"/>
                    <w:left w:val="none" w:sz="0" w:space="0" w:color="auto"/>
                    <w:bottom w:val="none" w:sz="0" w:space="0" w:color="auto"/>
                    <w:right w:val="none" w:sz="0" w:space="0" w:color="auto"/>
                  </w:divBdr>
                  <w:divsChild>
                    <w:div w:id="635183341">
                      <w:marLeft w:val="0"/>
                      <w:marRight w:val="0"/>
                      <w:marTop w:val="0"/>
                      <w:marBottom w:val="0"/>
                      <w:divBdr>
                        <w:top w:val="none" w:sz="0" w:space="0" w:color="auto"/>
                        <w:left w:val="none" w:sz="0" w:space="0" w:color="auto"/>
                        <w:bottom w:val="none" w:sz="0" w:space="0" w:color="auto"/>
                        <w:right w:val="none" w:sz="0" w:space="0" w:color="auto"/>
                      </w:divBdr>
                      <w:divsChild>
                        <w:div w:id="1571694115">
                          <w:marLeft w:val="0"/>
                          <w:marRight w:val="0"/>
                          <w:marTop w:val="0"/>
                          <w:marBottom w:val="0"/>
                          <w:divBdr>
                            <w:top w:val="none" w:sz="0" w:space="0" w:color="auto"/>
                            <w:left w:val="none" w:sz="0" w:space="0" w:color="auto"/>
                            <w:bottom w:val="none" w:sz="0" w:space="0" w:color="auto"/>
                            <w:right w:val="none" w:sz="0" w:space="0" w:color="auto"/>
                          </w:divBdr>
                          <w:divsChild>
                            <w:div w:id="1968077551">
                              <w:marLeft w:val="0"/>
                              <w:marRight w:val="0"/>
                              <w:marTop w:val="0"/>
                              <w:marBottom w:val="0"/>
                              <w:divBdr>
                                <w:top w:val="none" w:sz="0" w:space="0" w:color="auto"/>
                                <w:left w:val="none" w:sz="0" w:space="0" w:color="auto"/>
                                <w:bottom w:val="none" w:sz="0" w:space="0" w:color="auto"/>
                                <w:right w:val="none" w:sz="0" w:space="0" w:color="auto"/>
                              </w:divBdr>
                              <w:divsChild>
                                <w:div w:id="2045013993">
                                  <w:marLeft w:val="0"/>
                                  <w:marRight w:val="0"/>
                                  <w:marTop w:val="0"/>
                                  <w:marBottom w:val="0"/>
                                  <w:divBdr>
                                    <w:top w:val="none" w:sz="0" w:space="0" w:color="auto"/>
                                    <w:left w:val="none" w:sz="0" w:space="0" w:color="auto"/>
                                    <w:bottom w:val="none" w:sz="0" w:space="0" w:color="auto"/>
                                    <w:right w:val="none" w:sz="0" w:space="0" w:color="auto"/>
                                  </w:divBdr>
                                  <w:divsChild>
                                    <w:div w:id="156382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926080">
          <w:marLeft w:val="0"/>
          <w:marRight w:val="0"/>
          <w:marTop w:val="0"/>
          <w:marBottom w:val="0"/>
          <w:divBdr>
            <w:top w:val="none" w:sz="0" w:space="0" w:color="auto"/>
            <w:left w:val="none" w:sz="0" w:space="0" w:color="auto"/>
            <w:bottom w:val="none" w:sz="0" w:space="0" w:color="auto"/>
            <w:right w:val="none" w:sz="0" w:space="0" w:color="auto"/>
          </w:divBdr>
          <w:divsChild>
            <w:div w:id="510148712">
              <w:marLeft w:val="0"/>
              <w:marRight w:val="0"/>
              <w:marTop w:val="0"/>
              <w:marBottom w:val="0"/>
              <w:divBdr>
                <w:top w:val="none" w:sz="0" w:space="0" w:color="auto"/>
                <w:left w:val="none" w:sz="0" w:space="0" w:color="auto"/>
                <w:bottom w:val="none" w:sz="0" w:space="0" w:color="auto"/>
                <w:right w:val="none" w:sz="0" w:space="0" w:color="auto"/>
              </w:divBdr>
              <w:divsChild>
                <w:div w:id="235094188">
                  <w:marLeft w:val="0"/>
                  <w:marRight w:val="0"/>
                  <w:marTop w:val="0"/>
                  <w:marBottom w:val="0"/>
                  <w:divBdr>
                    <w:top w:val="none" w:sz="0" w:space="0" w:color="auto"/>
                    <w:left w:val="none" w:sz="0" w:space="0" w:color="auto"/>
                    <w:bottom w:val="none" w:sz="0" w:space="0" w:color="auto"/>
                    <w:right w:val="none" w:sz="0" w:space="0" w:color="auto"/>
                  </w:divBdr>
                  <w:divsChild>
                    <w:div w:id="1419865039">
                      <w:marLeft w:val="0"/>
                      <w:marRight w:val="0"/>
                      <w:marTop w:val="0"/>
                      <w:marBottom w:val="0"/>
                      <w:divBdr>
                        <w:top w:val="none" w:sz="0" w:space="0" w:color="auto"/>
                        <w:left w:val="none" w:sz="0" w:space="0" w:color="auto"/>
                        <w:bottom w:val="none" w:sz="0" w:space="0" w:color="auto"/>
                        <w:right w:val="none" w:sz="0" w:space="0" w:color="auto"/>
                      </w:divBdr>
                      <w:divsChild>
                        <w:div w:id="2052029975">
                          <w:marLeft w:val="0"/>
                          <w:marRight w:val="0"/>
                          <w:marTop w:val="0"/>
                          <w:marBottom w:val="0"/>
                          <w:divBdr>
                            <w:top w:val="none" w:sz="0" w:space="0" w:color="auto"/>
                            <w:left w:val="none" w:sz="0" w:space="0" w:color="auto"/>
                            <w:bottom w:val="none" w:sz="0" w:space="0" w:color="auto"/>
                            <w:right w:val="none" w:sz="0" w:space="0" w:color="auto"/>
                          </w:divBdr>
                          <w:divsChild>
                            <w:div w:id="1902142">
                              <w:marLeft w:val="0"/>
                              <w:marRight w:val="0"/>
                              <w:marTop w:val="0"/>
                              <w:marBottom w:val="0"/>
                              <w:divBdr>
                                <w:top w:val="none" w:sz="0" w:space="0" w:color="auto"/>
                                <w:left w:val="none" w:sz="0" w:space="0" w:color="auto"/>
                                <w:bottom w:val="none" w:sz="0" w:space="0" w:color="auto"/>
                                <w:right w:val="none" w:sz="0" w:space="0" w:color="auto"/>
                              </w:divBdr>
                              <w:divsChild>
                                <w:div w:id="126551991">
                                  <w:marLeft w:val="0"/>
                                  <w:marRight w:val="0"/>
                                  <w:marTop w:val="0"/>
                                  <w:marBottom w:val="0"/>
                                  <w:divBdr>
                                    <w:top w:val="none" w:sz="0" w:space="0" w:color="auto"/>
                                    <w:left w:val="none" w:sz="0" w:space="0" w:color="auto"/>
                                    <w:bottom w:val="none" w:sz="0" w:space="0" w:color="auto"/>
                                    <w:right w:val="none" w:sz="0" w:space="0" w:color="auto"/>
                                  </w:divBdr>
                                  <w:divsChild>
                                    <w:div w:id="1053230681">
                                      <w:marLeft w:val="0"/>
                                      <w:marRight w:val="0"/>
                                      <w:marTop w:val="0"/>
                                      <w:marBottom w:val="0"/>
                                      <w:divBdr>
                                        <w:top w:val="none" w:sz="0" w:space="0" w:color="auto"/>
                                        <w:left w:val="none" w:sz="0" w:space="0" w:color="auto"/>
                                        <w:bottom w:val="none" w:sz="0" w:space="0" w:color="auto"/>
                                        <w:right w:val="none" w:sz="0" w:space="0" w:color="auto"/>
                                      </w:divBdr>
                                      <w:divsChild>
                                        <w:div w:id="195882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6018829">
          <w:marLeft w:val="0"/>
          <w:marRight w:val="0"/>
          <w:marTop w:val="0"/>
          <w:marBottom w:val="0"/>
          <w:divBdr>
            <w:top w:val="none" w:sz="0" w:space="0" w:color="auto"/>
            <w:left w:val="none" w:sz="0" w:space="0" w:color="auto"/>
            <w:bottom w:val="none" w:sz="0" w:space="0" w:color="auto"/>
            <w:right w:val="none" w:sz="0" w:space="0" w:color="auto"/>
          </w:divBdr>
          <w:divsChild>
            <w:div w:id="1598751022">
              <w:marLeft w:val="0"/>
              <w:marRight w:val="0"/>
              <w:marTop w:val="0"/>
              <w:marBottom w:val="0"/>
              <w:divBdr>
                <w:top w:val="none" w:sz="0" w:space="0" w:color="auto"/>
                <w:left w:val="none" w:sz="0" w:space="0" w:color="auto"/>
                <w:bottom w:val="none" w:sz="0" w:space="0" w:color="auto"/>
                <w:right w:val="none" w:sz="0" w:space="0" w:color="auto"/>
              </w:divBdr>
              <w:divsChild>
                <w:div w:id="419452246">
                  <w:marLeft w:val="0"/>
                  <w:marRight w:val="0"/>
                  <w:marTop w:val="0"/>
                  <w:marBottom w:val="0"/>
                  <w:divBdr>
                    <w:top w:val="none" w:sz="0" w:space="0" w:color="auto"/>
                    <w:left w:val="none" w:sz="0" w:space="0" w:color="auto"/>
                    <w:bottom w:val="none" w:sz="0" w:space="0" w:color="auto"/>
                    <w:right w:val="none" w:sz="0" w:space="0" w:color="auto"/>
                  </w:divBdr>
                  <w:divsChild>
                    <w:div w:id="632708570">
                      <w:marLeft w:val="0"/>
                      <w:marRight w:val="0"/>
                      <w:marTop w:val="0"/>
                      <w:marBottom w:val="0"/>
                      <w:divBdr>
                        <w:top w:val="none" w:sz="0" w:space="0" w:color="auto"/>
                        <w:left w:val="none" w:sz="0" w:space="0" w:color="auto"/>
                        <w:bottom w:val="none" w:sz="0" w:space="0" w:color="auto"/>
                        <w:right w:val="none" w:sz="0" w:space="0" w:color="auto"/>
                      </w:divBdr>
                      <w:divsChild>
                        <w:div w:id="441268576">
                          <w:marLeft w:val="0"/>
                          <w:marRight w:val="0"/>
                          <w:marTop w:val="0"/>
                          <w:marBottom w:val="0"/>
                          <w:divBdr>
                            <w:top w:val="none" w:sz="0" w:space="0" w:color="auto"/>
                            <w:left w:val="none" w:sz="0" w:space="0" w:color="auto"/>
                            <w:bottom w:val="none" w:sz="0" w:space="0" w:color="auto"/>
                            <w:right w:val="none" w:sz="0" w:space="0" w:color="auto"/>
                          </w:divBdr>
                          <w:divsChild>
                            <w:div w:id="892890550">
                              <w:marLeft w:val="0"/>
                              <w:marRight w:val="0"/>
                              <w:marTop w:val="0"/>
                              <w:marBottom w:val="0"/>
                              <w:divBdr>
                                <w:top w:val="none" w:sz="0" w:space="0" w:color="auto"/>
                                <w:left w:val="none" w:sz="0" w:space="0" w:color="auto"/>
                                <w:bottom w:val="none" w:sz="0" w:space="0" w:color="auto"/>
                                <w:right w:val="none" w:sz="0" w:space="0" w:color="auto"/>
                              </w:divBdr>
                              <w:divsChild>
                                <w:div w:id="357583712">
                                  <w:marLeft w:val="0"/>
                                  <w:marRight w:val="0"/>
                                  <w:marTop w:val="0"/>
                                  <w:marBottom w:val="0"/>
                                  <w:divBdr>
                                    <w:top w:val="none" w:sz="0" w:space="0" w:color="auto"/>
                                    <w:left w:val="none" w:sz="0" w:space="0" w:color="auto"/>
                                    <w:bottom w:val="none" w:sz="0" w:space="0" w:color="auto"/>
                                    <w:right w:val="none" w:sz="0" w:space="0" w:color="auto"/>
                                  </w:divBdr>
                                  <w:divsChild>
                                    <w:div w:id="1748915940">
                                      <w:marLeft w:val="0"/>
                                      <w:marRight w:val="0"/>
                                      <w:marTop w:val="0"/>
                                      <w:marBottom w:val="0"/>
                                      <w:divBdr>
                                        <w:top w:val="none" w:sz="0" w:space="0" w:color="auto"/>
                                        <w:left w:val="none" w:sz="0" w:space="0" w:color="auto"/>
                                        <w:bottom w:val="none" w:sz="0" w:space="0" w:color="auto"/>
                                        <w:right w:val="none" w:sz="0" w:space="0" w:color="auto"/>
                                      </w:divBdr>
                                      <w:divsChild>
                                        <w:div w:id="1368750904">
                                          <w:marLeft w:val="0"/>
                                          <w:marRight w:val="0"/>
                                          <w:marTop w:val="0"/>
                                          <w:marBottom w:val="0"/>
                                          <w:divBdr>
                                            <w:top w:val="none" w:sz="0" w:space="0" w:color="auto"/>
                                            <w:left w:val="none" w:sz="0" w:space="0" w:color="auto"/>
                                            <w:bottom w:val="none" w:sz="0" w:space="0" w:color="auto"/>
                                            <w:right w:val="none" w:sz="0" w:space="0" w:color="auto"/>
                                          </w:divBdr>
                                          <w:divsChild>
                                            <w:div w:id="931358442">
                                              <w:marLeft w:val="0"/>
                                              <w:marRight w:val="0"/>
                                              <w:marTop w:val="0"/>
                                              <w:marBottom w:val="0"/>
                                              <w:divBdr>
                                                <w:top w:val="none" w:sz="0" w:space="0" w:color="auto"/>
                                                <w:left w:val="none" w:sz="0" w:space="0" w:color="auto"/>
                                                <w:bottom w:val="none" w:sz="0" w:space="0" w:color="auto"/>
                                                <w:right w:val="none" w:sz="0" w:space="0" w:color="auto"/>
                                              </w:divBdr>
                                            </w:div>
                                          </w:divsChild>
                                        </w:div>
                                        <w:div w:id="1249196133">
                                          <w:marLeft w:val="0"/>
                                          <w:marRight w:val="0"/>
                                          <w:marTop w:val="0"/>
                                          <w:marBottom w:val="0"/>
                                          <w:divBdr>
                                            <w:top w:val="none" w:sz="0" w:space="0" w:color="auto"/>
                                            <w:left w:val="none" w:sz="0" w:space="0" w:color="auto"/>
                                            <w:bottom w:val="none" w:sz="0" w:space="0" w:color="auto"/>
                                            <w:right w:val="none" w:sz="0" w:space="0" w:color="auto"/>
                                          </w:divBdr>
                                          <w:divsChild>
                                            <w:div w:id="600728021">
                                              <w:marLeft w:val="0"/>
                                              <w:marRight w:val="0"/>
                                              <w:marTop w:val="0"/>
                                              <w:marBottom w:val="0"/>
                                              <w:divBdr>
                                                <w:top w:val="none" w:sz="0" w:space="0" w:color="auto"/>
                                                <w:left w:val="none" w:sz="0" w:space="0" w:color="auto"/>
                                                <w:bottom w:val="none" w:sz="0" w:space="0" w:color="auto"/>
                                                <w:right w:val="none" w:sz="0" w:space="0" w:color="auto"/>
                                              </w:divBdr>
                                            </w:div>
                                          </w:divsChild>
                                        </w:div>
                                        <w:div w:id="398602643">
                                          <w:marLeft w:val="0"/>
                                          <w:marRight w:val="0"/>
                                          <w:marTop w:val="0"/>
                                          <w:marBottom w:val="0"/>
                                          <w:divBdr>
                                            <w:top w:val="none" w:sz="0" w:space="0" w:color="auto"/>
                                            <w:left w:val="none" w:sz="0" w:space="0" w:color="auto"/>
                                            <w:bottom w:val="none" w:sz="0" w:space="0" w:color="auto"/>
                                            <w:right w:val="none" w:sz="0" w:space="0" w:color="auto"/>
                                          </w:divBdr>
                                          <w:divsChild>
                                            <w:div w:id="129833924">
                                              <w:marLeft w:val="0"/>
                                              <w:marRight w:val="0"/>
                                              <w:marTop w:val="0"/>
                                              <w:marBottom w:val="0"/>
                                              <w:divBdr>
                                                <w:top w:val="none" w:sz="0" w:space="0" w:color="auto"/>
                                                <w:left w:val="none" w:sz="0" w:space="0" w:color="auto"/>
                                                <w:bottom w:val="none" w:sz="0" w:space="0" w:color="auto"/>
                                                <w:right w:val="none" w:sz="0" w:space="0" w:color="auto"/>
                                              </w:divBdr>
                                            </w:div>
                                            <w:div w:id="1278680572">
                                              <w:marLeft w:val="0"/>
                                              <w:marRight w:val="0"/>
                                              <w:marTop w:val="0"/>
                                              <w:marBottom w:val="0"/>
                                              <w:divBdr>
                                                <w:top w:val="none" w:sz="0" w:space="0" w:color="auto"/>
                                                <w:left w:val="none" w:sz="0" w:space="0" w:color="auto"/>
                                                <w:bottom w:val="none" w:sz="0" w:space="0" w:color="auto"/>
                                                <w:right w:val="none" w:sz="0" w:space="0" w:color="auto"/>
                                              </w:divBdr>
                                              <w:divsChild>
                                                <w:div w:id="1086001285">
                                                  <w:marLeft w:val="0"/>
                                                  <w:marRight w:val="0"/>
                                                  <w:marTop w:val="0"/>
                                                  <w:marBottom w:val="0"/>
                                                  <w:divBdr>
                                                    <w:top w:val="none" w:sz="0" w:space="0" w:color="auto"/>
                                                    <w:left w:val="none" w:sz="0" w:space="0" w:color="auto"/>
                                                    <w:bottom w:val="none" w:sz="0" w:space="0" w:color="auto"/>
                                                    <w:right w:val="none" w:sz="0" w:space="0" w:color="auto"/>
                                                  </w:divBdr>
                                                  <w:divsChild>
                                                    <w:div w:id="113498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93314">
                                              <w:marLeft w:val="0"/>
                                              <w:marRight w:val="0"/>
                                              <w:marTop w:val="0"/>
                                              <w:marBottom w:val="0"/>
                                              <w:divBdr>
                                                <w:top w:val="none" w:sz="0" w:space="0" w:color="auto"/>
                                                <w:left w:val="none" w:sz="0" w:space="0" w:color="auto"/>
                                                <w:bottom w:val="none" w:sz="0" w:space="0" w:color="auto"/>
                                                <w:right w:val="none" w:sz="0" w:space="0" w:color="auto"/>
                                              </w:divBdr>
                                            </w:div>
                                          </w:divsChild>
                                        </w:div>
                                        <w:div w:id="1349217043">
                                          <w:marLeft w:val="0"/>
                                          <w:marRight w:val="0"/>
                                          <w:marTop w:val="0"/>
                                          <w:marBottom w:val="0"/>
                                          <w:divBdr>
                                            <w:top w:val="none" w:sz="0" w:space="0" w:color="auto"/>
                                            <w:left w:val="none" w:sz="0" w:space="0" w:color="auto"/>
                                            <w:bottom w:val="none" w:sz="0" w:space="0" w:color="auto"/>
                                            <w:right w:val="none" w:sz="0" w:space="0" w:color="auto"/>
                                          </w:divBdr>
                                          <w:divsChild>
                                            <w:div w:id="1714648248">
                                              <w:marLeft w:val="0"/>
                                              <w:marRight w:val="0"/>
                                              <w:marTop w:val="0"/>
                                              <w:marBottom w:val="0"/>
                                              <w:divBdr>
                                                <w:top w:val="none" w:sz="0" w:space="0" w:color="auto"/>
                                                <w:left w:val="none" w:sz="0" w:space="0" w:color="auto"/>
                                                <w:bottom w:val="none" w:sz="0" w:space="0" w:color="auto"/>
                                                <w:right w:val="none" w:sz="0" w:space="0" w:color="auto"/>
                                              </w:divBdr>
                                            </w:div>
                                            <w:div w:id="730662019">
                                              <w:marLeft w:val="0"/>
                                              <w:marRight w:val="0"/>
                                              <w:marTop w:val="0"/>
                                              <w:marBottom w:val="0"/>
                                              <w:divBdr>
                                                <w:top w:val="none" w:sz="0" w:space="0" w:color="auto"/>
                                                <w:left w:val="none" w:sz="0" w:space="0" w:color="auto"/>
                                                <w:bottom w:val="none" w:sz="0" w:space="0" w:color="auto"/>
                                                <w:right w:val="none" w:sz="0" w:space="0" w:color="auto"/>
                                              </w:divBdr>
                                              <w:divsChild>
                                                <w:div w:id="509682762">
                                                  <w:marLeft w:val="0"/>
                                                  <w:marRight w:val="0"/>
                                                  <w:marTop w:val="0"/>
                                                  <w:marBottom w:val="0"/>
                                                  <w:divBdr>
                                                    <w:top w:val="none" w:sz="0" w:space="0" w:color="auto"/>
                                                    <w:left w:val="none" w:sz="0" w:space="0" w:color="auto"/>
                                                    <w:bottom w:val="none" w:sz="0" w:space="0" w:color="auto"/>
                                                    <w:right w:val="none" w:sz="0" w:space="0" w:color="auto"/>
                                                  </w:divBdr>
                                                  <w:divsChild>
                                                    <w:div w:id="144457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54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3389169">
          <w:marLeft w:val="0"/>
          <w:marRight w:val="0"/>
          <w:marTop w:val="0"/>
          <w:marBottom w:val="0"/>
          <w:divBdr>
            <w:top w:val="none" w:sz="0" w:space="0" w:color="auto"/>
            <w:left w:val="none" w:sz="0" w:space="0" w:color="auto"/>
            <w:bottom w:val="none" w:sz="0" w:space="0" w:color="auto"/>
            <w:right w:val="none" w:sz="0" w:space="0" w:color="auto"/>
          </w:divBdr>
          <w:divsChild>
            <w:div w:id="1622571730">
              <w:marLeft w:val="0"/>
              <w:marRight w:val="0"/>
              <w:marTop w:val="0"/>
              <w:marBottom w:val="0"/>
              <w:divBdr>
                <w:top w:val="none" w:sz="0" w:space="0" w:color="auto"/>
                <w:left w:val="none" w:sz="0" w:space="0" w:color="auto"/>
                <w:bottom w:val="none" w:sz="0" w:space="0" w:color="auto"/>
                <w:right w:val="none" w:sz="0" w:space="0" w:color="auto"/>
              </w:divBdr>
              <w:divsChild>
                <w:div w:id="1409880855">
                  <w:marLeft w:val="0"/>
                  <w:marRight w:val="0"/>
                  <w:marTop w:val="0"/>
                  <w:marBottom w:val="0"/>
                  <w:divBdr>
                    <w:top w:val="none" w:sz="0" w:space="0" w:color="auto"/>
                    <w:left w:val="none" w:sz="0" w:space="0" w:color="auto"/>
                    <w:bottom w:val="none" w:sz="0" w:space="0" w:color="auto"/>
                    <w:right w:val="none" w:sz="0" w:space="0" w:color="auto"/>
                  </w:divBdr>
                  <w:divsChild>
                    <w:div w:id="1219560627">
                      <w:marLeft w:val="0"/>
                      <w:marRight w:val="0"/>
                      <w:marTop w:val="0"/>
                      <w:marBottom w:val="0"/>
                      <w:divBdr>
                        <w:top w:val="none" w:sz="0" w:space="0" w:color="auto"/>
                        <w:left w:val="none" w:sz="0" w:space="0" w:color="auto"/>
                        <w:bottom w:val="none" w:sz="0" w:space="0" w:color="auto"/>
                        <w:right w:val="none" w:sz="0" w:space="0" w:color="auto"/>
                      </w:divBdr>
                      <w:divsChild>
                        <w:div w:id="1868788265">
                          <w:marLeft w:val="0"/>
                          <w:marRight w:val="0"/>
                          <w:marTop w:val="0"/>
                          <w:marBottom w:val="0"/>
                          <w:divBdr>
                            <w:top w:val="none" w:sz="0" w:space="0" w:color="auto"/>
                            <w:left w:val="none" w:sz="0" w:space="0" w:color="auto"/>
                            <w:bottom w:val="none" w:sz="0" w:space="0" w:color="auto"/>
                            <w:right w:val="none" w:sz="0" w:space="0" w:color="auto"/>
                          </w:divBdr>
                          <w:divsChild>
                            <w:div w:id="788740209">
                              <w:marLeft w:val="0"/>
                              <w:marRight w:val="0"/>
                              <w:marTop w:val="0"/>
                              <w:marBottom w:val="0"/>
                              <w:divBdr>
                                <w:top w:val="none" w:sz="0" w:space="0" w:color="auto"/>
                                <w:left w:val="none" w:sz="0" w:space="0" w:color="auto"/>
                                <w:bottom w:val="none" w:sz="0" w:space="0" w:color="auto"/>
                                <w:right w:val="none" w:sz="0" w:space="0" w:color="auto"/>
                              </w:divBdr>
                              <w:divsChild>
                                <w:div w:id="1205563267">
                                  <w:marLeft w:val="0"/>
                                  <w:marRight w:val="0"/>
                                  <w:marTop w:val="0"/>
                                  <w:marBottom w:val="0"/>
                                  <w:divBdr>
                                    <w:top w:val="none" w:sz="0" w:space="0" w:color="auto"/>
                                    <w:left w:val="none" w:sz="0" w:space="0" w:color="auto"/>
                                    <w:bottom w:val="none" w:sz="0" w:space="0" w:color="auto"/>
                                    <w:right w:val="none" w:sz="0" w:space="0" w:color="auto"/>
                                  </w:divBdr>
                                  <w:divsChild>
                                    <w:div w:id="396828205">
                                      <w:marLeft w:val="0"/>
                                      <w:marRight w:val="0"/>
                                      <w:marTop w:val="0"/>
                                      <w:marBottom w:val="0"/>
                                      <w:divBdr>
                                        <w:top w:val="none" w:sz="0" w:space="0" w:color="auto"/>
                                        <w:left w:val="none" w:sz="0" w:space="0" w:color="auto"/>
                                        <w:bottom w:val="none" w:sz="0" w:space="0" w:color="auto"/>
                                        <w:right w:val="none" w:sz="0" w:space="0" w:color="auto"/>
                                      </w:divBdr>
                                      <w:divsChild>
                                        <w:div w:id="164569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7059918">
          <w:marLeft w:val="0"/>
          <w:marRight w:val="0"/>
          <w:marTop w:val="0"/>
          <w:marBottom w:val="0"/>
          <w:divBdr>
            <w:top w:val="none" w:sz="0" w:space="0" w:color="auto"/>
            <w:left w:val="none" w:sz="0" w:space="0" w:color="auto"/>
            <w:bottom w:val="none" w:sz="0" w:space="0" w:color="auto"/>
            <w:right w:val="none" w:sz="0" w:space="0" w:color="auto"/>
          </w:divBdr>
          <w:divsChild>
            <w:div w:id="278029893">
              <w:marLeft w:val="0"/>
              <w:marRight w:val="0"/>
              <w:marTop w:val="0"/>
              <w:marBottom w:val="0"/>
              <w:divBdr>
                <w:top w:val="none" w:sz="0" w:space="0" w:color="auto"/>
                <w:left w:val="none" w:sz="0" w:space="0" w:color="auto"/>
                <w:bottom w:val="none" w:sz="0" w:space="0" w:color="auto"/>
                <w:right w:val="none" w:sz="0" w:space="0" w:color="auto"/>
              </w:divBdr>
              <w:divsChild>
                <w:div w:id="945307456">
                  <w:marLeft w:val="0"/>
                  <w:marRight w:val="0"/>
                  <w:marTop w:val="0"/>
                  <w:marBottom w:val="0"/>
                  <w:divBdr>
                    <w:top w:val="none" w:sz="0" w:space="0" w:color="auto"/>
                    <w:left w:val="none" w:sz="0" w:space="0" w:color="auto"/>
                    <w:bottom w:val="none" w:sz="0" w:space="0" w:color="auto"/>
                    <w:right w:val="none" w:sz="0" w:space="0" w:color="auto"/>
                  </w:divBdr>
                  <w:divsChild>
                    <w:div w:id="317416269">
                      <w:marLeft w:val="0"/>
                      <w:marRight w:val="0"/>
                      <w:marTop w:val="0"/>
                      <w:marBottom w:val="0"/>
                      <w:divBdr>
                        <w:top w:val="none" w:sz="0" w:space="0" w:color="auto"/>
                        <w:left w:val="none" w:sz="0" w:space="0" w:color="auto"/>
                        <w:bottom w:val="none" w:sz="0" w:space="0" w:color="auto"/>
                        <w:right w:val="none" w:sz="0" w:space="0" w:color="auto"/>
                      </w:divBdr>
                      <w:divsChild>
                        <w:div w:id="776095956">
                          <w:marLeft w:val="0"/>
                          <w:marRight w:val="0"/>
                          <w:marTop w:val="0"/>
                          <w:marBottom w:val="0"/>
                          <w:divBdr>
                            <w:top w:val="none" w:sz="0" w:space="0" w:color="auto"/>
                            <w:left w:val="none" w:sz="0" w:space="0" w:color="auto"/>
                            <w:bottom w:val="none" w:sz="0" w:space="0" w:color="auto"/>
                            <w:right w:val="none" w:sz="0" w:space="0" w:color="auto"/>
                          </w:divBdr>
                          <w:divsChild>
                            <w:div w:id="2053193710">
                              <w:marLeft w:val="0"/>
                              <w:marRight w:val="0"/>
                              <w:marTop w:val="0"/>
                              <w:marBottom w:val="0"/>
                              <w:divBdr>
                                <w:top w:val="none" w:sz="0" w:space="0" w:color="auto"/>
                                <w:left w:val="none" w:sz="0" w:space="0" w:color="auto"/>
                                <w:bottom w:val="none" w:sz="0" w:space="0" w:color="auto"/>
                                <w:right w:val="none" w:sz="0" w:space="0" w:color="auto"/>
                              </w:divBdr>
                              <w:divsChild>
                                <w:div w:id="736513967">
                                  <w:marLeft w:val="0"/>
                                  <w:marRight w:val="0"/>
                                  <w:marTop w:val="0"/>
                                  <w:marBottom w:val="0"/>
                                  <w:divBdr>
                                    <w:top w:val="none" w:sz="0" w:space="0" w:color="auto"/>
                                    <w:left w:val="none" w:sz="0" w:space="0" w:color="auto"/>
                                    <w:bottom w:val="none" w:sz="0" w:space="0" w:color="auto"/>
                                    <w:right w:val="none" w:sz="0" w:space="0" w:color="auto"/>
                                  </w:divBdr>
                                  <w:divsChild>
                                    <w:div w:id="53990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mpus.com/press" TargetMode="External"/><Relationship Id="rId3" Type="http://schemas.openxmlformats.org/officeDocument/2006/relationships/settings" Target="settings.xml"/><Relationship Id="rId7" Type="http://schemas.openxmlformats.org/officeDocument/2006/relationships/hyperlink" Target="https://www.takeda.com/newsroom/newsreleas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ma.europa.eu/en/news" TargetMode="External"/><Relationship Id="rId5" Type="http://schemas.openxmlformats.org/officeDocument/2006/relationships/hyperlink" Target="https://www.foundationmedicine.com/press-releas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4315</Words>
  <Characters>24599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2025-06-26T10:57:00Z</dcterms:created>
  <dcterms:modified xsi:type="dcterms:W3CDTF">2025-06-26T10:57:00Z</dcterms:modified>
</cp:coreProperties>
</file>