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E598D"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1. Introduction and Strategic Context</w:t>
      </w:r>
    </w:p>
    <w:p w14:paraId="4E6E347D" w14:textId="3E9602B6"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 xml:space="preserve">The </w:t>
      </w:r>
      <w:r w:rsidR="00AB0EBE" w:rsidRPr="003D0AD0">
        <w:rPr>
          <w:rFonts w:ascii="Segoe UI" w:eastAsia="Times New Roman" w:hAnsi="Segoe UI" w:cs="Segoe UI"/>
          <w:b/>
          <w:bCs/>
          <w:color w:val="0D0D0D"/>
          <w:sz w:val="24"/>
          <w:szCs w:val="24"/>
          <w:lang w:eastAsia="en-IN"/>
        </w:rPr>
        <w:t>Global Oxidative Stress Assay Market</w:t>
      </w:r>
      <w:r w:rsidR="00AB0EBE" w:rsidRPr="003D0AD0">
        <w:rPr>
          <w:rFonts w:ascii="Segoe UI" w:eastAsia="Times New Roman" w:hAnsi="Segoe UI" w:cs="Segoe UI"/>
          <w:color w:val="0D0D0D"/>
          <w:sz w:val="24"/>
          <w:szCs w:val="24"/>
          <w:lang w:eastAsia="en-IN"/>
        </w:rPr>
        <w:t> </w:t>
      </w:r>
      <w:r w:rsidRPr="003D0AD0">
        <w:rPr>
          <w:rFonts w:ascii="Segoe UI" w:eastAsia="Times New Roman" w:hAnsi="Segoe UI" w:cs="Segoe UI"/>
          <w:color w:val="0D0D0D"/>
          <w:sz w:val="24"/>
          <w:szCs w:val="24"/>
          <w:lang w:eastAsia="en-IN"/>
        </w:rPr>
        <w:t>will witness a robust CAGR of </w:t>
      </w:r>
      <w:r w:rsidRPr="003D0AD0">
        <w:rPr>
          <w:rFonts w:ascii="Segoe UI" w:eastAsia="Times New Roman" w:hAnsi="Segoe UI" w:cs="Segoe UI"/>
          <w:b/>
          <w:bCs/>
          <w:color w:val="0D0D0D"/>
          <w:sz w:val="24"/>
          <w:szCs w:val="24"/>
          <w:lang w:eastAsia="en-IN"/>
        </w:rPr>
        <w:t>8.9%</w:t>
      </w:r>
      <w:r w:rsidRPr="003D0AD0">
        <w:rPr>
          <w:rFonts w:ascii="Segoe UI" w:eastAsia="Times New Roman" w:hAnsi="Segoe UI" w:cs="Segoe UI"/>
          <w:color w:val="0D0D0D"/>
          <w:sz w:val="24"/>
          <w:szCs w:val="24"/>
          <w:lang w:eastAsia="en-IN"/>
        </w:rPr>
        <w:t>, valued at </w:t>
      </w:r>
      <w:r w:rsidRPr="003D0AD0">
        <w:rPr>
          <w:rFonts w:ascii="Segoe UI" w:eastAsia="Times New Roman" w:hAnsi="Segoe UI" w:cs="Segoe UI"/>
          <w:b/>
          <w:bCs/>
          <w:color w:val="0D0D0D"/>
          <w:sz w:val="24"/>
          <w:szCs w:val="24"/>
          <w:lang w:eastAsia="en-IN"/>
        </w:rPr>
        <w:t>$1.42 billion in 2024</w:t>
      </w:r>
      <w:r w:rsidRPr="003D0AD0">
        <w:rPr>
          <w:rFonts w:ascii="Segoe UI" w:eastAsia="Times New Roman" w:hAnsi="Segoe UI" w:cs="Segoe UI"/>
          <w:color w:val="0D0D0D"/>
          <w:sz w:val="24"/>
          <w:szCs w:val="24"/>
          <w:lang w:eastAsia="en-IN"/>
        </w:rPr>
        <w:t>, and is expected to appreciate and reach </w:t>
      </w:r>
      <w:r w:rsidRPr="003D0AD0">
        <w:rPr>
          <w:rFonts w:ascii="Segoe UI" w:eastAsia="Times New Roman" w:hAnsi="Segoe UI" w:cs="Segoe UI"/>
          <w:b/>
          <w:bCs/>
          <w:color w:val="0D0D0D"/>
          <w:sz w:val="24"/>
          <w:szCs w:val="24"/>
          <w:lang w:eastAsia="en-IN"/>
        </w:rPr>
        <w:t>$2.36 billion by 2030</w:t>
      </w:r>
      <w:r w:rsidRPr="003D0AD0">
        <w:rPr>
          <w:rFonts w:ascii="Segoe UI" w:eastAsia="Times New Roman" w:hAnsi="Segoe UI" w:cs="Segoe UI"/>
          <w:color w:val="0D0D0D"/>
          <w:sz w:val="24"/>
          <w:szCs w:val="24"/>
          <w:lang w:eastAsia="en-IN"/>
        </w:rPr>
        <w:t>, confirms Strategic Market Research.</w:t>
      </w:r>
    </w:p>
    <w:p w14:paraId="74E07713"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Oxidative stress assays are critical tools used to detect and quantify oxidative stress levels in biological systems, primarily by measuring biomarkers such as reactive oxygen species (ROS), antioxidant capacity, and oxidative damage products. In the current decade, this market has gained strategic prominence due to its essential role in </w:t>
      </w:r>
      <w:r w:rsidRPr="003D0AD0">
        <w:rPr>
          <w:rFonts w:ascii="Segoe UI" w:eastAsia="Times New Roman" w:hAnsi="Segoe UI" w:cs="Segoe UI"/>
          <w:b/>
          <w:bCs/>
          <w:color w:val="0D0D0D"/>
          <w:sz w:val="24"/>
          <w:szCs w:val="24"/>
          <w:lang w:eastAsia="en-IN"/>
        </w:rPr>
        <w:t>pharmaceutical research, toxicology, chronic disease diagnostics, and anti-aging studies</w:t>
      </w:r>
      <w:r w:rsidRPr="003D0AD0">
        <w:rPr>
          <w:rFonts w:ascii="Segoe UI" w:eastAsia="Times New Roman" w:hAnsi="Segoe UI" w:cs="Segoe UI"/>
          <w:color w:val="0D0D0D"/>
          <w:sz w:val="24"/>
          <w:szCs w:val="24"/>
          <w:lang w:eastAsia="en-IN"/>
        </w:rPr>
        <w:t>.</w:t>
      </w:r>
    </w:p>
    <w:p w14:paraId="624501AC"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Several macroeconomic and scientific drivers are propelling the market’s growth. Rising </w:t>
      </w:r>
      <w:r w:rsidRPr="003D0AD0">
        <w:rPr>
          <w:rFonts w:ascii="Segoe UI" w:eastAsia="Times New Roman" w:hAnsi="Segoe UI" w:cs="Segoe UI"/>
          <w:b/>
          <w:bCs/>
          <w:color w:val="0D0D0D"/>
          <w:sz w:val="24"/>
          <w:szCs w:val="24"/>
          <w:lang w:eastAsia="en-IN"/>
        </w:rPr>
        <w:t>chronic disease incidence</w:t>
      </w:r>
      <w:r w:rsidRPr="003D0AD0">
        <w:rPr>
          <w:rFonts w:ascii="Segoe UI" w:eastAsia="Times New Roman" w:hAnsi="Segoe UI" w:cs="Segoe UI"/>
          <w:color w:val="0D0D0D"/>
          <w:sz w:val="24"/>
          <w:szCs w:val="24"/>
          <w:lang w:eastAsia="en-IN"/>
        </w:rPr>
        <w:t>, especially </w:t>
      </w:r>
      <w:r w:rsidRPr="003D0AD0">
        <w:rPr>
          <w:rFonts w:ascii="Segoe UI" w:eastAsia="Times New Roman" w:hAnsi="Segoe UI" w:cs="Segoe UI"/>
          <w:b/>
          <w:bCs/>
          <w:color w:val="0D0D0D"/>
          <w:sz w:val="24"/>
          <w:szCs w:val="24"/>
          <w:lang w:eastAsia="en-IN"/>
        </w:rPr>
        <w:t>cardiovascular, neurodegenerative, and metabolic disorders</w:t>
      </w:r>
      <w:r w:rsidRPr="003D0AD0">
        <w:rPr>
          <w:rFonts w:ascii="Segoe UI" w:eastAsia="Times New Roman" w:hAnsi="Segoe UI" w:cs="Segoe UI"/>
          <w:color w:val="0D0D0D"/>
          <w:sz w:val="24"/>
          <w:szCs w:val="24"/>
          <w:lang w:eastAsia="en-IN"/>
        </w:rPr>
        <w:t>, has necessitated the development of advanced oxidative biomarkers. Furthermore, </w:t>
      </w:r>
      <w:r w:rsidRPr="003D0AD0">
        <w:rPr>
          <w:rFonts w:ascii="Segoe UI" w:eastAsia="Times New Roman" w:hAnsi="Segoe UI" w:cs="Segoe UI"/>
          <w:b/>
          <w:bCs/>
          <w:color w:val="0D0D0D"/>
          <w:sz w:val="24"/>
          <w:szCs w:val="24"/>
          <w:lang w:eastAsia="en-IN"/>
        </w:rPr>
        <w:t>increased R&amp;D investments by biopharma companies</w:t>
      </w:r>
      <w:r w:rsidRPr="003D0AD0">
        <w:rPr>
          <w:rFonts w:ascii="Segoe UI" w:eastAsia="Times New Roman" w:hAnsi="Segoe UI" w:cs="Segoe UI"/>
          <w:color w:val="0D0D0D"/>
          <w:sz w:val="24"/>
          <w:szCs w:val="24"/>
          <w:lang w:eastAsia="en-IN"/>
        </w:rPr>
        <w:t>, combined with expanding research in </w:t>
      </w:r>
      <w:r w:rsidRPr="003D0AD0">
        <w:rPr>
          <w:rFonts w:ascii="Segoe UI" w:eastAsia="Times New Roman" w:hAnsi="Segoe UI" w:cs="Segoe UI"/>
          <w:b/>
          <w:bCs/>
          <w:color w:val="0D0D0D"/>
          <w:sz w:val="24"/>
          <w:szCs w:val="24"/>
          <w:lang w:eastAsia="en-IN"/>
        </w:rPr>
        <w:t>cell biology and mitochondrial dysfunction</w:t>
      </w:r>
      <w:r w:rsidRPr="003D0AD0">
        <w:rPr>
          <w:rFonts w:ascii="Segoe UI" w:eastAsia="Times New Roman" w:hAnsi="Segoe UI" w:cs="Segoe UI"/>
          <w:color w:val="0D0D0D"/>
          <w:sz w:val="24"/>
          <w:szCs w:val="24"/>
          <w:lang w:eastAsia="en-IN"/>
        </w:rPr>
        <w:t>, have elevated the demand for oxidative stress assays in both academia and industry.</w:t>
      </w:r>
    </w:p>
    <w:p w14:paraId="0C5E015F"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From a regulatory and technological perspective, agencies such as the </w:t>
      </w:r>
      <w:r w:rsidRPr="003D0AD0">
        <w:rPr>
          <w:rFonts w:ascii="Segoe UI" w:eastAsia="Times New Roman" w:hAnsi="Segoe UI" w:cs="Segoe UI"/>
          <w:b/>
          <w:bCs/>
          <w:color w:val="0D0D0D"/>
          <w:sz w:val="24"/>
          <w:szCs w:val="24"/>
          <w:lang w:eastAsia="en-IN"/>
        </w:rPr>
        <w:t>FDA and EMA</w:t>
      </w:r>
      <w:r w:rsidRPr="003D0AD0">
        <w:rPr>
          <w:rFonts w:ascii="Segoe UI" w:eastAsia="Times New Roman" w:hAnsi="Segoe UI" w:cs="Segoe UI"/>
          <w:color w:val="0D0D0D"/>
          <w:sz w:val="24"/>
          <w:szCs w:val="24"/>
          <w:lang w:eastAsia="en-IN"/>
        </w:rPr>
        <w:t> are progressively integrating oxidative stress biomarker validation into drug evaluation protocols. At the same time, </w:t>
      </w:r>
      <w:r w:rsidRPr="003D0AD0">
        <w:rPr>
          <w:rFonts w:ascii="Segoe UI" w:eastAsia="Times New Roman" w:hAnsi="Segoe UI" w:cs="Segoe UI"/>
          <w:b/>
          <w:bCs/>
          <w:color w:val="0D0D0D"/>
          <w:sz w:val="24"/>
          <w:szCs w:val="24"/>
          <w:lang w:eastAsia="en-IN"/>
        </w:rPr>
        <w:t>technological advances in assay platforms</w:t>
      </w:r>
      <w:r w:rsidRPr="003D0AD0">
        <w:rPr>
          <w:rFonts w:ascii="Segoe UI" w:eastAsia="Times New Roman" w:hAnsi="Segoe UI" w:cs="Segoe UI"/>
          <w:color w:val="0D0D0D"/>
          <w:sz w:val="24"/>
          <w:szCs w:val="24"/>
          <w:lang w:eastAsia="en-IN"/>
        </w:rPr>
        <w:t>—including </w:t>
      </w:r>
      <w:r w:rsidRPr="003D0AD0">
        <w:rPr>
          <w:rFonts w:ascii="Segoe UI" w:eastAsia="Times New Roman" w:hAnsi="Segoe UI" w:cs="Segoe UI"/>
          <w:b/>
          <w:bCs/>
          <w:color w:val="0D0D0D"/>
          <w:sz w:val="24"/>
          <w:szCs w:val="24"/>
          <w:lang w:eastAsia="en-IN"/>
        </w:rPr>
        <w:t>fluorescence-based kits, ELISA, chemiluminescence, and high-throughput microplate formats</w:t>
      </w:r>
      <w:r w:rsidRPr="003D0AD0">
        <w:rPr>
          <w:rFonts w:ascii="Segoe UI" w:eastAsia="Times New Roman" w:hAnsi="Segoe UI" w:cs="Segoe UI"/>
          <w:color w:val="0D0D0D"/>
          <w:sz w:val="24"/>
          <w:szCs w:val="24"/>
          <w:lang w:eastAsia="en-IN"/>
        </w:rPr>
        <w:t>—have improved assay accuracy and sensitivity, thus expanding their utility in both preclinical and clinical stages.</w:t>
      </w:r>
    </w:p>
    <w:p w14:paraId="0D6763D8"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Key stakeholders driving the oxidative stress assay market include:</w:t>
      </w:r>
    </w:p>
    <w:p w14:paraId="526E1023"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Original Equipment Manufacturers (OEMs)</w:t>
      </w:r>
      <w:r w:rsidRPr="003D0AD0">
        <w:rPr>
          <w:rFonts w:ascii="Segoe UI" w:eastAsia="Times New Roman" w:hAnsi="Segoe UI" w:cs="Segoe UI"/>
          <w:color w:val="0D0D0D"/>
          <w:sz w:val="24"/>
          <w:szCs w:val="24"/>
          <w:lang w:eastAsia="en-IN"/>
        </w:rPr>
        <w:t> developing assay kits and instruments</w:t>
      </w:r>
    </w:p>
    <w:p w14:paraId="636DF12B"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Pharmaceutical and biotechnology companies</w:t>
      </w:r>
      <w:r w:rsidRPr="003D0AD0">
        <w:rPr>
          <w:rFonts w:ascii="Segoe UI" w:eastAsia="Times New Roman" w:hAnsi="Segoe UI" w:cs="Segoe UI"/>
          <w:color w:val="0D0D0D"/>
          <w:sz w:val="24"/>
          <w:szCs w:val="24"/>
          <w:lang w:eastAsia="en-IN"/>
        </w:rPr>
        <w:t> conducting oxidative stress-related R&amp;D</w:t>
      </w:r>
    </w:p>
    <w:p w14:paraId="0BC9F264"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Academic and clinical research institutions</w:t>
      </w:r>
    </w:p>
    <w:p w14:paraId="5D648BCA"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Government and private research funders</w:t>
      </w:r>
    </w:p>
    <w:p w14:paraId="7553BDB0"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CROs (Contract Research Organizations)</w:t>
      </w:r>
    </w:p>
    <w:p w14:paraId="28A10C10"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Toxicological screening labs</w:t>
      </w:r>
    </w:p>
    <w:p w14:paraId="455896DB" w14:textId="77777777" w:rsidR="003D0AD0" w:rsidRPr="003D0AD0" w:rsidRDefault="003D0AD0" w:rsidP="003D0AD0">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Hospitals and diagnostic laboratories</w:t>
      </w:r>
    </w:p>
    <w:p w14:paraId="72A02F9D"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The strategic relevance of oxidative stress assays is expected to deepen as precision medicine advances and as oxidative biomarkers become central to early disease prediction, therapeutic monitoring, and personalized interventions.</w:t>
      </w:r>
    </w:p>
    <w:p w14:paraId="303A375C"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lastRenderedPageBreak/>
        <w:t>2. Market Segmentation and Forecast Scope</w:t>
      </w:r>
    </w:p>
    <w:p w14:paraId="446A9160"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 global oxidative stress assay market can be comprehensively segmented along the following axes:</w:t>
      </w:r>
    </w:p>
    <w:p w14:paraId="4757D841"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By Product Type</w:t>
      </w:r>
    </w:p>
    <w:p w14:paraId="1010214A" w14:textId="77777777" w:rsidR="003D0AD0" w:rsidRPr="003D0AD0" w:rsidRDefault="003D0AD0" w:rsidP="003D0AD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Consumables</w:t>
      </w:r>
      <w:r w:rsidRPr="003D0AD0">
        <w:rPr>
          <w:rFonts w:ascii="Segoe UI" w:eastAsia="Times New Roman" w:hAnsi="Segoe UI" w:cs="Segoe UI"/>
          <w:color w:val="0D0D0D"/>
          <w:sz w:val="24"/>
          <w:szCs w:val="24"/>
          <w:lang w:eastAsia="en-IN"/>
        </w:rPr>
        <w:t> (reagents, antibodies, buffers, kits)</w:t>
      </w:r>
    </w:p>
    <w:p w14:paraId="55D9C808" w14:textId="77777777" w:rsidR="003D0AD0" w:rsidRPr="003D0AD0" w:rsidRDefault="003D0AD0" w:rsidP="003D0AD0">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Instruments</w:t>
      </w:r>
      <w:r w:rsidRPr="003D0AD0">
        <w:rPr>
          <w:rFonts w:ascii="Segoe UI" w:eastAsia="Times New Roman" w:hAnsi="Segoe UI" w:cs="Segoe UI"/>
          <w:color w:val="0D0D0D"/>
          <w:sz w:val="24"/>
          <w:szCs w:val="24"/>
          <w:lang w:eastAsia="en-IN"/>
        </w:rPr>
        <w:t xml:space="preserve"> (microplate readers, fluorescence </w:t>
      </w:r>
      <w:proofErr w:type="spellStart"/>
      <w:r w:rsidRPr="003D0AD0">
        <w:rPr>
          <w:rFonts w:ascii="Segoe UI" w:eastAsia="Times New Roman" w:hAnsi="Segoe UI" w:cs="Segoe UI"/>
          <w:color w:val="0D0D0D"/>
          <w:sz w:val="24"/>
          <w:szCs w:val="24"/>
          <w:lang w:eastAsia="en-IN"/>
        </w:rPr>
        <w:t>analyzers</w:t>
      </w:r>
      <w:proofErr w:type="spellEnd"/>
      <w:r w:rsidRPr="003D0AD0">
        <w:rPr>
          <w:rFonts w:ascii="Segoe UI" w:eastAsia="Times New Roman" w:hAnsi="Segoe UI" w:cs="Segoe UI"/>
          <w:color w:val="0D0D0D"/>
          <w:sz w:val="24"/>
          <w:szCs w:val="24"/>
          <w:lang w:eastAsia="en-IN"/>
        </w:rPr>
        <w:t>, chemiluminescence detectors)</w:t>
      </w:r>
    </w:p>
    <w:p w14:paraId="1EDBC4EF"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Consumables accounted for the highest market share in 2024, comprising approximately </w:t>
      </w:r>
      <w:r w:rsidRPr="003D0AD0">
        <w:rPr>
          <w:rFonts w:ascii="Segoe UI" w:eastAsia="Times New Roman" w:hAnsi="Segoe UI" w:cs="Segoe UI"/>
          <w:b/>
          <w:bCs/>
          <w:i/>
          <w:iCs/>
          <w:color w:val="0D0D0D"/>
          <w:sz w:val="24"/>
          <w:szCs w:val="24"/>
          <w:lang w:eastAsia="en-IN"/>
        </w:rPr>
        <w:t>63.2%</w:t>
      </w:r>
      <w:r w:rsidRPr="003D0AD0">
        <w:rPr>
          <w:rFonts w:ascii="Segoe UI" w:eastAsia="Times New Roman" w:hAnsi="Segoe UI" w:cs="Segoe UI"/>
          <w:i/>
          <w:iCs/>
          <w:color w:val="0D0D0D"/>
          <w:sz w:val="24"/>
          <w:szCs w:val="24"/>
          <w:lang w:eastAsia="en-IN"/>
        </w:rPr>
        <w:t> of the total market revenue.</w:t>
      </w:r>
      <w:r w:rsidRPr="003D0AD0">
        <w:rPr>
          <w:rFonts w:ascii="Segoe UI" w:eastAsia="Times New Roman" w:hAnsi="Segoe UI" w:cs="Segoe UI"/>
          <w:color w:val="0D0D0D"/>
          <w:sz w:val="24"/>
          <w:szCs w:val="24"/>
          <w:lang w:eastAsia="en-IN"/>
        </w:rPr>
        <w:t> This dominance is attributed to their recurring use in routine lab workflows and their role in multiple assay formats. The demand for ready-to-use kits with enhanced sensitivity and reproducibility continues to rise sharply across pharmaceutical and academic research labs.</w:t>
      </w:r>
    </w:p>
    <w:p w14:paraId="701EB91F"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By Assay Type</w:t>
      </w:r>
    </w:p>
    <w:p w14:paraId="65B0D238" w14:textId="77777777" w:rsidR="003D0AD0" w:rsidRPr="003D0AD0" w:rsidRDefault="003D0AD0" w:rsidP="003D0AD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Indirect Assays</w:t>
      </w:r>
      <w:r w:rsidRPr="003D0AD0">
        <w:rPr>
          <w:rFonts w:ascii="Segoe UI" w:eastAsia="Times New Roman" w:hAnsi="Segoe UI" w:cs="Segoe UI"/>
          <w:color w:val="0D0D0D"/>
          <w:sz w:val="24"/>
          <w:szCs w:val="24"/>
          <w:lang w:eastAsia="en-IN"/>
        </w:rPr>
        <w:t> (measuring lipid peroxidation, DNA/RNA oxidation, protein carbonylation)</w:t>
      </w:r>
    </w:p>
    <w:p w14:paraId="4B7DA734" w14:textId="77777777" w:rsidR="003D0AD0" w:rsidRPr="003D0AD0" w:rsidRDefault="003D0AD0" w:rsidP="003D0AD0">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Direct Assays</w:t>
      </w:r>
      <w:r w:rsidRPr="003D0AD0">
        <w:rPr>
          <w:rFonts w:ascii="Segoe UI" w:eastAsia="Times New Roman" w:hAnsi="Segoe UI" w:cs="Segoe UI"/>
          <w:color w:val="0D0D0D"/>
          <w:sz w:val="24"/>
          <w:szCs w:val="24"/>
          <w:lang w:eastAsia="en-IN"/>
        </w:rPr>
        <w:t> (measuring intracellular ROS, antioxidant capacity, enzymatic activity)</w:t>
      </w:r>
    </w:p>
    <w:p w14:paraId="2E844F35"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Indirect assays remain widely adopted due to their standardized protocols and cost-effectiveness; however, direct assays are gaining momentum for their ability to provide real-time cellular stress readouts and dynamic monitoring.</w:t>
      </w:r>
    </w:p>
    <w:p w14:paraId="24DF6B83"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By Application</w:t>
      </w:r>
    </w:p>
    <w:p w14:paraId="2A2C5077" w14:textId="77777777" w:rsidR="003D0AD0" w:rsidRPr="003D0AD0" w:rsidRDefault="003D0AD0" w:rsidP="003D0AD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Drug Discovery &amp; Preclinical Research</w:t>
      </w:r>
    </w:p>
    <w:p w14:paraId="0117B0D6" w14:textId="77777777" w:rsidR="003D0AD0" w:rsidRPr="003D0AD0" w:rsidRDefault="003D0AD0" w:rsidP="003D0AD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Clinical Diagnostics</w:t>
      </w:r>
    </w:p>
    <w:p w14:paraId="04E7BFC9" w14:textId="77777777" w:rsidR="003D0AD0" w:rsidRPr="003D0AD0" w:rsidRDefault="003D0AD0" w:rsidP="003D0AD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Toxicology Testing</w:t>
      </w:r>
    </w:p>
    <w:p w14:paraId="49B544C8" w14:textId="77777777" w:rsidR="003D0AD0" w:rsidRPr="003D0AD0" w:rsidRDefault="003D0AD0" w:rsidP="003D0AD0">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Nutraceutical and Cosmetic Testing</w:t>
      </w:r>
    </w:p>
    <w:p w14:paraId="4A1C8BEC"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Drug discovery and preclinical research represent the fastest-growing segment, projected to register a CAGR of over </w:t>
      </w:r>
      <w:r w:rsidRPr="003D0AD0">
        <w:rPr>
          <w:rFonts w:ascii="Segoe UI" w:eastAsia="Times New Roman" w:hAnsi="Segoe UI" w:cs="Segoe UI"/>
          <w:b/>
          <w:bCs/>
          <w:i/>
          <w:iCs/>
          <w:color w:val="0D0D0D"/>
          <w:sz w:val="24"/>
          <w:szCs w:val="24"/>
          <w:lang w:eastAsia="en-IN"/>
        </w:rPr>
        <w:t>10.1%</w:t>
      </w:r>
      <w:r w:rsidRPr="003D0AD0">
        <w:rPr>
          <w:rFonts w:ascii="Segoe UI" w:eastAsia="Times New Roman" w:hAnsi="Segoe UI" w:cs="Segoe UI"/>
          <w:i/>
          <w:iCs/>
          <w:color w:val="0D0D0D"/>
          <w:sz w:val="24"/>
          <w:szCs w:val="24"/>
          <w:lang w:eastAsia="en-IN"/>
        </w:rPr>
        <w:t> through 2030, driven by the rising emphasis on redox biology in therapeutic evaluation pipelines.</w:t>
      </w:r>
    </w:p>
    <w:p w14:paraId="4430C077"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By End User</w:t>
      </w:r>
    </w:p>
    <w:p w14:paraId="1D546601" w14:textId="77777777" w:rsidR="003D0AD0" w:rsidRPr="003D0AD0" w:rsidRDefault="003D0AD0" w:rsidP="003D0AD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Pharmaceutical &amp; Biotechnology Companies</w:t>
      </w:r>
    </w:p>
    <w:p w14:paraId="49DA06DC" w14:textId="77777777" w:rsidR="003D0AD0" w:rsidRPr="003D0AD0" w:rsidRDefault="003D0AD0" w:rsidP="003D0AD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Academic &amp; Research Institutes</w:t>
      </w:r>
    </w:p>
    <w:p w14:paraId="4C45FF3C" w14:textId="77777777" w:rsidR="003D0AD0" w:rsidRPr="003D0AD0" w:rsidRDefault="003D0AD0" w:rsidP="003D0AD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Contract Research Organizations (CROs)</w:t>
      </w:r>
    </w:p>
    <w:p w14:paraId="345D8E6B" w14:textId="77777777" w:rsidR="003D0AD0" w:rsidRPr="003D0AD0" w:rsidRDefault="003D0AD0" w:rsidP="003D0AD0">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Hospitals and Diagnostic Labs</w:t>
      </w:r>
    </w:p>
    <w:p w14:paraId="042D6EC0"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lastRenderedPageBreak/>
        <w:t>Academic institutes and CROs together form a significant portion of the user base, owing to the increasing outsourcing of toxicology and cell-based research, especially in developing economies.</w:t>
      </w:r>
    </w:p>
    <w:p w14:paraId="5DFE60FD"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By Region</w:t>
      </w:r>
    </w:p>
    <w:p w14:paraId="02DBAE51" w14:textId="77777777" w:rsidR="003D0AD0" w:rsidRPr="003D0AD0" w:rsidRDefault="003D0AD0" w:rsidP="003D0AD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North America</w:t>
      </w:r>
    </w:p>
    <w:p w14:paraId="40BB1C30" w14:textId="77777777" w:rsidR="003D0AD0" w:rsidRPr="003D0AD0" w:rsidRDefault="003D0AD0" w:rsidP="003D0AD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Europe</w:t>
      </w:r>
    </w:p>
    <w:p w14:paraId="65353135" w14:textId="77777777" w:rsidR="003D0AD0" w:rsidRPr="003D0AD0" w:rsidRDefault="003D0AD0" w:rsidP="003D0AD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Asia Pacific</w:t>
      </w:r>
    </w:p>
    <w:p w14:paraId="44ADB1F1" w14:textId="77777777" w:rsidR="003D0AD0" w:rsidRPr="003D0AD0" w:rsidRDefault="003D0AD0" w:rsidP="003D0AD0">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LAMEA (Latin America, Middle East, and Africa)</w:t>
      </w:r>
    </w:p>
    <w:p w14:paraId="569055C6"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North America remains the dominant market due to strong funding in biomedical research, high adoption of precision diagnostics, and the presence of key assay manufacturers. Meanwhile, Asia Pacific is emerging as the fastest-growing region, bolstered by expanding biotech hubs and public health initiatives.</w:t>
      </w:r>
    </w:p>
    <w:p w14:paraId="7A3763F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 xml:space="preserve">This segmentation structure enables a granular understanding of market </w:t>
      </w:r>
      <w:proofErr w:type="spellStart"/>
      <w:r w:rsidRPr="003D0AD0">
        <w:rPr>
          <w:rFonts w:ascii="Segoe UI" w:eastAsia="Times New Roman" w:hAnsi="Segoe UI" w:cs="Segoe UI"/>
          <w:i/>
          <w:iCs/>
          <w:color w:val="0D0D0D"/>
          <w:sz w:val="24"/>
          <w:szCs w:val="24"/>
          <w:lang w:eastAsia="en-IN"/>
        </w:rPr>
        <w:t>behavior</w:t>
      </w:r>
      <w:proofErr w:type="spellEnd"/>
      <w:r w:rsidRPr="003D0AD0">
        <w:rPr>
          <w:rFonts w:ascii="Segoe UI" w:eastAsia="Times New Roman" w:hAnsi="Segoe UI" w:cs="Segoe UI"/>
          <w:i/>
          <w:iCs/>
          <w:color w:val="0D0D0D"/>
          <w:sz w:val="24"/>
          <w:szCs w:val="24"/>
          <w:lang w:eastAsia="en-IN"/>
        </w:rPr>
        <w:t>, end-user priorities, and innovation hotspots. It also supports stakeholders in targeting growth pockets through customized strategies aligned with assay development, commercialization, or service delivery.</w:t>
      </w:r>
    </w:p>
    <w:p w14:paraId="3F26C25B"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3. Market Trends and Innovation Landscape</w:t>
      </w:r>
    </w:p>
    <w:p w14:paraId="4CFAEC0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 xml:space="preserve">The oxidative stress assay market is undergoing a dynamic transformation, </w:t>
      </w:r>
      <w:proofErr w:type="spellStart"/>
      <w:r w:rsidRPr="003D0AD0">
        <w:rPr>
          <w:rFonts w:ascii="Segoe UI" w:eastAsia="Times New Roman" w:hAnsi="Segoe UI" w:cs="Segoe UI"/>
          <w:color w:val="0D0D0D"/>
          <w:sz w:val="24"/>
          <w:szCs w:val="24"/>
          <w:lang w:eastAsia="en-IN"/>
        </w:rPr>
        <w:t>fueled</w:t>
      </w:r>
      <w:proofErr w:type="spellEnd"/>
      <w:r w:rsidRPr="003D0AD0">
        <w:rPr>
          <w:rFonts w:ascii="Segoe UI" w:eastAsia="Times New Roman" w:hAnsi="Segoe UI" w:cs="Segoe UI"/>
          <w:color w:val="0D0D0D"/>
          <w:sz w:val="24"/>
          <w:szCs w:val="24"/>
          <w:lang w:eastAsia="en-IN"/>
        </w:rPr>
        <w:t xml:space="preserve"> by rapid advancements in </w:t>
      </w:r>
      <w:r w:rsidRPr="003D0AD0">
        <w:rPr>
          <w:rFonts w:ascii="Segoe UI" w:eastAsia="Times New Roman" w:hAnsi="Segoe UI" w:cs="Segoe UI"/>
          <w:b/>
          <w:bCs/>
          <w:color w:val="0D0D0D"/>
          <w:sz w:val="24"/>
          <w:szCs w:val="24"/>
          <w:lang w:eastAsia="en-IN"/>
        </w:rPr>
        <w:t>assay technologies, platform automation, and redox-based research applications</w:t>
      </w:r>
      <w:r w:rsidRPr="003D0AD0">
        <w:rPr>
          <w:rFonts w:ascii="Segoe UI" w:eastAsia="Times New Roman" w:hAnsi="Segoe UI" w:cs="Segoe UI"/>
          <w:color w:val="0D0D0D"/>
          <w:sz w:val="24"/>
          <w:szCs w:val="24"/>
          <w:lang w:eastAsia="en-IN"/>
        </w:rPr>
        <w:t>. A strong convergence of biotechnology innovation, clinical validation, and systems biology is expanding the utility of oxidative stress assays well beyond their conventional toxicology roots.</w:t>
      </w:r>
    </w:p>
    <w:p w14:paraId="513DD9FA"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Technological Innovation Trends</w:t>
      </w:r>
    </w:p>
    <w:p w14:paraId="4CE03B50"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 major innovation trend involves the development of </w:t>
      </w:r>
      <w:r w:rsidRPr="003D0AD0">
        <w:rPr>
          <w:rFonts w:ascii="Segoe UI" w:eastAsia="Times New Roman" w:hAnsi="Segoe UI" w:cs="Segoe UI"/>
          <w:b/>
          <w:bCs/>
          <w:color w:val="0D0D0D"/>
          <w:sz w:val="24"/>
          <w:szCs w:val="24"/>
          <w:lang w:eastAsia="en-IN"/>
        </w:rPr>
        <w:t>multiplexed assay platforms</w:t>
      </w:r>
      <w:r w:rsidRPr="003D0AD0">
        <w:rPr>
          <w:rFonts w:ascii="Segoe UI" w:eastAsia="Times New Roman" w:hAnsi="Segoe UI" w:cs="Segoe UI"/>
          <w:color w:val="0D0D0D"/>
          <w:sz w:val="24"/>
          <w:szCs w:val="24"/>
          <w:lang w:eastAsia="en-IN"/>
        </w:rPr>
        <w:t> that allow simultaneous detection of multiple oxidative biomarkers—such as ROS, lipid peroxides, and protein carbonyls—within a single run. These kits offer </w:t>
      </w:r>
      <w:r w:rsidRPr="003D0AD0">
        <w:rPr>
          <w:rFonts w:ascii="Segoe UI" w:eastAsia="Times New Roman" w:hAnsi="Segoe UI" w:cs="Segoe UI"/>
          <w:b/>
          <w:bCs/>
          <w:color w:val="0D0D0D"/>
          <w:sz w:val="24"/>
          <w:szCs w:val="24"/>
          <w:lang w:eastAsia="en-IN"/>
        </w:rPr>
        <w:t>higher data density, greater reproducibility, and time savings</w:t>
      </w:r>
      <w:r w:rsidRPr="003D0AD0">
        <w:rPr>
          <w:rFonts w:ascii="Segoe UI" w:eastAsia="Times New Roman" w:hAnsi="Segoe UI" w:cs="Segoe UI"/>
          <w:color w:val="0D0D0D"/>
          <w:sz w:val="24"/>
          <w:szCs w:val="24"/>
          <w:lang w:eastAsia="en-IN"/>
        </w:rPr>
        <w:t>, making them ideal for high-throughput screening environments in pharmaceutical labs.</w:t>
      </w:r>
    </w:p>
    <w:p w14:paraId="515050B1"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In parallel, the adoption of </w:t>
      </w:r>
      <w:r w:rsidRPr="003D0AD0">
        <w:rPr>
          <w:rFonts w:ascii="Segoe UI" w:eastAsia="Times New Roman" w:hAnsi="Segoe UI" w:cs="Segoe UI"/>
          <w:b/>
          <w:bCs/>
          <w:color w:val="0D0D0D"/>
          <w:sz w:val="24"/>
          <w:szCs w:val="24"/>
          <w:lang w:eastAsia="en-IN"/>
        </w:rPr>
        <w:t>fluorescence- and chemiluminescence-based detection methods</w:t>
      </w:r>
      <w:r w:rsidRPr="003D0AD0">
        <w:rPr>
          <w:rFonts w:ascii="Segoe UI" w:eastAsia="Times New Roman" w:hAnsi="Segoe UI" w:cs="Segoe UI"/>
          <w:color w:val="0D0D0D"/>
          <w:sz w:val="24"/>
          <w:szCs w:val="24"/>
          <w:lang w:eastAsia="en-IN"/>
        </w:rPr>
        <w:t> has enhanced assay sensitivity to picomolar levels. This evolution is crucial for applications like </w:t>
      </w:r>
      <w:r w:rsidRPr="003D0AD0">
        <w:rPr>
          <w:rFonts w:ascii="Segoe UI" w:eastAsia="Times New Roman" w:hAnsi="Segoe UI" w:cs="Segoe UI"/>
          <w:b/>
          <w:bCs/>
          <w:color w:val="0D0D0D"/>
          <w:sz w:val="24"/>
          <w:szCs w:val="24"/>
          <w:lang w:eastAsia="en-IN"/>
        </w:rPr>
        <w:t>low-dose toxicity screening</w:t>
      </w:r>
      <w:r w:rsidRPr="003D0AD0">
        <w:rPr>
          <w:rFonts w:ascii="Segoe UI" w:eastAsia="Times New Roman" w:hAnsi="Segoe UI" w:cs="Segoe UI"/>
          <w:color w:val="0D0D0D"/>
          <w:sz w:val="24"/>
          <w:szCs w:val="24"/>
          <w:lang w:eastAsia="en-IN"/>
        </w:rPr>
        <w:t>, early-stage cancer detection, and </w:t>
      </w:r>
      <w:r w:rsidRPr="003D0AD0">
        <w:rPr>
          <w:rFonts w:ascii="Segoe UI" w:eastAsia="Times New Roman" w:hAnsi="Segoe UI" w:cs="Segoe UI"/>
          <w:b/>
          <w:bCs/>
          <w:color w:val="0D0D0D"/>
          <w:sz w:val="24"/>
          <w:szCs w:val="24"/>
          <w:lang w:eastAsia="en-IN"/>
        </w:rPr>
        <w:t xml:space="preserve">in vitro </w:t>
      </w:r>
      <w:proofErr w:type="spellStart"/>
      <w:r w:rsidRPr="003D0AD0">
        <w:rPr>
          <w:rFonts w:ascii="Segoe UI" w:eastAsia="Times New Roman" w:hAnsi="Segoe UI" w:cs="Segoe UI"/>
          <w:b/>
          <w:bCs/>
          <w:color w:val="0D0D0D"/>
          <w:sz w:val="24"/>
          <w:szCs w:val="24"/>
          <w:lang w:eastAsia="en-IN"/>
        </w:rPr>
        <w:t>modeling</w:t>
      </w:r>
      <w:proofErr w:type="spellEnd"/>
      <w:r w:rsidRPr="003D0AD0">
        <w:rPr>
          <w:rFonts w:ascii="Segoe UI" w:eastAsia="Times New Roman" w:hAnsi="Segoe UI" w:cs="Segoe UI"/>
          <w:b/>
          <w:bCs/>
          <w:color w:val="0D0D0D"/>
          <w:sz w:val="24"/>
          <w:szCs w:val="24"/>
          <w:lang w:eastAsia="en-IN"/>
        </w:rPr>
        <w:t xml:space="preserve"> of oxidative injury</w:t>
      </w:r>
      <w:r w:rsidRPr="003D0AD0">
        <w:rPr>
          <w:rFonts w:ascii="Segoe UI" w:eastAsia="Times New Roman" w:hAnsi="Segoe UI" w:cs="Segoe UI"/>
          <w:color w:val="0D0D0D"/>
          <w:sz w:val="24"/>
          <w:szCs w:val="24"/>
          <w:lang w:eastAsia="en-IN"/>
        </w:rPr>
        <w:t>.</w:t>
      </w:r>
    </w:p>
    <w:p w14:paraId="11346DF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Another prominent innovation is the rise of </w:t>
      </w:r>
      <w:r w:rsidRPr="003D0AD0">
        <w:rPr>
          <w:rFonts w:ascii="Segoe UI" w:eastAsia="Times New Roman" w:hAnsi="Segoe UI" w:cs="Segoe UI"/>
          <w:b/>
          <w:bCs/>
          <w:color w:val="0D0D0D"/>
          <w:sz w:val="24"/>
          <w:szCs w:val="24"/>
          <w:lang w:eastAsia="en-IN"/>
        </w:rPr>
        <w:t>microfluidic and lab-on-chip assay formats</w:t>
      </w:r>
      <w:r w:rsidRPr="003D0AD0">
        <w:rPr>
          <w:rFonts w:ascii="Segoe UI" w:eastAsia="Times New Roman" w:hAnsi="Segoe UI" w:cs="Segoe UI"/>
          <w:color w:val="0D0D0D"/>
          <w:sz w:val="24"/>
          <w:szCs w:val="24"/>
          <w:lang w:eastAsia="en-IN"/>
        </w:rPr>
        <w:t xml:space="preserve">, enabling real-time monitoring of cellular redox states with minimal reagent </w:t>
      </w:r>
      <w:r w:rsidRPr="003D0AD0">
        <w:rPr>
          <w:rFonts w:ascii="Segoe UI" w:eastAsia="Times New Roman" w:hAnsi="Segoe UI" w:cs="Segoe UI"/>
          <w:color w:val="0D0D0D"/>
          <w:sz w:val="24"/>
          <w:szCs w:val="24"/>
          <w:lang w:eastAsia="en-IN"/>
        </w:rPr>
        <w:lastRenderedPageBreak/>
        <w:t>consumption. These tools are increasingly integrated into </w:t>
      </w:r>
      <w:r w:rsidRPr="003D0AD0">
        <w:rPr>
          <w:rFonts w:ascii="Segoe UI" w:eastAsia="Times New Roman" w:hAnsi="Segoe UI" w:cs="Segoe UI"/>
          <w:b/>
          <w:bCs/>
          <w:color w:val="0D0D0D"/>
          <w:sz w:val="24"/>
          <w:szCs w:val="24"/>
          <w:lang w:eastAsia="en-IN"/>
        </w:rPr>
        <w:t>organ-on-chip systems</w:t>
      </w:r>
      <w:r w:rsidRPr="003D0AD0">
        <w:rPr>
          <w:rFonts w:ascii="Segoe UI" w:eastAsia="Times New Roman" w:hAnsi="Segoe UI" w:cs="Segoe UI"/>
          <w:color w:val="0D0D0D"/>
          <w:sz w:val="24"/>
          <w:szCs w:val="24"/>
          <w:lang w:eastAsia="en-IN"/>
        </w:rPr>
        <w:t xml:space="preserve"> for </w:t>
      </w:r>
      <w:proofErr w:type="spellStart"/>
      <w:r w:rsidRPr="003D0AD0">
        <w:rPr>
          <w:rFonts w:ascii="Segoe UI" w:eastAsia="Times New Roman" w:hAnsi="Segoe UI" w:cs="Segoe UI"/>
          <w:color w:val="0D0D0D"/>
          <w:sz w:val="24"/>
          <w:szCs w:val="24"/>
          <w:lang w:eastAsia="en-IN"/>
        </w:rPr>
        <w:t>modeling</w:t>
      </w:r>
      <w:proofErr w:type="spellEnd"/>
      <w:r w:rsidRPr="003D0AD0">
        <w:rPr>
          <w:rFonts w:ascii="Segoe UI" w:eastAsia="Times New Roman" w:hAnsi="Segoe UI" w:cs="Segoe UI"/>
          <w:color w:val="0D0D0D"/>
          <w:sz w:val="24"/>
          <w:szCs w:val="24"/>
          <w:lang w:eastAsia="en-IN"/>
        </w:rPr>
        <w:t xml:space="preserve"> oxidative stress in </w:t>
      </w:r>
      <w:r w:rsidRPr="003D0AD0">
        <w:rPr>
          <w:rFonts w:ascii="Segoe UI" w:eastAsia="Times New Roman" w:hAnsi="Segoe UI" w:cs="Segoe UI"/>
          <w:b/>
          <w:bCs/>
          <w:color w:val="0D0D0D"/>
          <w:sz w:val="24"/>
          <w:szCs w:val="24"/>
          <w:lang w:eastAsia="en-IN"/>
        </w:rPr>
        <w:t>3D tissue cultures</w:t>
      </w:r>
      <w:r w:rsidRPr="003D0AD0">
        <w:rPr>
          <w:rFonts w:ascii="Segoe UI" w:eastAsia="Times New Roman" w:hAnsi="Segoe UI" w:cs="Segoe UI"/>
          <w:color w:val="0D0D0D"/>
          <w:sz w:val="24"/>
          <w:szCs w:val="24"/>
          <w:lang w:eastAsia="en-IN"/>
        </w:rPr>
        <w:t>—pivotal in drug testing and regenerative medicine.</w:t>
      </w:r>
    </w:p>
    <w:p w14:paraId="236B8A81"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“The next frontier lies in AI-enhanced image analysis and machine learning tools that can quantify oxidative damage patterns from microscopy or flow cytometry data. These platforms are not just streamlining workflows—they are rewriting the standards for assay interpretation in redox biology,”</w:t>
      </w:r>
      <w:r w:rsidRPr="003D0AD0">
        <w:rPr>
          <w:rFonts w:ascii="Segoe UI" w:eastAsia="Times New Roman" w:hAnsi="Segoe UI" w:cs="Segoe UI"/>
          <w:color w:val="0D0D0D"/>
          <w:sz w:val="24"/>
          <w:szCs w:val="24"/>
          <w:lang w:eastAsia="en-IN"/>
        </w:rPr>
        <w:t> notes a senior researcher at a European life sciences institute.</w:t>
      </w:r>
    </w:p>
    <w:p w14:paraId="6FAD2E4F"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Collaborations and R&amp;D Expansion</w:t>
      </w:r>
    </w:p>
    <w:p w14:paraId="61D6766C" w14:textId="77777777" w:rsidR="003D0AD0" w:rsidRPr="003D0AD0" w:rsidRDefault="003D0AD0" w:rsidP="003D0AD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Major players are entering strategic </w:t>
      </w:r>
      <w:r w:rsidRPr="003D0AD0">
        <w:rPr>
          <w:rFonts w:ascii="Segoe UI" w:eastAsia="Times New Roman" w:hAnsi="Segoe UI" w:cs="Segoe UI"/>
          <w:b/>
          <w:bCs/>
          <w:color w:val="0D0D0D"/>
          <w:sz w:val="24"/>
          <w:szCs w:val="24"/>
          <w:lang w:eastAsia="en-IN"/>
        </w:rPr>
        <w:t>collaborations with academic labs</w:t>
      </w:r>
      <w:r w:rsidRPr="003D0AD0">
        <w:rPr>
          <w:rFonts w:ascii="Segoe UI" w:eastAsia="Times New Roman" w:hAnsi="Segoe UI" w:cs="Segoe UI"/>
          <w:color w:val="0D0D0D"/>
          <w:sz w:val="24"/>
          <w:szCs w:val="24"/>
          <w:lang w:eastAsia="en-IN"/>
        </w:rPr>
        <w:t> and </w:t>
      </w:r>
      <w:r w:rsidRPr="003D0AD0">
        <w:rPr>
          <w:rFonts w:ascii="Segoe UI" w:eastAsia="Times New Roman" w:hAnsi="Segoe UI" w:cs="Segoe UI"/>
          <w:b/>
          <w:bCs/>
          <w:color w:val="0D0D0D"/>
          <w:sz w:val="24"/>
          <w:szCs w:val="24"/>
          <w:lang w:eastAsia="en-IN"/>
        </w:rPr>
        <w:t>biopharma firms</w:t>
      </w:r>
      <w:r w:rsidRPr="003D0AD0">
        <w:rPr>
          <w:rFonts w:ascii="Segoe UI" w:eastAsia="Times New Roman" w:hAnsi="Segoe UI" w:cs="Segoe UI"/>
          <w:color w:val="0D0D0D"/>
          <w:sz w:val="24"/>
          <w:szCs w:val="24"/>
          <w:lang w:eastAsia="en-IN"/>
        </w:rPr>
        <w:t> to co-develop application-specific oxidative stress kits for oncology, neurology, and aging research.</w:t>
      </w:r>
    </w:p>
    <w:p w14:paraId="7B89F276" w14:textId="77777777" w:rsidR="003D0AD0" w:rsidRPr="003D0AD0" w:rsidRDefault="003D0AD0" w:rsidP="003D0AD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There is rising investment in </w:t>
      </w:r>
      <w:r w:rsidRPr="003D0AD0">
        <w:rPr>
          <w:rFonts w:ascii="Segoe UI" w:eastAsia="Times New Roman" w:hAnsi="Segoe UI" w:cs="Segoe UI"/>
          <w:b/>
          <w:bCs/>
          <w:color w:val="0D0D0D"/>
          <w:sz w:val="24"/>
          <w:szCs w:val="24"/>
          <w:lang w:eastAsia="en-IN"/>
        </w:rPr>
        <w:t>biomarker validation studies</w:t>
      </w:r>
      <w:r w:rsidRPr="003D0AD0">
        <w:rPr>
          <w:rFonts w:ascii="Segoe UI" w:eastAsia="Times New Roman" w:hAnsi="Segoe UI" w:cs="Segoe UI"/>
          <w:color w:val="0D0D0D"/>
          <w:sz w:val="24"/>
          <w:szCs w:val="24"/>
          <w:lang w:eastAsia="en-IN"/>
        </w:rPr>
        <w:t> supported by NIH, EU Horizon programs, and national toxicology initiatives.</w:t>
      </w:r>
    </w:p>
    <w:p w14:paraId="762781EA" w14:textId="77777777" w:rsidR="003D0AD0" w:rsidRPr="003D0AD0" w:rsidRDefault="003D0AD0" w:rsidP="003D0AD0">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Several CROs are expanding their service offerings with validated </w:t>
      </w:r>
      <w:r w:rsidRPr="003D0AD0">
        <w:rPr>
          <w:rFonts w:ascii="Segoe UI" w:eastAsia="Times New Roman" w:hAnsi="Segoe UI" w:cs="Segoe UI"/>
          <w:b/>
          <w:bCs/>
          <w:color w:val="0D0D0D"/>
          <w:sz w:val="24"/>
          <w:szCs w:val="24"/>
          <w:lang w:eastAsia="en-IN"/>
        </w:rPr>
        <w:t>oxidative stress assay panels</w:t>
      </w:r>
      <w:r w:rsidRPr="003D0AD0">
        <w:rPr>
          <w:rFonts w:ascii="Segoe UI" w:eastAsia="Times New Roman" w:hAnsi="Segoe UI" w:cs="Segoe UI"/>
          <w:color w:val="0D0D0D"/>
          <w:sz w:val="24"/>
          <w:szCs w:val="24"/>
          <w:lang w:eastAsia="en-IN"/>
        </w:rPr>
        <w:t> bundled into </w:t>
      </w:r>
      <w:r w:rsidRPr="003D0AD0">
        <w:rPr>
          <w:rFonts w:ascii="Segoe UI" w:eastAsia="Times New Roman" w:hAnsi="Segoe UI" w:cs="Segoe UI"/>
          <w:b/>
          <w:bCs/>
          <w:color w:val="0D0D0D"/>
          <w:sz w:val="24"/>
          <w:szCs w:val="24"/>
          <w:lang w:eastAsia="en-IN"/>
        </w:rPr>
        <w:t>GLP-compliant toxicology packages</w:t>
      </w:r>
      <w:r w:rsidRPr="003D0AD0">
        <w:rPr>
          <w:rFonts w:ascii="Segoe UI" w:eastAsia="Times New Roman" w:hAnsi="Segoe UI" w:cs="Segoe UI"/>
          <w:color w:val="0D0D0D"/>
          <w:sz w:val="24"/>
          <w:szCs w:val="24"/>
          <w:lang w:eastAsia="en-IN"/>
        </w:rPr>
        <w:t>.</w:t>
      </w:r>
    </w:p>
    <w:p w14:paraId="64AFE152"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Emerging Research and Clinical Applications</w:t>
      </w:r>
    </w:p>
    <w:p w14:paraId="4A63F59C" w14:textId="77777777" w:rsidR="003D0AD0" w:rsidRPr="003D0AD0" w:rsidRDefault="003D0AD0" w:rsidP="003D0AD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Neurodegenerative Disease Biomarkers</w:t>
      </w:r>
      <w:r w:rsidRPr="003D0AD0">
        <w:rPr>
          <w:rFonts w:ascii="Segoe UI" w:eastAsia="Times New Roman" w:hAnsi="Segoe UI" w:cs="Segoe UI"/>
          <w:color w:val="0D0D0D"/>
          <w:sz w:val="24"/>
          <w:szCs w:val="24"/>
          <w:lang w:eastAsia="en-IN"/>
        </w:rPr>
        <w:t>: Oxidative stress assays are central to tracking redox homeostasis in conditions like Alzheimer’s and Parkinson’s, enabling deeper understanding of disease onset and progression.</w:t>
      </w:r>
    </w:p>
    <w:p w14:paraId="77D22DF2" w14:textId="77777777" w:rsidR="003D0AD0" w:rsidRPr="003D0AD0" w:rsidRDefault="003D0AD0" w:rsidP="003D0AD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Cosmeceuticals and Anti-Aging</w:t>
      </w:r>
      <w:r w:rsidRPr="003D0AD0">
        <w:rPr>
          <w:rFonts w:ascii="Segoe UI" w:eastAsia="Times New Roman" w:hAnsi="Segoe UI" w:cs="Segoe UI"/>
          <w:color w:val="0D0D0D"/>
          <w:sz w:val="24"/>
          <w:szCs w:val="24"/>
          <w:lang w:eastAsia="en-IN"/>
        </w:rPr>
        <w:t>: The cosmetic industry is leveraging ROS and DNA oxidation assays to validate antioxidant formulations and skin protection claims.</w:t>
      </w:r>
    </w:p>
    <w:p w14:paraId="553999AB" w14:textId="77777777" w:rsidR="003D0AD0" w:rsidRPr="003D0AD0" w:rsidRDefault="003D0AD0" w:rsidP="003D0AD0">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Environmental Toxicology</w:t>
      </w:r>
      <w:r w:rsidRPr="003D0AD0">
        <w:rPr>
          <w:rFonts w:ascii="Segoe UI" w:eastAsia="Times New Roman" w:hAnsi="Segoe UI" w:cs="Segoe UI"/>
          <w:color w:val="0D0D0D"/>
          <w:sz w:val="24"/>
          <w:szCs w:val="24"/>
          <w:lang w:eastAsia="en-IN"/>
        </w:rPr>
        <w:t>: There’s growing use of oxidative stress kits in ecotoxicology studies involving air pollutants, pesticides, and heavy metals, particularly in regulatory agencies.</w:t>
      </w:r>
    </w:p>
    <w:p w14:paraId="1DC91F99"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Overall, innovation is steadily pushing oxidative stress assays from being niche academic tools to critical enablers of translational medicine and safety testing.</w:t>
      </w:r>
    </w:p>
    <w:p w14:paraId="2EE1251A"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4. Competitive Intelligence and Benchmarking</w:t>
      </w:r>
    </w:p>
    <w:p w14:paraId="0E59152A"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 oxidative stress assay market features a mix of established diagnostic companies, specialty reagent suppliers, and niche biotech innovators. While the market is moderately consolidated, competition is intensifying as firms broaden their assay portfolios, enhance technical features, and expand geographically to capture growing demand across both R&amp;D and clinical domains.</w:t>
      </w:r>
    </w:p>
    <w:p w14:paraId="0A8DA103"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Below is a strategic overview of 6 key players:</w:t>
      </w:r>
    </w:p>
    <w:p w14:paraId="76669EC4"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lastRenderedPageBreak/>
        <w:t>1. Abcam plc</w:t>
      </w:r>
    </w:p>
    <w:p w14:paraId="59E5CBA0"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Abcam</w:t>
      </w:r>
      <w:r w:rsidRPr="003D0AD0">
        <w:rPr>
          <w:rFonts w:ascii="Segoe UI" w:eastAsia="Times New Roman" w:hAnsi="Segoe UI" w:cs="Segoe UI"/>
          <w:color w:val="0D0D0D"/>
          <w:sz w:val="24"/>
          <w:szCs w:val="24"/>
          <w:lang w:eastAsia="en-IN"/>
        </w:rPr>
        <w:t> is a dominant force in oxidative stress assay reagents and antibody kits, particularly for academic and pharmaceutical research. The company offers a broad portfolio of ROS detection kits, mitochondrial stress assays, and DNA damage analysis tools. Its competitive edge lies in </w:t>
      </w:r>
      <w:r w:rsidRPr="003D0AD0">
        <w:rPr>
          <w:rFonts w:ascii="Segoe UI" w:eastAsia="Times New Roman" w:hAnsi="Segoe UI" w:cs="Segoe UI"/>
          <w:b/>
          <w:bCs/>
          <w:color w:val="0D0D0D"/>
          <w:sz w:val="24"/>
          <w:szCs w:val="24"/>
          <w:lang w:eastAsia="en-IN"/>
        </w:rPr>
        <w:t>high-quality monoclonal antibodies</w:t>
      </w:r>
      <w:r w:rsidRPr="003D0AD0">
        <w:rPr>
          <w:rFonts w:ascii="Segoe UI" w:eastAsia="Times New Roman" w:hAnsi="Segoe UI" w:cs="Segoe UI"/>
          <w:color w:val="0D0D0D"/>
          <w:sz w:val="24"/>
          <w:szCs w:val="24"/>
          <w:lang w:eastAsia="en-IN"/>
        </w:rPr>
        <w:t>, robust validation protocols, and strong </w:t>
      </w:r>
      <w:r w:rsidRPr="003D0AD0">
        <w:rPr>
          <w:rFonts w:ascii="Segoe UI" w:eastAsia="Times New Roman" w:hAnsi="Segoe UI" w:cs="Segoe UI"/>
          <w:b/>
          <w:bCs/>
          <w:color w:val="0D0D0D"/>
          <w:sz w:val="24"/>
          <w:szCs w:val="24"/>
          <w:lang w:eastAsia="en-IN"/>
        </w:rPr>
        <w:t>e-commerce-based global distribution</w:t>
      </w:r>
      <w:r w:rsidRPr="003D0AD0">
        <w:rPr>
          <w:rFonts w:ascii="Segoe UI" w:eastAsia="Times New Roman" w:hAnsi="Segoe UI" w:cs="Segoe UI"/>
          <w:color w:val="0D0D0D"/>
          <w:sz w:val="24"/>
          <w:szCs w:val="24"/>
          <w:lang w:eastAsia="en-IN"/>
        </w:rPr>
        <w:t>.</w:t>
      </w:r>
    </w:p>
    <w:p w14:paraId="5FC18DD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xml:space="preserve"> Rapid </w:t>
      </w:r>
      <w:proofErr w:type="spellStart"/>
      <w:r w:rsidRPr="003D0AD0">
        <w:rPr>
          <w:rFonts w:ascii="Segoe UI" w:eastAsia="Times New Roman" w:hAnsi="Segoe UI" w:cs="Segoe UI"/>
          <w:color w:val="0D0D0D"/>
          <w:sz w:val="24"/>
          <w:szCs w:val="24"/>
          <w:lang w:eastAsia="en-IN"/>
        </w:rPr>
        <w:t>catalog</w:t>
      </w:r>
      <w:proofErr w:type="spellEnd"/>
      <w:r w:rsidRPr="003D0AD0">
        <w:rPr>
          <w:rFonts w:ascii="Segoe UI" w:eastAsia="Times New Roman" w:hAnsi="Segoe UI" w:cs="Segoe UI"/>
          <w:color w:val="0D0D0D"/>
          <w:sz w:val="24"/>
          <w:szCs w:val="24"/>
          <w:lang w:eastAsia="en-IN"/>
        </w:rPr>
        <w:t xml:space="preserve"> expansion, technical support for customized research workflows, and collaboration with research consortia.</w:t>
      </w:r>
    </w:p>
    <w:p w14:paraId="1F6C6833"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2. Thermo Fisher Scientific</w:t>
      </w:r>
    </w:p>
    <w:p w14:paraId="1CE62B3F"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Thermo Fisher</w:t>
      </w:r>
      <w:r w:rsidRPr="003D0AD0">
        <w:rPr>
          <w:rFonts w:ascii="Segoe UI" w:eastAsia="Times New Roman" w:hAnsi="Segoe UI" w:cs="Segoe UI"/>
          <w:color w:val="0D0D0D"/>
          <w:sz w:val="24"/>
          <w:szCs w:val="24"/>
          <w:lang w:eastAsia="en-IN"/>
        </w:rPr>
        <w:t> offers a comprehensive range of </w:t>
      </w:r>
      <w:r w:rsidRPr="003D0AD0">
        <w:rPr>
          <w:rFonts w:ascii="Segoe UI" w:eastAsia="Times New Roman" w:hAnsi="Segoe UI" w:cs="Segoe UI"/>
          <w:b/>
          <w:bCs/>
          <w:color w:val="0D0D0D"/>
          <w:sz w:val="24"/>
          <w:szCs w:val="24"/>
          <w:lang w:eastAsia="en-IN"/>
        </w:rPr>
        <w:t>fluorometric and colorimetric ROS detection kits</w:t>
      </w:r>
      <w:r w:rsidRPr="003D0AD0">
        <w:rPr>
          <w:rFonts w:ascii="Segoe UI" w:eastAsia="Times New Roman" w:hAnsi="Segoe UI" w:cs="Segoe UI"/>
          <w:color w:val="0D0D0D"/>
          <w:sz w:val="24"/>
          <w:szCs w:val="24"/>
          <w:lang w:eastAsia="en-IN"/>
        </w:rPr>
        <w:t>, many of which are integrated into their larger cell analysis and toxicology platforms. The company leverages its </w:t>
      </w:r>
      <w:r w:rsidRPr="003D0AD0">
        <w:rPr>
          <w:rFonts w:ascii="Segoe UI" w:eastAsia="Times New Roman" w:hAnsi="Segoe UI" w:cs="Segoe UI"/>
          <w:b/>
          <w:bCs/>
          <w:color w:val="0D0D0D"/>
          <w:sz w:val="24"/>
          <w:szCs w:val="24"/>
          <w:lang w:eastAsia="en-IN"/>
        </w:rPr>
        <w:t>instrument base</w:t>
      </w:r>
      <w:r w:rsidRPr="003D0AD0">
        <w:rPr>
          <w:rFonts w:ascii="Segoe UI" w:eastAsia="Times New Roman" w:hAnsi="Segoe UI" w:cs="Segoe UI"/>
          <w:color w:val="0D0D0D"/>
          <w:sz w:val="24"/>
          <w:szCs w:val="24"/>
          <w:lang w:eastAsia="en-IN"/>
        </w:rPr>
        <w:t xml:space="preserve"> (fluorescence readers and cell </w:t>
      </w:r>
      <w:proofErr w:type="spellStart"/>
      <w:r w:rsidRPr="003D0AD0">
        <w:rPr>
          <w:rFonts w:ascii="Segoe UI" w:eastAsia="Times New Roman" w:hAnsi="Segoe UI" w:cs="Segoe UI"/>
          <w:color w:val="0D0D0D"/>
          <w:sz w:val="24"/>
          <w:szCs w:val="24"/>
          <w:lang w:eastAsia="en-IN"/>
        </w:rPr>
        <w:t>analyzers</w:t>
      </w:r>
      <w:proofErr w:type="spellEnd"/>
      <w:r w:rsidRPr="003D0AD0">
        <w:rPr>
          <w:rFonts w:ascii="Segoe UI" w:eastAsia="Times New Roman" w:hAnsi="Segoe UI" w:cs="Segoe UI"/>
          <w:color w:val="0D0D0D"/>
          <w:sz w:val="24"/>
          <w:szCs w:val="24"/>
          <w:lang w:eastAsia="en-IN"/>
        </w:rPr>
        <w:t>) to cross-sell consumables.</w:t>
      </w:r>
    </w:p>
    <w:p w14:paraId="4515C4A3"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Platform bundling, product integration across research and clinical labs, and global market penetration through acquisitions and partnerships.</w:t>
      </w:r>
    </w:p>
    <w:p w14:paraId="6F257642"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 xml:space="preserve">3. Merck </w:t>
      </w:r>
      <w:proofErr w:type="spellStart"/>
      <w:r w:rsidRPr="003D0AD0">
        <w:rPr>
          <w:rFonts w:ascii="Segoe UI" w:eastAsia="Times New Roman" w:hAnsi="Segoe UI" w:cs="Segoe UI"/>
          <w:b/>
          <w:bCs/>
          <w:color w:val="0D0D0D"/>
          <w:sz w:val="30"/>
          <w:szCs w:val="30"/>
          <w:lang w:eastAsia="en-IN"/>
        </w:rPr>
        <w:t>KGaA</w:t>
      </w:r>
      <w:proofErr w:type="spellEnd"/>
      <w:r w:rsidRPr="003D0AD0">
        <w:rPr>
          <w:rFonts w:ascii="Segoe UI" w:eastAsia="Times New Roman" w:hAnsi="Segoe UI" w:cs="Segoe UI"/>
          <w:b/>
          <w:bCs/>
          <w:color w:val="0D0D0D"/>
          <w:sz w:val="30"/>
          <w:szCs w:val="30"/>
          <w:lang w:eastAsia="en-IN"/>
        </w:rPr>
        <w:t xml:space="preserve"> (</w:t>
      </w:r>
      <w:proofErr w:type="spellStart"/>
      <w:r w:rsidRPr="003D0AD0">
        <w:rPr>
          <w:rFonts w:ascii="Segoe UI" w:eastAsia="Times New Roman" w:hAnsi="Segoe UI" w:cs="Segoe UI"/>
          <w:b/>
          <w:bCs/>
          <w:color w:val="0D0D0D"/>
          <w:sz w:val="30"/>
          <w:szCs w:val="30"/>
          <w:lang w:eastAsia="en-IN"/>
        </w:rPr>
        <w:t>MilliporeSigma</w:t>
      </w:r>
      <w:proofErr w:type="spellEnd"/>
      <w:r w:rsidRPr="003D0AD0">
        <w:rPr>
          <w:rFonts w:ascii="Segoe UI" w:eastAsia="Times New Roman" w:hAnsi="Segoe UI" w:cs="Segoe UI"/>
          <w:b/>
          <w:bCs/>
          <w:color w:val="0D0D0D"/>
          <w:sz w:val="30"/>
          <w:szCs w:val="30"/>
          <w:lang w:eastAsia="en-IN"/>
        </w:rPr>
        <w:t>)</w:t>
      </w:r>
    </w:p>
    <w:p w14:paraId="0B36A20A"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3D0AD0">
        <w:rPr>
          <w:rFonts w:ascii="Segoe UI" w:eastAsia="Times New Roman" w:hAnsi="Segoe UI" w:cs="Segoe UI"/>
          <w:b/>
          <w:bCs/>
          <w:color w:val="0D0D0D"/>
          <w:sz w:val="24"/>
          <w:szCs w:val="24"/>
          <w:lang w:eastAsia="en-IN"/>
        </w:rPr>
        <w:t>MilliporeSigma</w:t>
      </w:r>
      <w:proofErr w:type="spellEnd"/>
      <w:r w:rsidRPr="003D0AD0">
        <w:rPr>
          <w:rFonts w:ascii="Segoe UI" w:eastAsia="Times New Roman" w:hAnsi="Segoe UI" w:cs="Segoe UI"/>
          <w:color w:val="0D0D0D"/>
          <w:sz w:val="24"/>
          <w:szCs w:val="24"/>
          <w:lang w:eastAsia="en-IN"/>
        </w:rPr>
        <w:t> delivers high-end </w:t>
      </w:r>
      <w:r w:rsidRPr="003D0AD0">
        <w:rPr>
          <w:rFonts w:ascii="Segoe UI" w:eastAsia="Times New Roman" w:hAnsi="Segoe UI" w:cs="Segoe UI"/>
          <w:b/>
          <w:bCs/>
          <w:color w:val="0D0D0D"/>
          <w:sz w:val="24"/>
          <w:szCs w:val="24"/>
          <w:lang w:eastAsia="en-IN"/>
        </w:rPr>
        <w:t>oxidative stress detection kits</w:t>
      </w:r>
      <w:r w:rsidRPr="003D0AD0">
        <w:rPr>
          <w:rFonts w:ascii="Segoe UI" w:eastAsia="Times New Roman" w:hAnsi="Segoe UI" w:cs="Segoe UI"/>
          <w:color w:val="0D0D0D"/>
          <w:sz w:val="24"/>
          <w:szCs w:val="24"/>
          <w:lang w:eastAsia="en-IN"/>
        </w:rPr>
        <w:t xml:space="preserve"> tailored for both routine lab </w:t>
      </w:r>
      <w:proofErr w:type="gramStart"/>
      <w:r w:rsidRPr="003D0AD0">
        <w:rPr>
          <w:rFonts w:ascii="Segoe UI" w:eastAsia="Times New Roman" w:hAnsi="Segoe UI" w:cs="Segoe UI"/>
          <w:color w:val="0D0D0D"/>
          <w:sz w:val="24"/>
          <w:szCs w:val="24"/>
          <w:lang w:eastAsia="en-IN"/>
        </w:rPr>
        <w:t>use</w:t>
      </w:r>
      <w:proofErr w:type="gramEnd"/>
      <w:r w:rsidRPr="003D0AD0">
        <w:rPr>
          <w:rFonts w:ascii="Segoe UI" w:eastAsia="Times New Roman" w:hAnsi="Segoe UI" w:cs="Segoe UI"/>
          <w:color w:val="0D0D0D"/>
          <w:sz w:val="24"/>
          <w:szCs w:val="24"/>
          <w:lang w:eastAsia="en-IN"/>
        </w:rPr>
        <w:t xml:space="preserve"> and advanced applications such as redox proteomics. The company maintains strong relationships with biotech </w:t>
      </w:r>
      <w:proofErr w:type="spellStart"/>
      <w:r w:rsidRPr="003D0AD0">
        <w:rPr>
          <w:rFonts w:ascii="Segoe UI" w:eastAsia="Times New Roman" w:hAnsi="Segoe UI" w:cs="Segoe UI"/>
          <w:color w:val="0D0D0D"/>
          <w:sz w:val="24"/>
          <w:szCs w:val="24"/>
          <w:lang w:eastAsia="en-IN"/>
        </w:rPr>
        <w:t>startups</w:t>
      </w:r>
      <w:proofErr w:type="spellEnd"/>
      <w:r w:rsidRPr="003D0AD0">
        <w:rPr>
          <w:rFonts w:ascii="Segoe UI" w:eastAsia="Times New Roman" w:hAnsi="Segoe UI" w:cs="Segoe UI"/>
          <w:color w:val="0D0D0D"/>
          <w:sz w:val="24"/>
          <w:szCs w:val="24"/>
          <w:lang w:eastAsia="en-IN"/>
        </w:rPr>
        <w:t xml:space="preserve"> and CROs.</w:t>
      </w:r>
    </w:p>
    <w:p w14:paraId="49F30803"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Innovation in redox biochemistry tools, high-throughput assay solutions, and expansion into predictive toxicology markets.</w:t>
      </w:r>
    </w:p>
    <w:p w14:paraId="0B8745A4"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4. Cayman Chemical</w:t>
      </w:r>
    </w:p>
    <w:p w14:paraId="5F87634B"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Cayman Chemical</w:t>
      </w:r>
      <w:r w:rsidRPr="003D0AD0">
        <w:rPr>
          <w:rFonts w:ascii="Segoe UI" w:eastAsia="Times New Roman" w:hAnsi="Segoe UI" w:cs="Segoe UI"/>
          <w:color w:val="0D0D0D"/>
          <w:sz w:val="24"/>
          <w:szCs w:val="24"/>
          <w:lang w:eastAsia="en-IN"/>
        </w:rPr>
        <w:t> specializes in assay kits targeting lipid peroxidation, glutathione levels, and mitochondrial dysfunction. The firm is known for </w:t>
      </w:r>
      <w:r w:rsidRPr="003D0AD0">
        <w:rPr>
          <w:rFonts w:ascii="Segoe UI" w:eastAsia="Times New Roman" w:hAnsi="Segoe UI" w:cs="Segoe UI"/>
          <w:b/>
          <w:bCs/>
          <w:color w:val="0D0D0D"/>
          <w:sz w:val="24"/>
          <w:szCs w:val="24"/>
          <w:lang w:eastAsia="en-IN"/>
        </w:rPr>
        <w:t>custom assay development</w:t>
      </w:r>
      <w:r w:rsidRPr="003D0AD0">
        <w:rPr>
          <w:rFonts w:ascii="Segoe UI" w:eastAsia="Times New Roman" w:hAnsi="Segoe UI" w:cs="Segoe UI"/>
          <w:color w:val="0D0D0D"/>
          <w:sz w:val="24"/>
          <w:szCs w:val="24"/>
          <w:lang w:eastAsia="en-IN"/>
        </w:rPr>
        <w:t> and </w:t>
      </w:r>
      <w:r w:rsidRPr="003D0AD0">
        <w:rPr>
          <w:rFonts w:ascii="Segoe UI" w:eastAsia="Times New Roman" w:hAnsi="Segoe UI" w:cs="Segoe UI"/>
          <w:b/>
          <w:bCs/>
          <w:color w:val="0D0D0D"/>
          <w:sz w:val="24"/>
          <w:szCs w:val="24"/>
          <w:lang w:eastAsia="en-IN"/>
        </w:rPr>
        <w:t>rigorous technical data</w:t>
      </w:r>
      <w:r w:rsidRPr="003D0AD0">
        <w:rPr>
          <w:rFonts w:ascii="Segoe UI" w:eastAsia="Times New Roman" w:hAnsi="Segoe UI" w:cs="Segoe UI"/>
          <w:color w:val="0D0D0D"/>
          <w:sz w:val="24"/>
          <w:szCs w:val="24"/>
          <w:lang w:eastAsia="en-IN"/>
        </w:rPr>
        <w:t>—highly valued by toxicologists and pharma R&amp;D groups.</w:t>
      </w:r>
    </w:p>
    <w:p w14:paraId="67F90F5B"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Focus on technical depth, scientific publishing, and custom assay services for preclinical and regulatory studies.</w:t>
      </w:r>
    </w:p>
    <w:p w14:paraId="58CF1177"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 xml:space="preserve">5. </w:t>
      </w:r>
      <w:proofErr w:type="spellStart"/>
      <w:r w:rsidRPr="003D0AD0">
        <w:rPr>
          <w:rFonts w:ascii="Segoe UI" w:eastAsia="Times New Roman" w:hAnsi="Segoe UI" w:cs="Segoe UI"/>
          <w:b/>
          <w:bCs/>
          <w:color w:val="0D0D0D"/>
          <w:sz w:val="30"/>
          <w:szCs w:val="30"/>
          <w:lang w:eastAsia="en-IN"/>
        </w:rPr>
        <w:t>BioVision</w:t>
      </w:r>
      <w:proofErr w:type="spellEnd"/>
      <w:r w:rsidRPr="003D0AD0">
        <w:rPr>
          <w:rFonts w:ascii="Segoe UI" w:eastAsia="Times New Roman" w:hAnsi="Segoe UI" w:cs="Segoe UI"/>
          <w:b/>
          <w:bCs/>
          <w:color w:val="0D0D0D"/>
          <w:sz w:val="30"/>
          <w:szCs w:val="30"/>
          <w:lang w:eastAsia="en-IN"/>
        </w:rPr>
        <w:t xml:space="preserve"> Inc. (a subsidiary of Abcam)</w:t>
      </w:r>
    </w:p>
    <w:p w14:paraId="1ADDE24B"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3D0AD0">
        <w:rPr>
          <w:rFonts w:ascii="Segoe UI" w:eastAsia="Times New Roman" w:hAnsi="Segoe UI" w:cs="Segoe UI"/>
          <w:b/>
          <w:bCs/>
          <w:color w:val="0D0D0D"/>
          <w:sz w:val="24"/>
          <w:szCs w:val="24"/>
          <w:lang w:eastAsia="en-IN"/>
        </w:rPr>
        <w:lastRenderedPageBreak/>
        <w:t>BioVision</w:t>
      </w:r>
      <w:proofErr w:type="spellEnd"/>
      <w:r w:rsidRPr="003D0AD0">
        <w:rPr>
          <w:rFonts w:ascii="Segoe UI" w:eastAsia="Times New Roman" w:hAnsi="Segoe UI" w:cs="Segoe UI"/>
          <w:color w:val="0D0D0D"/>
          <w:sz w:val="24"/>
          <w:szCs w:val="24"/>
          <w:lang w:eastAsia="en-IN"/>
        </w:rPr>
        <w:t> offers a diverse range of oxidative stress assays, with special emphasis on mitochondrial stress indicators, caspase activity, and NAD/NADH ratio kits. It serves as Abcam’s innovation arm for rapid product prototyping.</w:t>
      </w:r>
    </w:p>
    <w:p w14:paraId="4D3F057A"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Rapid development cycles, technical education tools, and integration with cellular metabolism research.</w:t>
      </w:r>
    </w:p>
    <w:p w14:paraId="05C1F5F0"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6. Cell Biolabs, Inc.</w:t>
      </w:r>
    </w:p>
    <w:p w14:paraId="7D0498C7"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 fast-growing player, </w:t>
      </w:r>
      <w:r w:rsidRPr="003D0AD0">
        <w:rPr>
          <w:rFonts w:ascii="Segoe UI" w:eastAsia="Times New Roman" w:hAnsi="Segoe UI" w:cs="Segoe UI"/>
          <w:b/>
          <w:bCs/>
          <w:color w:val="0D0D0D"/>
          <w:sz w:val="24"/>
          <w:szCs w:val="24"/>
          <w:lang w:eastAsia="en-IN"/>
        </w:rPr>
        <w:t>Cell Biolabs</w:t>
      </w:r>
      <w:r w:rsidRPr="003D0AD0">
        <w:rPr>
          <w:rFonts w:ascii="Segoe UI" w:eastAsia="Times New Roman" w:hAnsi="Segoe UI" w:cs="Segoe UI"/>
          <w:color w:val="0D0D0D"/>
          <w:sz w:val="24"/>
          <w:szCs w:val="24"/>
          <w:lang w:eastAsia="en-IN"/>
        </w:rPr>
        <w:t> is recognized for its </w:t>
      </w:r>
      <w:r w:rsidRPr="003D0AD0">
        <w:rPr>
          <w:rFonts w:ascii="Segoe UI" w:eastAsia="Times New Roman" w:hAnsi="Segoe UI" w:cs="Segoe UI"/>
          <w:b/>
          <w:bCs/>
          <w:color w:val="0D0D0D"/>
          <w:sz w:val="24"/>
          <w:szCs w:val="24"/>
          <w:lang w:eastAsia="en-IN"/>
        </w:rPr>
        <w:t>cell-based oxidative stress detection systems</w:t>
      </w:r>
      <w:r w:rsidRPr="003D0AD0">
        <w:rPr>
          <w:rFonts w:ascii="Segoe UI" w:eastAsia="Times New Roman" w:hAnsi="Segoe UI" w:cs="Segoe UI"/>
          <w:color w:val="0D0D0D"/>
          <w:sz w:val="24"/>
          <w:szCs w:val="24"/>
          <w:lang w:eastAsia="en-IN"/>
        </w:rPr>
        <w:t>, including live-cell imaging solutions. The company has built a reputation for innovation in translational research and </w:t>
      </w:r>
      <w:r w:rsidRPr="003D0AD0">
        <w:rPr>
          <w:rFonts w:ascii="Segoe UI" w:eastAsia="Times New Roman" w:hAnsi="Segoe UI" w:cs="Segoe UI"/>
          <w:b/>
          <w:bCs/>
          <w:color w:val="0D0D0D"/>
          <w:sz w:val="24"/>
          <w:szCs w:val="24"/>
          <w:lang w:eastAsia="en-IN"/>
        </w:rPr>
        <w:t>stem cell toxicity assays</w:t>
      </w:r>
      <w:r w:rsidRPr="003D0AD0">
        <w:rPr>
          <w:rFonts w:ascii="Segoe UI" w:eastAsia="Times New Roman" w:hAnsi="Segoe UI" w:cs="Segoe UI"/>
          <w:color w:val="0D0D0D"/>
          <w:sz w:val="24"/>
          <w:szCs w:val="24"/>
          <w:lang w:eastAsia="en-IN"/>
        </w:rPr>
        <w:t>.</w:t>
      </w:r>
    </w:p>
    <w:p w14:paraId="34660B05"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Strategy:</w:t>
      </w:r>
      <w:r w:rsidRPr="003D0AD0">
        <w:rPr>
          <w:rFonts w:ascii="Segoe UI" w:eastAsia="Times New Roman" w:hAnsi="Segoe UI" w:cs="Segoe UI"/>
          <w:color w:val="0D0D0D"/>
          <w:sz w:val="24"/>
          <w:szCs w:val="24"/>
          <w:lang w:eastAsia="en-IN"/>
        </w:rPr>
        <w:t> Product niche specialization, co-development partnerships with academic labs, and agility in launching custom kits for emerging disease areas.</w:t>
      </w:r>
    </w:p>
    <w:p w14:paraId="49C19B0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While large corporations dominate through brand strength and distribution networks, smaller players are innovating aggressively in niche applications—particularly in mitochondrial biology, oncology research, and personalized toxicology.</w:t>
      </w:r>
    </w:p>
    <w:p w14:paraId="4C92D7AF"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5. Regional Landscape and Adoption Outlook</w:t>
      </w:r>
    </w:p>
    <w:p w14:paraId="386922BA"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 global oxidative stress assay market reveals </w:t>
      </w:r>
      <w:r w:rsidRPr="003D0AD0">
        <w:rPr>
          <w:rFonts w:ascii="Segoe UI" w:eastAsia="Times New Roman" w:hAnsi="Segoe UI" w:cs="Segoe UI"/>
          <w:b/>
          <w:bCs/>
          <w:color w:val="0D0D0D"/>
          <w:sz w:val="24"/>
          <w:szCs w:val="24"/>
          <w:lang w:eastAsia="en-IN"/>
        </w:rPr>
        <w:t>distinct adoption trends, funding landscapes, and research intensities</w:t>
      </w:r>
      <w:r w:rsidRPr="003D0AD0">
        <w:rPr>
          <w:rFonts w:ascii="Segoe UI" w:eastAsia="Times New Roman" w:hAnsi="Segoe UI" w:cs="Segoe UI"/>
          <w:color w:val="0D0D0D"/>
          <w:sz w:val="24"/>
          <w:szCs w:val="24"/>
          <w:lang w:eastAsia="en-IN"/>
        </w:rPr>
        <w:t> across its four major regions. While North America dominates due to technological and infrastructural advantages, other regions—particularly Asia Pacific—are fast emerging as vital growth hubs.</w:t>
      </w:r>
    </w:p>
    <w:p w14:paraId="3465FE5B"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North America</w:t>
      </w:r>
    </w:p>
    <w:p w14:paraId="47DBB92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North America</w:t>
      </w:r>
      <w:r w:rsidRPr="003D0AD0">
        <w:rPr>
          <w:rFonts w:ascii="Segoe UI" w:eastAsia="Times New Roman" w:hAnsi="Segoe UI" w:cs="Segoe UI"/>
          <w:color w:val="0D0D0D"/>
          <w:sz w:val="24"/>
          <w:szCs w:val="24"/>
          <w:lang w:eastAsia="en-IN"/>
        </w:rPr>
        <w:t>, led by the </w:t>
      </w:r>
      <w:r w:rsidRPr="003D0AD0">
        <w:rPr>
          <w:rFonts w:ascii="Segoe UI" w:eastAsia="Times New Roman" w:hAnsi="Segoe UI" w:cs="Segoe UI"/>
          <w:b/>
          <w:bCs/>
          <w:color w:val="0D0D0D"/>
          <w:sz w:val="24"/>
          <w:szCs w:val="24"/>
          <w:lang w:eastAsia="en-IN"/>
        </w:rPr>
        <w:t>United States</w:t>
      </w:r>
      <w:r w:rsidRPr="003D0AD0">
        <w:rPr>
          <w:rFonts w:ascii="Segoe UI" w:eastAsia="Times New Roman" w:hAnsi="Segoe UI" w:cs="Segoe UI"/>
          <w:color w:val="0D0D0D"/>
          <w:sz w:val="24"/>
          <w:szCs w:val="24"/>
          <w:lang w:eastAsia="en-IN"/>
        </w:rPr>
        <w:t>, accounted for the largest market share in 2024. This dominance is anchored by:</w:t>
      </w:r>
    </w:p>
    <w:p w14:paraId="535B140A" w14:textId="77777777" w:rsidR="003D0AD0" w:rsidRPr="003D0AD0" w:rsidRDefault="003D0AD0" w:rsidP="003D0AD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 strong </w:t>
      </w:r>
      <w:r w:rsidRPr="003D0AD0">
        <w:rPr>
          <w:rFonts w:ascii="Segoe UI" w:eastAsia="Times New Roman" w:hAnsi="Segoe UI" w:cs="Segoe UI"/>
          <w:b/>
          <w:bCs/>
          <w:color w:val="0D0D0D"/>
          <w:sz w:val="24"/>
          <w:szCs w:val="24"/>
          <w:lang w:eastAsia="en-IN"/>
        </w:rPr>
        <w:t>biopharmaceutical R&amp;D ecosystem</w:t>
      </w:r>
    </w:p>
    <w:p w14:paraId="681C9BAC" w14:textId="77777777" w:rsidR="003D0AD0" w:rsidRPr="003D0AD0" w:rsidRDefault="003D0AD0" w:rsidP="003D0AD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Major funding bodies like the </w:t>
      </w:r>
      <w:r w:rsidRPr="003D0AD0">
        <w:rPr>
          <w:rFonts w:ascii="Segoe UI" w:eastAsia="Times New Roman" w:hAnsi="Segoe UI" w:cs="Segoe UI"/>
          <w:b/>
          <w:bCs/>
          <w:color w:val="0D0D0D"/>
          <w:sz w:val="24"/>
          <w:szCs w:val="24"/>
          <w:lang w:eastAsia="en-IN"/>
        </w:rPr>
        <w:t>NIH and CDC</w:t>
      </w:r>
      <w:r w:rsidRPr="003D0AD0">
        <w:rPr>
          <w:rFonts w:ascii="Segoe UI" w:eastAsia="Times New Roman" w:hAnsi="Segoe UI" w:cs="Segoe UI"/>
          <w:color w:val="0D0D0D"/>
          <w:sz w:val="24"/>
          <w:szCs w:val="24"/>
          <w:lang w:eastAsia="en-IN"/>
        </w:rPr>
        <w:t> promoting redox biology studies</w:t>
      </w:r>
    </w:p>
    <w:p w14:paraId="2C8CFFBC" w14:textId="77777777" w:rsidR="003D0AD0" w:rsidRPr="003D0AD0" w:rsidRDefault="003D0AD0" w:rsidP="003D0AD0">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Early adoption of oxidative stress assays in </w:t>
      </w:r>
      <w:r w:rsidRPr="003D0AD0">
        <w:rPr>
          <w:rFonts w:ascii="Segoe UI" w:eastAsia="Times New Roman" w:hAnsi="Segoe UI" w:cs="Segoe UI"/>
          <w:b/>
          <w:bCs/>
          <w:color w:val="0D0D0D"/>
          <w:sz w:val="24"/>
          <w:szCs w:val="24"/>
          <w:lang w:eastAsia="en-IN"/>
        </w:rPr>
        <w:t>toxicology, neurodegenerative disease research, and precision medicine</w:t>
      </w:r>
    </w:p>
    <w:p w14:paraId="383B9881"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Academic institutions and private biotech companies continue to </w:t>
      </w:r>
      <w:r w:rsidRPr="003D0AD0">
        <w:rPr>
          <w:rFonts w:ascii="Segoe UI" w:eastAsia="Times New Roman" w:hAnsi="Segoe UI" w:cs="Segoe UI"/>
          <w:b/>
          <w:bCs/>
          <w:color w:val="0D0D0D"/>
          <w:sz w:val="24"/>
          <w:szCs w:val="24"/>
          <w:lang w:eastAsia="en-IN"/>
        </w:rPr>
        <w:t>drive demand for customized ROS detection kits and high-throughput platforms</w:t>
      </w:r>
      <w:r w:rsidRPr="003D0AD0">
        <w:rPr>
          <w:rFonts w:ascii="Segoe UI" w:eastAsia="Times New Roman" w:hAnsi="Segoe UI" w:cs="Segoe UI"/>
          <w:color w:val="0D0D0D"/>
          <w:sz w:val="24"/>
          <w:szCs w:val="24"/>
          <w:lang w:eastAsia="en-IN"/>
        </w:rPr>
        <w:t>. Additionally, the U.S. FDA’s increasing scrutiny on oxidative biomarkers in preclinical submissions has incentivized broader assay deployment.</w:t>
      </w:r>
    </w:p>
    <w:p w14:paraId="6156521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lastRenderedPageBreak/>
        <w:t>“North America’s edge lies in its integration of oxidative stress testing within GLP-certified and regulatory pathways, making these assays standard rather than optional in certain drug development workflows,”</w:t>
      </w:r>
      <w:r w:rsidRPr="003D0AD0">
        <w:rPr>
          <w:rFonts w:ascii="Segoe UI" w:eastAsia="Times New Roman" w:hAnsi="Segoe UI" w:cs="Segoe UI"/>
          <w:color w:val="0D0D0D"/>
          <w:sz w:val="24"/>
          <w:szCs w:val="24"/>
          <w:lang w:eastAsia="en-IN"/>
        </w:rPr>
        <w:t> states a regulatory affairs expert from a Boston-based CRO.</w:t>
      </w:r>
    </w:p>
    <w:p w14:paraId="47985CA0"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Europe</w:t>
      </w:r>
    </w:p>
    <w:p w14:paraId="3B265445"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Europe follows as the second-largest market, with strong demand from </w:t>
      </w:r>
      <w:r w:rsidRPr="003D0AD0">
        <w:rPr>
          <w:rFonts w:ascii="Segoe UI" w:eastAsia="Times New Roman" w:hAnsi="Segoe UI" w:cs="Segoe UI"/>
          <w:b/>
          <w:bCs/>
          <w:color w:val="0D0D0D"/>
          <w:sz w:val="24"/>
          <w:szCs w:val="24"/>
          <w:lang w:eastAsia="en-IN"/>
        </w:rPr>
        <w:t>Germany, the United Kingdom, France, and Switzerland</w:t>
      </w:r>
      <w:r w:rsidRPr="003D0AD0">
        <w:rPr>
          <w:rFonts w:ascii="Segoe UI" w:eastAsia="Times New Roman" w:hAnsi="Segoe UI" w:cs="Segoe UI"/>
          <w:color w:val="0D0D0D"/>
          <w:sz w:val="24"/>
          <w:szCs w:val="24"/>
          <w:lang w:eastAsia="en-IN"/>
        </w:rPr>
        <w:t>. EU-funded consortia such as </w:t>
      </w:r>
      <w:r w:rsidRPr="003D0AD0">
        <w:rPr>
          <w:rFonts w:ascii="Segoe UI" w:eastAsia="Times New Roman" w:hAnsi="Segoe UI" w:cs="Segoe UI"/>
          <w:b/>
          <w:bCs/>
          <w:color w:val="0D0D0D"/>
          <w:sz w:val="24"/>
          <w:szCs w:val="24"/>
          <w:lang w:eastAsia="en-IN"/>
        </w:rPr>
        <w:t>Horizon Europe</w:t>
      </w:r>
      <w:r w:rsidRPr="003D0AD0">
        <w:rPr>
          <w:rFonts w:ascii="Segoe UI" w:eastAsia="Times New Roman" w:hAnsi="Segoe UI" w:cs="Segoe UI"/>
          <w:color w:val="0D0D0D"/>
          <w:sz w:val="24"/>
          <w:szCs w:val="24"/>
          <w:lang w:eastAsia="en-IN"/>
        </w:rPr>
        <w:t> have supported collaborative research on oxidative stress markers in </w:t>
      </w:r>
      <w:r w:rsidRPr="003D0AD0">
        <w:rPr>
          <w:rFonts w:ascii="Segoe UI" w:eastAsia="Times New Roman" w:hAnsi="Segoe UI" w:cs="Segoe UI"/>
          <w:b/>
          <w:bCs/>
          <w:color w:val="0D0D0D"/>
          <w:sz w:val="24"/>
          <w:szCs w:val="24"/>
          <w:lang w:eastAsia="en-IN"/>
        </w:rPr>
        <w:t>cancer, brain aging, and cardiovascular degeneration</w:t>
      </w:r>
      <w:r w:rsidRPr="003D0AD0">
        <w:rPr>
          <w:rFonts w:ascii="Segoe UI" w:eastAsia="Times New Roman" w:hAnsi="Segoe UI" w:cs="Segoe UI"/>
          <w:color w:val="0D0D0D"/>
          <w:sz w:val="24"/>
          <w:szCs w:val="24"/>
          <w:lang w:eastAsia="en-IN"/>
        </w:rPr>
        <w:t>.</w:t>
      </w:r>
    </w:p>
    <w:p w14:paraId="487BB55B"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Regulatory agencies like the </w:t>
      </w:r>
      <w:r w:rsidRPr="003D0AD0">
        <w:rPr>
          <w:rFonts w:ascii="Segoe UI" w:eastAsia="Times New Roman" w:hAnsi="Segoe UI" w:cs="Segoe UI"/>
          <w:b/>
          <w:bCs/>
          <w:color w:val="0D0D0D"/>
          <w:sz w:val="24"/>
          <w:szCs w:val="24"/>
          <w:lang w:eastAsia="en-IN"/>
        </w:rPr>
        <w:t>European Medicines Agency (EMA)</w:t>
      </w:r>
      <w:r w:rsidRPr="003D0AD0">
        <w:rPr>
          <w:rFonts w:ascii="Segoe UI" w:eastAsia="Times New Roman" w:hAnsi="Segoe UI" w:cs="Segoe UI"/>
          <w:color w:val="0D0D0D"/>
          <w:sz w:val="24"/>
          <w:szCs w:val="24"/>
          <w:lang w:eastAsia="en-IN"/>
        </w:rPr>
        <w:t> increasingly consider oxidative stress biomarkers in toxicity and efficacy evaluations, especially for </w:t>
      </w:r>
      <w:proofErr w:type="spellStart"/>
      <w:r w:rsidRPr="003D0AD0">
        <w:rPr>
          <w:rFonts w:ascii="Segoe UI" w:eastAsia="Times New Roman" w:hAnsi="Segoe UI" w:cs="Segoe UI"/>
          <w:b/>
          <w:bCs/>
          <w:color w:val="0D0D0D"/>
          <w:sz w:val="24"/>
          <w:szCs w:val="24"/>
          <w:lang w:eastAsia="en-IN"/>
        </w:rPr>
        <w:t>neuropharmaceutical</w:t>
      </w:r>
      <w:proofErr w:type="spellEnd"/>
      <w:r w:rsidRPr="003D0AD0">
        <w:rPr>
          <w:rFonts w:ascii="Segoe UI" w:eastAsia="Times New Roman" w:hAnsi="Segoe UI" w:cs="Segoe UI"/>
          <w:b/>
          <w:bCs/>
          <w:color w:val="0D0D0D"/>
          <w:sz w:val="24"/>
          <w:szCs w:val="24"/>
          <w:lang w:eastAsia="en-IN"/>
        </w:rPr>
        <w:t xml:space="preserve"> and immunological therapies</w:t>
      </w:r>
      <w:r w:rsidRPr="003D0AD0">
        <w:rPr>
          <w:rFonts w:ascii="Segoe UI" w:eastAsia="Times New Roman" w:hAnsi="Segoe UI" w:cs="Segoe UI"/>
          <w:color w:val="0D0D0D"/>
          <w:sz w:val="24"/>
          <w:szCs w:val="24"/>
          <w:lang w:eastAsia="en-IN"/>
        </w:rPr>
        <w:t>.</w:t>
      </w:r>
    </w:p>
    <w:p w14:paraId="4CE9392D"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 region is also home to several specialist assay developers and chemical suppliers, creating a vibrant ecosystem for assay innovation and validation.</w:t>
      </w:r>
    </w:p>
    <w:p w14:paraId="2A435A60"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Asia Pacific</w:t>
      </w:r>
    </w:p>
    <w:p w14:paraId="74EEE55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Asia Pacific</w:t>
      </w:r>
      <w:r w:rsidRPr="003D0AD0">
        <w:rPr>
          <w:rFonts w:ascii="Segoe UI" w:eastAsia="Times New Roman" w:hAnsi="Segoe UI" w:cs="Segoe UI"/>
          <w:color w:val="0D0D0D"/>
          <w:sz w:val="24"/>
          <w:szCs w:val="24"/>
          <w:lang w:eastAsia="en-IN"/>
        </w:rPr>
        <w:t> is the fastest-growing regional market, projected to witness a CAGR exceeding </w:t>
      </w:r>
      <w:r w:rsidRPr="003D0AD0">
        <w:rPr>
          <w:rFonts w:ascii="Segoe UI" w:eastAsia="Times New Roman" w:hAnsi="Segoe UI" w:cs="Segoe UI"/>
          <w:b/>
          <w:bCs/>
          <w:color w:val="0D0D0D"/>
          <w:sz w:val="24"/>
          <w:szCs w:val="24"/>
          <w:lang w:eastAsia="en-IN"/>
        </w:rPr>
        <w:t>11.2%</w:t>
      </w:r>
      <w:r w:rsidRPr="003D0AD0">
        <w:rPr>
          <w:rFonts w:ascii="Segoe UI" w:eastAsia="Times New Roman" w:hAnsi="Segoe UI" w:cs="Segoe UI"/>
          <w:color w:val="0D0D0D"/>
          <w:sz w:val="24"/>
          <w:szCs w:val="24"/>
          <w:lang w:eastAsia="en-IN"/>
        </w:rPr>
        <w:t> through 2030. Key drivers include:</w:t>
      </w:r>
    </w:p>
    <w:p w14:paraId="0BE16452" w14:textId="77777777" w:rsidR="003D0AD0" w:rsidRPr="003D0AD0" w:rsidRDefault="003D0AD0" w:rsidP="003D0AD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Expansion of </w:t>
      </w:r>
      <w:r w:rsidRPr="003D0AD0">
        <w:rPr>
          <w:rFonts w:ascii="Segoe UI" w:eastAsia="Times New Roman" w:hAnsi="Segoe UI" w:cs="Segoe UI"/>
          <w:b/>
          <w:bCs/>
          <w:color w:val="0D0D0D"/>
          <w:sz w:val="24"/>
          <w:szCs w:val="24"/>
          <w:lang w:eastAsia="en-IN"/>
        </w:rPr>
        <w:t>biotech hubs in China, South Korea, and India</w:t>
      </w:r>
    </w:p>
    <w:p w14:paraId="60D2614C" w14:textId="77777777" w:rsidR="003D0AD0" w:rsidRPr="003D0AD0" w:rsidRDefault="003D0AD0" w:rsidP="003D0AD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Rapid academic publishing growth in </w:t>
      </w:r>
      <w:r w:rsidRPr="003D0AD0">
        <w:rPr>
          <w:rFonts w:ascii="Segoe UI" w:eastAsia="Times New Roman" w:hAnsi="Segoe UI" w:cs="Segoe UI"/>
          <w:b/>
          <w:bCs/>
          <w:color w:val="0D0D0D"/>
          <w:sz w:val="24"/>
          <w:szCs w:val="24"/>
          <w:lang w:eastAsia="en-IN"/>
        </w:rPr>
        <w:t>oxidative biology and natural antioxidant research</w:t>
      </w:r>
    </w:p>
    <w:p w14:paraId="01EB93B4" w14:textId="77777777" w:rsidR="003D0AD0" w:rsidRPr="003D0AD0" w:rsidRDefault="003D0AD0" w:rsidP="003D0AD0">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Increased government initiatives to curb </w:t>
      </w:r>
      <w:r w:rsidRPr="003D0AD0">
        <w:rPr>
          <w:rFonts w:ascii="Segoe UI" w:eastAsia="Times New Roman" w:hAnsi="Segoe UI" w:cs="Segoe UI"/>
          <w:b/>
          <w:bCs/>
          <w:color w:val="0D0D0D"/>
          <w:sz w:val="24"/>
          <w:szCs w:val="24"/>
          <w:lang w:eastAsia="en-IN"/>
        </w:rPr>
        <w:t>pollution-related oxidative diseases</w:t>
      </w:r>
      <w:r w:rsidRPr="003D0AD0">
        <w:rPr>
          <w:rFonts w:ascii="Segoe UI" w:eastAsia="Times New Roman" w:hAnsi="Segoe UI" w:cs="Segoe UI"/>
          <w:color w:val="0D0D0D"/>
          <w:sz w:val="24"/>
          <w:szCs w:val="24"/>
          <w:lang w:eastAsia="en-IN"/>
        </w:rPr>
        <w:t> (e.g., COPD, metabolic disorders)</w:t>
      </w:r>
    </w:p>
    <w:p w14:paraId="458E13D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Notably, countries like </w:t>
      </w:r>
      <w:r w:rsidRPr="003D0AD0">
        <w:rPr>
          <w:rFonts w:ascii="Segoe UI" w:eastAsia="Times New Roman" w:hAnsi="Segoe UI" w:cs="Segoe UI"/>
          <w:b/>
          <w:bCs/>
          <w:color w:val="0D0D0D"/>
          <w:sz w:val="24"/>
          <w:szCs w:val="24"/>
          <w:lang w:eastAsia="en-IN"/>
        </w:rPr>
        <w:t>Japan</w:t>
      </w:r>
      <w:r w:rsidRPr="003D0AD0">
        <w:rPr>
          <w:rFonts w:ascii="Segoe UI" w:eastAsia="Times New Roman" w:hAnsi="Segoe UI" w:cs="Segoe UI"/>
          <w:color w:val="0D0D0D"/>
          <w:sz w:val="24"/>
          <w:szCs w:val="24"/>
          <w:lang w:eastAsia="en-IN"/>
        </w:rPr>
        <w:t> are investing in advanced </w:t>
      </w:r>
      <w:r w:rsidRPr="003D0AD0">
        <w:rPr>
          <w:rFonts w:ascii="Segoe UI" w:eastAsia="Times New Roman" w:hAnsi="Segoe UI" w:cs="Segoe UI"/>
          <w:b/>
          <w:bCs/>
          <w:color w:val="0D0D0D"/>
          <w:sz w:val="24"/>
          <w:szCs w:val="24"/>
          <w:lang w:eastAsia="en-IN"/>
        </w:rPr>
        <w:t>redox omics</w:t>
      </w:r>
      <w:r w:rsidRPr="003D0AD0">
        <w:rPr>
          <w:rFonts w:ascii="Segoe UI" w:eastAsia="Times New Roman" w:hAnsi="Segoe UI" w:cs="Segoe UI"/>
          <w:color w:val="0D0D0D"/>
          <w:sz w:val="24"/>
          <w:szCs w:val="24"/>
          <w:lang w:eastAsia="en-IN"/>
        </w:rPr>
        <w:t> platforms and </w:t>
      </w:r>
      <w:r w:rsidRPr="003D0AD0">
        <w:rPr>
          <w:rFonts w:ascii="Segoe UI" w:eastAsia="Times New Roman" w:hAnsi="Segoe UI" w:cs="Segoe UI"/>
          <w:b/>
          <w:bCs/>
          <w:color w:val="0D0D0D"/>
          <w:sz w:val="24"/>
          <w:szCs w:val="24"/>
          <w:lang w:eastAsia="en-IN"/>
        </w:rPr>
        <w:t>organ-on-chip systems</w:t>
      </w:r>
      <w:r w:rsidRPr="003D0AD0">
        <w:rPr>
          <w:rFonts w:ascii="Segoe UI" w:eastAsia="Times New Roman" w:hAnsi="Segoe UI" w:cs="Segoe UI"/>
          <w:color w:val="0D0D0D"/>
          <w:sz w:val="24"/>
          <w:szCs w:val="24"/>
          <w:lang w:eastAsia="en-IN"/>
        </w:rPr>
        <w:t> that integrate real-time oxidative stress monitoring.</w:t>
      </w:r>
    </w:p>
    <w:p w14:paraId="769CFD52"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However, </w:t>
      </w:r>
      <w:r w:rsidRPr="003D0AD0">
        <w:rPr>
          <w:rFonts w:ascii="Segoe UI" w:eastAsia="Times New Roman" w:hAnsi="Segoe UI" w:cs="Segoe UI"/>
          <w:i/>
          <w:iCs/>
          <w:color w:val="0D0D0D"/>
          <w:sz w:val="24"/>
          <w:szCs w:val="24"/>
          <w:lang w:eastAsia="en-IN"/>
        </w:rPr>
        <w:t>“a lack of centralized regulatory standards across Asia-Pacific nations presents both a challenge and an opportunity for assay developers to define regional assay benchmarks,”</w:t>
      </w:r>
      <w:r w:rsidRPr="003D0AD0">
        <w:rPr>
          <w:rFonts w:ascii="Segoe UI" w:eastAsia="Times New Roman" w:hAnsi="Segoe UI" w:cs="Segoe UI"/>
          <w:color w:val="0D0D0D"/>
          <w:sz w:val="24"/>
          <w:szCs w:val="24"/>
          <w:lang w:eastAsia="en-IN"/>
        </w:rPr>
        <w:t> notes an Asia-based biotech consultant.</w:t>
      </w:r>
    </w:p>
    <w:p w14:paraId="7FAF232E"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LAMEA (Latin America, Middle East, and Africa)</w:t>
      </w:r>
    </w:p>
    <w:p w14:paraId="7CE5873B"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Although still emerging, </w:t>
      </w:r>
      <w:r w:rsidRPr="003D0AD0">
        <w:rPr>
          <w:rFonts w:ascii="Segoe UI" w:eastAsia="Times New Roman" w:hAnsi="Segoe UI" w:cs="Segoe UI"/>
          <w:b/>
          <w:bCs/>
          <w:color w:val="0D0D0D"/>
          <w:sz w:val="24"/>
          <w:szCs w:val="24"/>
          <w:lang w:eastAsia="en-IN"/>
        </w:rPr>
        <w:t>LAMEA</w:t>
      </w:r>
      <w:r w:rsidRPr="003D0AD0">
        <w:rPr>
          <w:rFonts w:ascii="Segoe UI" w:eastAsia="Times New Roman" w:hAnsi="Segoe UI" w:cs="Segoe UI"/>
          <w:color w:val="0D0D0D"/>
          <w:sz w:val="24"/>
          <w:szCs w:val="24"/>
          <w:lang w:eastAsia="en-IN"/>
        </w:rPr>
        <w:t xml:space="preserve"> presents long-term opportunities, particularly in environmental health research and infectious disease </w:t>
      </w:r>
      <w:proofErr w:type="spellStart"/>
      <w:r w:rsidRPr="003D0AD0">
        <w:rPr>
          <w:rFonts w:ascii="Segoe UI" w:eastAsia="Times New Roman" w:hAnsi="Segoe UI" w:cs="Segoe UI"/>
          <w:color w:val="0D0D0D"/>
          <w:sz w:val="24"/>
          <w:szCs w:val="24"/>
          <w:lang w:eastAsia="en-IN"/>
        </w:rPr>
        <w:t>modeling</w:t>
      </w:r>
      <w:proofErr w:type="spellEnd"/>
      <w:r w:rsidRPr="003D0AD0">
        <w:rPr>
          <w:rFonts w:ascii="Segoe UI" w:eastAsia="Times New Roman" w:hAnsi="Segoe UI" w:cs="Segoe UI"/>
          <w:color w:val="0D0D0D"/>
          <w:sz w:val="24"/>
          <w:szCs w:val="24"/>
          <w:lang w:eastAsia="en-IN"/>
        </w:rPr>
        <w:t>. Brazil and South Africa are regional leaders in oxidative stress testing for </w:t>
      </w:r>
      <w:r w:rsidRPr="003D0AD0">
        <w:rPr>
          <w:rFonts w:ascii="Segoe UI" w:eastAsia="Times New Roman" w:hAnsi="Segoe UI" w:cs="Segoe UI"/>
          <w:b/>
          <w:bCs/>
          <w:color w:val="0D0D0D"/>
          <w:sz w:val="24"/>
          <w:szCs w:val="24"/>
          <w:lang w:eastAsia="en-IN"/>
        </w:rPr>
        <w:t>airborne pollutants, malaria studies, and nutritional stress response</w:t>
      </w:r>
      <w:r w:rsidRPr="003D0AD0">
        <w:rPr>
          <w:rFonts w:ascii="Segoe UI" w:eastAsia="Times New Roman" w:hAnsi="Segoe UI" w:cs="Segoe UI"/>
          <w:color w:val="0D0D0D"/>
          <w:sz w:val="24"/>
          <w:szCs w:val="24"/>
          <w:lang w:eastAsia="en-IN"/>
        </w:rPr>
        <w:t>.</w:t>
      </w:r>
    </w:p>
    <w:p w14:paraId="0C81D574"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lastRenderedPageBreak/>
        <w:t>That said, adoption remains limited due to:</w:t>
      </w:r>
    </w:p>
    <w:p w14:paraId="6BE66FB8" w14:textId="77777777" w:rsidR="003D0AD0" w:rsidRPr="003D0AD0" w:rsidRDefault="003D0AD0" w:rsidP="003D0AD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Fragmented lab infrastructure</w:t>
      </w:r>
    </w:p>
    <w:p w14:paraId="0258E8F9" w14:textId="77777777" w:rsidR="003D0AD0" w:rsidRPr="003D0AD0" w:rsidRDefault="003D0AD0" w:rsidP="003D0AD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Lower research funding</w:t>
      </w:r>
    </w:p>
    <w:p w14:paraId="27EE4724" w14:textId="77777777" w:rsidR="003D0AD0" w:rsidRPr="003D0AD0" w:rsidRDefault="003D0AD0" w:rsidP="003D0AD0">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Insufficient training in advanced assay techniques</w:t>
      </w:r>
    </w:p>
    <w:p w14:paraId="7B2BE9C6"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Nonetheless, targeted partnerships and </w:t>
      </w:r>
      <w:r w:rsidRPr="003D0AD0">
        <w:rPr>
          <w:rFonts w:ascii="Segoe UI" w:eastAsia="Times New Roman" w:hAnsi="Segoe UI" w:cs="Segoe UI"/>
          <w:b/>
          <w:bCs/>
          <w:color w:val="0D0D0D"/>
          <w:sz w:val="24"/>
          <w:szCs w:val="24"/>
          <w:lang w:eastAsia="en-IN"/>
        </w:rPr>
        <w:t>public health initiatives focused on non-communicable diseases</w:t>
      </w:r>
      <w:r w:rsidRPr="003D0AD0">
        <w:rPr>
          <w:rFonts w:ascii="Segoe UI" w:eastAsia="Times New Roman" w:hAnsi="Segoe UI" w:cs="Segoe UI"/>
          <w:color w:val="0D0D0D"/>
          <w:sz w:val="24"/>
          <w:szCs w:val="24"/>
          <w:lang w:eastAsia="en-IN"/>
        </w:rPr>
        <w:t> may unlock potential for future market penetration.</w:t>
      </w:r>
    </w:p>
    <w:p w14:paraId="5EB43C86"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793049F9">
          <v:rect id="_x0000_i1025" style="width:0;height:0" o:hralign="center" o:hrstd="t" o:hrnoshade="t" o:hr="t" fillcolor="#0d0d0d" stroked="f"/>
        </w:pict>
      </w:r>
    </w:p>
    <w:p w14:paraId="4382DA97"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Regional asymmetries in funding, research priorities, and technical adoption underline the importance of tailored market strategies. While developed markets prioritize regulatory-grade oxidative assays, emerging regions offer fertile ground for cost-effective, modular platforms.</w:t>
      </w:r>
    </w:p>
    <w:p w14:paraId="6AFF66A4"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6. End-User Dynamics and Use Case</w:t>
      </w:r>
    </w:p>
    <w:p w14:paraId="631185C1"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 xml:space="preserve">The oxidative stress assay market caters to a diverse array of end users, each leveraging these tools for distinct purposes—from therapeutic innovation and toxicity profiling to translational medicine and environmental analysis. The strategic needs and adoption </w:t>
      </w:r>
      <w:proofErr w:type="spellStart"/>
      <w:r w:rsidRPr="003D0AD0">
        <w:rPr>
          <w:rFonts w:ascii="Segoe UI" w:eastAsia="Times New Roman" w:hAnsi="Segoe UI" w:cs="Segoe UI"/>
          <w:color w:val="0D0D0D"/>
          <w:sz w:val="24"/>
          <w:szCs w:val="24"/>
          <w:lang w:eastAsia="en-IN"/>
        </w:rPr>
        <w:t>behaviors</w:t>
      </w:r>
      <w:proofErr w:type="spellEnd"/>
      <w:r w:rsidRPr="003D0AD0">
        <w:rPr>
          <w:rFonts w:ascii="Segoe UI" w:eastAsia="Times New Roman" w:hAnsi="Segoe UI" w:cs="Segoe UI"/>
          <w:color w:val="0D0D0D"/>
          <w:sz w:val="24"/>
          <w:szCs w:val="24"/>
          <w:lang w:eastAsia="en-IN"/>
        </w:rPr>
        <w:t xml:space="preserve"> of these groups are helping reshape the assay ecosystem.</w:t>
      </w:r>
    </w:p>
    <w:p w14:paraId="324537C6"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Key End Users</w:t>
      </w:r>
    </w:p>
    <w:p w14:paraId="247967AB" w14:textId="77777777" w:rsidR="003D0AD0" w:rsidRPr="003D0AD0" w:rsidRDefault="003D0AD0" w:rsidP="003D0AD0">
      <w:pPr>
        <w:spacing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212F4E2">
          <v:rect id="_x0000_i1027" style="width:0;height:0" o:hralign="center" o:hrstd="t" o:hrnoshade="t" o:hr="t" fillcolor="#0d0d0d" stroked="f"/>
        </w:pict>
      </w:r>
    </w:p>
    <w:p w14:paraId="608AE290"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1. Pharmaceutical &amp; Biotechnology Companies</w:t>
      </w:r>
    </w:p>
    <w:p w14:paraId="4B22872D"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These entities represent a major revenue stream for the oxidative stress assay market. Pharma and biotech firms integrate oxidative stress assays into:</w:t>
      </w:r>
    </w:p>
    <w:p w14:paraId="06A8B386" w14:textId="77777777" w:rsidR="003D0AD0" w:rsidRPr="003D0AD0" w:rsidRDefault="003D0AD0" w:rsidP="003D0AD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Drug discovery pipelines</w:t>
      </w:r>
      <w:r w:rsidRPr="003D0AD0">
        <w:rPr>
          <w:rFonts w:ascii="Segoe UI" w:eastAsia="Times New Roman" w:hAnsi="Segoe UI" w:cs="Segoe UI"/>
          <w:color w:val="0D0D0D"/>
          <w:sz w:val="24"/>
          <w:szCs w:val="24"/>
          <w:lang w:eastAsia="en-IN"/>
        </w:rPr>
        <w:t>, particularly for </w:t>
      </w:r>
      <w:r w:rsidRPr="003D0AD0">
        <w:rPr>
          <w:rFonts w:ascii="Segoe UI" w:eastAsia="Times New Roman" w:hAnsi="Segoe UI" w:cs="Segoe UI"/>
          <w:b/>
          <w:bCs/>
          <w:color w:val="0D0D0D"/>
          <w:sz w:val="24"/>
          <w:szCs w:val="24"/>
          <w:lang w:eastAsia="en-IN"/>
        </w:rPr>
        <w:t>oncology, neurology, and metabolic disorders</w:t>
      </w:r>
    </w:p>
    <w:p w14:paraId="10FBDDEB" w14:textId="77777777" w:rsidR="003D0AD0" w:rsidRPr="003D0AD0" w:rsidRDefault="003D0AD0" w:rsidP="003D0AD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 vitro toxicology</w:t>
      </w:r>
      <w:r w:rsidRPr="003D0AD0">
        <w:rPr>
          <w:rFonts w:ascii="Segoe UI" w:eastAsia="Times New Roman" w:hAnsi="Segoe UI" w:cs="Segoe UI"/>
          <w:color w:val="0D0D0D"/>
          <w:sz w:val="24"/>
          <w:szCs w:val="24"/>
          <w:lang w:eastAsia="en-IN"/>
        </w:rPr>
        <w:t> to detect off-target oxidative damage</w:t>
      </w:r>
    </w:p>
    <w:p w14:paraId="297D49BA" w14:textId="77777777" w:rsidR="003D0AD0" w:rsidRPr="003D0AD0" w:rsidRDefault="003D0AD0" w:rsidP="003D0AD0">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Compound screening workflows</w:t>
      </w:r>
      <w:r w:rsidRPr="003D0AD0">
        <w:rPr>
          <w:rFonts w:ascii="Segoe UI" w:eastAsia="Times New Roman" w:hAnsi="Segoe UI" w:cs="Segoe UI"/>
          <w:color w:val="0D0D0D"/>
          <w:sz w:val="24"/>
          <w:szCs w:val="24"/>
          <w:lang w:eastAsia="en-IN"/>
        </w:rPr>
        <w:t> that include oxidative damage profiling as part of safety pharmacology</w:t>
      </w:r>
    </w:p>
    <w:p w14:paraId="468237B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lastRenderedPageBreak/>
        <w:t>Large pharma players typically demand </w:t>
      </w:r>
      <w:r w:rsidRPr="003D0AD0">
        <w:rPr>
          <w:rFonts w:ascii="Segoe UI" w:eastAsia="Times New Roman" w:hAnsi="Segoe UI" w:cs="Segoe UI"/>
          <w:b/>
          <w:bCs/>
          <w:color w:val="0D0D0D"/>
          <w:sz w:val="24"/>
          <w:szCs w:val="24"/>
          <w:lang w:eastAsia="en-IN"/>
        </w:rPr>
        <w:t>high-throughput, regulatory-compliant, and automation-compatible kits</w:t>
      </w:r>
      <w:r w:rsidRPr="003D0AD0">
        <w:rPr>
          <w:rFonts w:ascii="Segoe UI" w:eastAsia="Times New Roman" w:hAnsi="Segoe UI" w:cs="Segoe UI"/>
          <w:color w:val="0D0D0D"/>
          <w:sz w:val="24"/>
          <w:szCs w:val="24"/>
          <w:lang w:eastAsia="en-IN"/>
        </w:rPr>
        <w:t xml:space="preserve">, while </w:t>
      </w:r>
      <w:proofErr w:type="spellStart"/>
      <w:r w:rsidRPr="003D0AD0">
        <w:rPr>
          <w:rFonts w:ascii="Segoe UI" w:eastAsia="Times New Roman" w:hAnsi="Segoe UI" w:cs="Segoe UI"/>
          <w:color w:val="0D0D0D"/>
          <w:sz w:val="24"/>
          <w:szCs w:val="24"/>
          <w:lang w:eastAsia="en-IN"/>
        </w:rPr>
        <w:t>startups</w:t>
      </w:r>
      <w:proofErr w:type="spellEnd"/>
      <w:r w:rsidRPr="003D0AD0">
        <w:rPr>
          <w:rFonts w:ascii="Segoe UI" w:eastAsia="Times New Roman" w:hAnsi="Segoe UI" w:cs="Segoe UI"/>
          <w:color w:val="0D0D0D"/>
          <w:sz w:val="24"/>
          <w:szCs w:val="24"/>
          <w:lang w:eastAsia="en-IN"/>
        </w:rPr>
        <w:t xml:space="preserve"> and </w:t>
      </w:r>
      <w:proofErr w:type="spellStart"/>
      <w:r w:rsidRPr="003D0AD0">
        <w:rPr>
          <w:rFonts w:ascii="Segoe UI" w:eastAsia="Times New Roman" w:hAnsi="Segoe UI" w:cs="Segoe UI"/>
          <w:color w:val="0D0D0D"/>
          <w:sz w:val="24"/>
          <w:szCs w:val="24"/>
          <w:lang w:eastAsia="en-IN"/>
        </w:rPr>
        <w:t>biotechs</w:t>
      </w:r>
      <w:proofErr w:type="spellEnd"/>
      <w:r w:rsidRPr="003D0AD0">
        <w:rPr>
          <w:rFonts w:ascii="Segoe UI" w:eastAsia="Times New Roman" w:hAnsi="Segoe UI" w:cs="Segoe UI"/>
          <w:color w:val="0D0D0D"/>
          <w:sz w:val="24"/>
          <w:szCs w:val="24"/>
          <w:lang w:eastAsia="en-IN"/>
        </w:rPr>
        <w:t xml:space="preserve"> often </w:t>
      </w:r>
      <w:proofErr w:type="spellStart"/>
      <w:r w:rsidRPr="003D0AD0">
        <w:rPr>
          <w:rFonts w:ascii="Segoe UI" w:eastAsia="Times New Roman" w:hAnsi="Segoe UI" w:cs="Segoe UI"/>
          <w:color w:val="0D0D0D"/>
          <w:sz w:val="24"/>
          <w:szCs w:val="24"/>
          <w:lang w:eastAsia="en-IN"/>
        </w:rPr>
        <w:t>favor</w:t>
      </w:r>
      <w:proofErr w:type="spellEnd"/>
      <w:r w:rsidRPr="003D0AD0">
        <w:rPr>
          <w:rFonts w:ascii="Segoe UI" w:eastAsia="Times New Roman" w:hAnsi="Segoe UI" w:cs="Segoe UI"/>
          <w:color w:val="0D0D0D"/>
          <w:sz w:val="24"/>
          <w:szCs w:val="24"/>
          <w:lang w:eastAsia="en-IN"/>
        </w:rPr>
        <w:t> </w:t>
      </w:r>
      <w:r w:rsidRPr="003D0AD0">
        <w:rPr>
          <w:rFonts w:ascii="Segoe UI" w:eastAsia="Times New Roman" w:hAnsi="Segoe UI" w:cs="Segoe UI"/>
          <w:b/>
          <w:bCs/>
          <w:color w:val="0D0D0D"/>
          <w:sz w:val="24"/>
          <w:szCs w:val="24"/>
          <w:lang w:eastAsia="en-IN"/>
        </w:rPr>
        <w:t>custom assays</w:t>
      </w:r>
      <w:r w:rsidRPr="003D0AD0">
        <w:rPr>
          <w:rFonts w:ascii="Segoe UI" w:eastAsia="Times New Roman" w:hAnsi="Segoe UI" w:cs="Segoe UI"/>
          <w:color w:val="0D0D0D"/>
          <w:sz w:val="24"/>
          <w:szCs w:val="24"/>
          <w:lang w:eastAsia="en-IN"/>
        </w:rPr>
        <w:t> aligned to proprietary research models.</w:t>
      </w:r>
    </w:p>
    <w:p w14:paraId="0CA13F54"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0C496DDA">
          <v:rect id="_x0000_i1028" style="width:0;height:0" o:hralign="center" o:hrstd="t" o:hrnoshade="t" o:hr="t" fillcolor="#0d0d0d" stroked="f"/>
        </w:pict>
      </w:r>
    </w:p>
    <w:p w14:paraId="2107420C"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2. Academic &amp; Research Institutes</w:t>
      </w:r>
    </w:p>
    <w:p w14:paraId="2E7D999B"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Universities and public research institutions are foundational to the assay market, both as consumers and as co-developers. They drive innovation through:</w:t>
      </w:r>
    </w:p>
    <w:p w14:paraId="237AA195" w14:textId="77777777" w:rsidR="003D0AD0" w:rsidRPr="003D0AD0" w:rsidRDefault="003D0AD0" w:rsidP="003D0AD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Studies on </w:t>
      </w:r>
      <w:r w:rsidRPr="003D0AD0">
        <w:rPr>
          <w:rFonts w:ascii="Segoe UI" w:eastAsia="Times New Roman" w:hAnsi="Segoe UI" w:cs="Segoe UI"/>
          <w:b/>
          <w:bCs/>
          <w:color w:val="0D0D0D"/>
          <w:sz w:val="24"/>
          <w:szCs w:val="24"/>
          <w:lang w:eastAsia="en-IN"/>
        </w:rPr>
        <w:t xml:space="preserve">redox </w:t>
      </w:r>
      <w:proofErr w:type="spellStart"/>
      <w:r w:rsidRPr="003D0AD0">
        <w:rPr>
          <w:rFonts w:ascii="Segoe UI" w:eastAsia="Times New Roman" w:hAnsi="Segoe UI" w:cs="Segoe UI"/>
          <w:b/>
          <w:bCs/>
          <w:color w:val="0D0D0D"/>
          <w:sz w:val="24"/>
          <w:szCs w:val="24"/>
          <w:lang w:eastAsia="en-IN"/>
        </w:rPr>
        <w:t>signaling</w:t>
      </w:r>
      <w:proofErr w:type="spellEnd"/>
      <w:r w:rsidRPr="003D0AD0">
        <w:rPr>
          <w:rFonts w:ascii="Segoe UI" w:eastAsia="Times New Roman" w:hAnsi="Segoe UI" w:cs="Segoe UI"/>
          <w:b/>
          <w:bCs/>
          <w:color w:val="0D0D0D"/>
          <w:sz w:val="24"/>
          <w:szCs w:val="24"/>
          <w:lang w:eastAsia="en-IN"/>
        </w:rPr>
        <w:t xml:space="preserve"> and mitochondrial dysfunction</w:t>
      </w:r>
    </w:p>
    <w:p w14:paraId="3295958A" w14:textId="77777777" w:rsidR="003D0AD0" w:rsidRPr="003D0AD0" w:rsidRDefault="003D0AD0" w:rsidP="003D0AD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Research into oxidative stress-related aging, inflammation, and cancer</w:t>
      </w:r>
    </w:p>
    <w:p w14:paraId="2F96A2C1" w14:textId="77777777" w:rsidR="003D0AD0" w:rsidRPr="003D0AD0" w:rsidRDefault="003D0AD0" w:rsidP="003D0AD0">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Use of assays in </w:t>
      </w:r>
      <w:r w:rsidRPr="003D0AD0">
        <w:rPr>
          <w:rFonts w:ascii="Segoe UI" w:eastAsia="Times New Roman" w:hAnsi="Segoe UI" w:cs="Segoe UI"/>
          <w:b/>
          <w:bCs/>
          <w:color w:val="0D0D0D"/>
          <w:sz w:val="24"/>
          <w:szCs w:val="24"/>
          <w:lang w:eastAsia="en-IN"/>
        </w:rPr>
        <w:t>basic cell biology and systems toxicology</w:t>
      </w:r>
    </w:p>
    <w:p w14:paraId="40EE94DD"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These users typically require </w:t>
      </w:r>
      <w:r w:rsidRPr="003D0AD0">
        <w:rPr>
          <w:rFonts w:ascii="Segoe UI" w:eastAsia="Times New Roman" w:hAnsi="Segoe UI" w:cs="Segoe UI"/>
          <w:b/>
          <w:bCs/>
          <w:color w:val="0D0D0D"/>
          <w:sz w:val="24"/>
          <w:szCs w:val="24"/>
          <w:lang w:eastAsia="en-IN"/>
        </w:rPr>
        <w:t>modular, affordable, and highly customizable kits</w:t>
      </w:r>
      <w:r w:rsidRPr="003D0AD0">
        <w:rPr>
          <w:rFonts w:ascii="Segoe UI" w:eastAsia="Times New Roman" w:hAnsi="Segoe UI" w:cs="Segoe UI"/>
          <w:color w:val="0D0D0D"/>
          <w:sz w:val="24"/>
          <w:szCs w:val="24"/>
          <w:lang w:eastAsia="en-IN"/>
        </w:rPr>
        <w:t>, along with technical documentation for publishing and peer review.</w:t>
      </w:r>
    </w:p>
    <w:p w14:paraId="1BD1B875"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7807FF50">
          <v:rect id="_x0000_i1029" style="width:0;height:0" o:hralign="center" o:hrstd="t" o:hrnoshade="t" o:hr="t" fillcolor="#0d0d0d" stroked="f"/>
        </w:pict>
      </w:r>
    </w:p>
    <w:p w14:paraId="579E0FA2"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t>3. Contract Research Organizations (CROs)</w:t>
      </w:r>
    </w:p>
    <w:p w14:paraId="65CA9D5B"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CROs are experiencing rapid growth as outsourcing partners for oxidative stress testing. Their demand is driven by:</w:t>
      </w:r>
    </w:p>
    <w:p w14:paraId="29038E4B" w14:textId="77777777" w:rsidR="003D0AD0" w:rsidRPr="003D0AD0" w:rsidRDefault="003D0AD0" w:rsidP="003D0AD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Pharmaceutical clients needing </w:t>
      </w:r>
      <w:r w:rsidRPr="003D0AD0">
        <w:rPr>
          <w:rFonts w:ascii="Segoe UI" w:eastAsia="Times New Roman" w:hAnsi="Segoe UI" w:cs="Segoe UI"/>
          <w:b/>
          <w:bCs/>
          <w:color w:val="0D0D0D"/>
          <w:sz w:val="24"/>
          <w:szCs w:val="24"/>
          <w:lang w:eastAsia="en-IN"/>
        </w:rPr>
        <w:t>regulatory-grade toxicology reports</w:t>
      </w:r>
    </w:p>
    <w:p w14:paraId="08768BBF" w14:textId="77777777" w:rsidR="003D0AD0" w:rsidRPr="003D0AD0" w:rsidRDefault="003D0AD0" w:rsidP="003D0AD0">
      <w:pPr>
        <w:numPr>
          <w:ilvl w:val="0"/>
          <w:numId w:val="14"/>
        </w:numPr>
        <w:shd w:val="clear" w:color="auto" w:fill="FFFFFF"/>
        <w:spacing w:after="0" w:line="240" w:lineRule="auto"/>
        <w:rPr>
          <w:rFonts w:ascii="Segoe UI" w:eastAsia="Times New Roman" w:hAnsi="Segoe UI" w:cs="Segoe UI"/>
          <w:color w:val="0D0D0D"/>
          <w:sz w:val="24"/>
          <w:szCs w:val="24"/>
          <w:lang w:eastAsia="en-IN"/>
        </w:rPr>
      </w:pPr>
      <w:proofErr w:type="spellStart"/>
      <w:r w:rsidRPr="003D0AD0">
        <w:rPr>
          <w:rFonts w:ascii="Segoe UI" w:eastAsia="Times New Roman" w:hAnsi="Segoe UI" w:cs="Segoe UI"/>
          <w:color w:val="0D0D0D"/>
          <w:sz w:val="24"/>
          <w:szCs w:val="24"/>
          <w:lang w:eastAsia="en-IN"/>
        </w:rPr>
        <w:t>Biotechs</w:t>
      </w:r>
      <w:proofErr w:type="spellEnd"/>
      <w:r w:rsidRPr="003D0AD0">
        <w:rPr>
          <w:rFonts w:ascii="Segoe UI" w:eastAsia="Times New Roman" w:hAnsi="Segoe UI" w:cs="Segoe UI"/>
          <w:color w:val="0D0D0D"/>
          <w:sz w:val="24"/>
          <w:szCs w:val="24"/>
          <w:lang w:eastAsia="en-IN"/>
        </w:rPr>
        <w:t xml:space="preserve"> outsourcing </w:t>
      </w:r>
      <w:r w:rsidRPr="003D0AD0">
        <w:rPr>
          <w:rFonts w:ascii="Segoe UI" w:eastAsia="Times New Roman" w:hAnsi="Segoe UI" w:cs="Segoe UI"/>
          <w:b/>
          <w:bCs/>
          <w:color w:val="0D0D0D"/>
          <w:sz w:val="24"/>
          <w:szCs w:val="24"/>
          <w:lang w:eastAsia="en-IN"/>
        </w:rPr>
        <w:t>cell line validation, oxidative stress profiling, and compound screening</w:t>
      </w:r>
    </w:p>
    <w:p w14:paraId="46DBD037" w14:textId="77777777" w:rsidR="003D0AD0" w:rsidRPr="003D0AD0" w:rsidRDefault="003D0AD0" w:rsidP="003D0AD0">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Flexibility in deploying multiple assay formats under </w:t>
      </w:r>
      <w:r w:rsidRPr="003D0AD0">
        <w:rPr>
          <w:rFonts w:ascii="Segoe UI" w:eastAsia="Times New Roman" w:hAnsi="Segoe UI" w:cs="Segoe UI"/>
          <w:b/>
          <w:bCs/>
          <w:color w:val="0D0D0D"/>
          <w:sz w:val="24"/>
          <w:szCs w:val="24"/>
          <w:lang w:eastAsia="en-IN"/>
        </w:rPr>
        <w:t>GLP or GCLP compliance</w:t>
      </w:r>
    </w:p>
    <w:p w14:paraId="79CF9FCD"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CROs prioritize </w:t>
      </w:r>
      <w:r w:rsidRPr="003D0AD0">
        <w:rPr>
          <w:rFonts w:ascii="Segoe UI" w:eastAsia="Times New Roman" w:hAnsi="Segoe UI" w:cs="Segoe UI"/>
          <w:b/>
          <w:bCs/>
          <w:color w:val="0D0D0D"/>
          <w:sz w:val="24"/>
          <w:szCs w:val="24"/>
          <w:lang w:eastAsia="en-IN"/>
        </w:rPr>
        <w:t>batch scalability</w:t>
      </w:r>
      <w:r w:rsidRPr="003D0AD0">
        <w:rPr>
          <w:rFonts w:ascii="Segoe UI" w:eastAsia="Times New Roman" w:hAnsi="Segoe UI" w:cs="Segoe UI"/>
          <w:color w:val="0D0D0D"/>
          <w:sz w:val="24"/>
          <w:szCs w:val="24"/>
          <w:lang w:eastAsia="en-IN"/>
        </w:rPr>
        <w:t>, </w:t>
      </w:r>
      <w:r w:rsidRPr="003D0AD0">
        <w:rPr>
          <w:rFonts w:ascii="Segoe UI" w:eastAsia="Times New Roman" w:hAnsi="Segoe UI" w:cs="Segoe UI"/>
          <w:b/>
          <w:bCs/>
          <w:color w:val="0D0D0D"/>
          <w:sz w:val="24"/>
          <w:szCs w:val="24"/>
          <w:lang w:eastAsia="en-IN"/>
        </w:rPr>
        <w:t>instrument compatibility</w:t>
      </w:r>
      <w:r w:rsidRPr="003D0AD0">
        <w:rPr>
          <w:rFonts w:ascii="Segoe UI" w:eastAsia="Times New Roman" w:hAnsi="Segoe UI" w:cs="Segoe UI"/>
          <w:color w:val="0D0D0D"/>
          <w:sz w:val="24"/>
          <w:szCs w:val="24"/>
          <w:lang w:eastAsia="en-IN"/>
        </w:rPr>
        <w:t>, and </w:t>
      </w:r>
      <w:r w:rsidRPr="003D0AD0">
        <w:rPr>
          <w:rFonts w:ascii="Segoe UI" w:eastAsia="Times New Roman" w:hAnsi="Segoe UI" w:cs="Segoe UI"/>
          <w:b/>
          <w:bCs/>
          <w:color w:val="0D0D0D"/>
          <w:sz w:val="24"/>
          <w:szCs w:val="24"/>
          <w:lang w:eastAsia="en-IN"/>
        </w:rPr>
        <w:t>fast turnaround times</w:t>
      </w:r>
      <w:r w:rsidRPr="003D0AD0">
        <w:rPr>
          <w:rFonts w:ascii="Segoe UI" w:eastAsia="Times New Roman" w:hAnsi="Segoe UI" w:cs="Segoe UI"/>
          <w:color w:val="0D0D0D"/>
          <w:sz w:val="24"/>
          <w:szCs w:val="24"/>
          <w:lang w:eastAsia="en-IN"/>
        </w:rPr>
        <w:t>—factors that heavily influence procurement decisions.</w:t>
      </w:r>
    </w:p>
    <w:p w14:paraId="2D3262CD"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5DA85F7">
          <v:rect id="_x0000_i1030" style="width:0;height:0" o:hralign="center" o:hrstd="t" o:hrnoshade="t" o:hr="t" fillcolor="#0d0d0d" stroked="f"/>
        </w:pict>
      </w:r>
    </w:p>
    <w:p w14:paraId="01051889"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w:eastAsia="Times New Roman" w:hAnsi="Segoe UI" w:cs="Segoe UI"/>
          <w:b/>
          <w:bCs/>
          <w:color w:val="0D0D0D"/>
          <w:sz w:val="30"/>
          <w:szCs w:val="30"/>
          <w:lang w:eastAsia="en-IN"/>
        </w:rPr>
        <w:lastRenderedPageBreak/>
        <w:t>4. Hospitals and Diagnostic Laboratories</w:t>
      </w:r>
    </w:p>
    <w:p w14:paraId="3B8AECE1"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Though currently a smaller segment, hospitals and diagnostic labs are showing interest in oxidative stress assays for:</w:t>
      </w:r>
    </w:p>
    <w:p w14:paraId="5BAE348D" w14:textId="77777777" w:rsidR="003D0AD0" w:rsidRPr="003D0AD0" w:rsidRDefault="003D0AD0" w:rsidP="003D0AD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Early detection of oxidative stress-related disorders</w:t>
      </w:r>
    </w:p>
    <w:p w14:paraId="4522EF19" w14:textId="77777777" w:rsidR="003D0AD0" w:rsidRPr="003D0AD0" w:rsidRDefault="003D0AD0" w:rsidP="003D0AD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Monitoring therapeutic response in chronic illnesses</w:t>
      </w:r>
    </w:p>
    <w:p w14:paraId="683B5ECE" w14:textId="77777777" w:rsidR="003D0AD0" w:rsidRPr="003D0AD0" w:rsidRDefault="003D0AD0" w:rsidP="003D0AD0">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Investigating idiopathic conditions with inflammatory components</w:t>
      </w:r>
    </w:p>
    <w:p w14:paraId="48B1050A"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Adoption remains niche due to cost constraints and regulatory hurdles, but </w:t>
      </w:r>
      <w:r w:rsidRPr="003D0AD0">
        <w:rPr>
          <w:rFonts w:ascii="Segoe UI" w:eastAsia="Times New Roman" w:hAnsi="Segoe UI" w:cs="Segoe UI"/>
          <w:i/>
          <w:iCs/>
          <w:color w:val="0D0D0D"/>
          <w:sz w:val="24"/>
          <w:szCs w:val="24"/>
          <w:lang w:eastAsia="en-IN"/>
        </w:rPr>
        <w:t>the potential for oxidative biomarkers in personalized medicine could make this a high-impact segment by 2030</w:t>
      </w:r>
      <w:r w:rsidRPr="003D0AD0">
        <w:rPr>
          <w:rFonts w:ascii="Segoe UI" w:eastAsia="Times New Roman" w:hAnsi="Segoe UI" w:cs="Segoe UI"/>
          <w:color w:val="0D0D0D"/>
          <w:sz w:val="24"/>
          <w:szCs w:val="24"/>
          <w:lang w:eastAsia="en-IN"/>
        </w:rPr>
        <w:t>.</w:t>
      </w:r>
    </w:p>
    <w:p w14:paraId="4A1B224E"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0B522FC6">
          <v:rect id="_x0000_i1031" style="width:0;height:0" o:hralign="center" o:hrstd="t" o:hrnoshade="t" o:hr="t" fillcolor="#0d0d0d" stroked="f"/>
        </w:pict>
      </w:r>
    </w:p>
    <w:p w14:paraId="0DFFE3BB"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Use Case Highlight</w:t>
      </w:r>
    </w:p>
    <w:p w14:paraId="2CD024CC"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 xml:space="preserve">A tertiary care hospital in South Korea partnered with a local biotech </w:t>
      </w:r>
      <w:proofErr w:type="spellStart"/>
      <w:r w:rsidRPr="003D0AD0">
        <w:rPr>
          <w:rFonts w:ascii="Segoe UI" w:eastAsia="Times New Roman" w:hAnsi="Segoe UI" w:cs="Segoe UI"/>
          <w:i/>
          <w:iCs/>
          <w:color w:val="0D0D0D"/>
          <w:sz w:val="24"/>
          <w:szCs w:val="24"/>
          <w:lang w:eastAsia="en-IN"/>
        </w:rPr>
        <w:t>startup</w:t>
      </w:r>
      <w:proofErr w:type="spellEnd"/>
      <w:r w:rsidRPr="003D0AD0">
        <w:rPr>
          <w:rFonts w:ascii="Segoe UI" w:eastAsia="Times New Roman" w:hAnsi="Segoe UI" w:cs="Segoe UI"/>
          <w:i/>
          <w:iCs/>
          <w:color w:val="0D0D0D"/>
          <w:sz w:val="24"/>
          <w:szCs w:val="24"/>
          <w:lang w:eastAsia="en-IN"/>
        </w:rPr>
        <w:t xml:space="preserve"> to integrate real-time oxidative stress monitoring in its oncology treatment </w:t>
      </w:r>
      <w:proofErr w:type="spellStart"/>
      <w:r w:rsidRPr="003D0AD0">
        <w:rPr>
          <w:rFonts w:ascii="Segoe UI" w:eastAsia="Times New Roman" w:hAnsi="Segoe UI" w:cs="Segoe UI"/>
          <w:i/>
          <w:iCs/>
          <w:color w:val="0D0D0D"/>
          <w:sz w:val="24"/>
          <w:szCs w:val="24"/>
          <w:lang w:eastAsia="en-IN"/>
        </w:rPr>
        <w:t>center</w:t>
      </w:r>
      <w:proofErr w:type="spellEnd"/>
      <w:r w:rsidRPr="003D0AD0">
        <w:rPr>
          <w:rFonts w:ascii="Segoe UI" w:eastAsia="Times New Roman" w:hAnsi="Segoe UI" w:cs="Segoe UI"/>
          <w:i/>
          <w:iCs/>
          <w:color w:val="0D0D0D"/>
          <w:sz w:val="24"/>
          <w:szCs w:val="24"/>
          <w:lang w:eastAsia="en-IN"/>
        </w:rPr>
        <w:t xml:space="preserve">. By deploying intracellular ROS detection assays alongside chemotherapy, clinicians were able to track oxidative load fluctuations in cancer </w:t>
      </w:r>
      <w:proofErr w:type="gramStart"/>
      <w:r w:rsidRPr="003D0AD0">
        <w:rPr>
          <w:rFonts w:ascii="Segoe UI" w:eastAsia="Times New Roman" w:hAnsi="Segoe UI" w:cs="Segoe UI"/>
          <w:i/>
          <w:iCs/>
          <w:color w:val="0D0D0D"/>
          <w:sz w:val="24"/>
          <w:szCs w:val="24"/>
          <w:lang w:eastAsia="en-IN"/>
        </w:rPr>
        <w:t>patients</w:t>
      </w:r>
      <w:proofErr w:type="gramEnd"/>
      <w:r w:rsidRPr="003D0AD0">
        <w:rPr>
          <w:rFonts w:ascii="Segoe UI" w:eastAsia="Times New Roman" w:hAnsi="Segoe UI" w:cs="Segoe UI"/>
          <w:i/>
          <w:iCs/>
          <w:color w:val="0D0D0D"/>
          <w:sz w:val="24"/>
          <w:szCs w:val="24"/>
          <w:lang w:eastAsia="en-IN"/>
        </w:rPr>
        <w:t xml:space="preserve"> post-treatment. This allowed for personalized drug adjustments, significantly reducing off-target toxicity in 38% of cases and improving patient-reported outcomes by 22%.</w:t>
      </w:r>
    </w:p>
    <w:p w14:paraId="482071DD"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This case exemplifies how integrating oxidative stress assays into clinical workflows can drive evidence-based interventions and enhance therapeutic safety.</w:t>
      </w:r>
    </w:p>
    <w:p w14:paraId="3B168E93" w14:textId="77777777"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t>7. Recent Developments + Opportunities &amp; Restraints</w:t>
      </w:r>
    </w:p>
    <w:p w14:paraId="6B686D33"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Recent Developments (2023–2025)</w:t>
      </w:r>
    </w:p>
    <w:p w14:paraId="20322887" w14:textId="77777777" w:rsidR="003D0AD0" w:rsidRPr="003D0AD0" w:rsidRDefault="003D0AD0" w:rsidP="003D0AD0">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The oxidative stress assay market has witnessed a surge in innovation and strategic activity in the past two years, driven by advancements in redox research, assay miniaturization, and cross-sector collaboration.</w:t>
      </w:r>
    </w:p>
    <w:p w14:paraId="3F498534" w14:textId="1C08F397" w:rsidR="003D0AD0" w:rsidRPr="003D0AD0" w:rsidRDefault="003D0AD0" w:rsidP="003D0AD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Thermo Fisher Scientific</w:t>
      </w:r>
      <w:r w:rsidRPr="003D0AD0">
        <w:rPr>
          <w:rFonts w:ascii="Segoe UI" w:eastAsia="Times New Roman" w:hAnsi="Segoe UI" w:cs="Segoe UI"/>
          <w:color w:val="0D0D0D"/>
          <w:sz w:val="24"/>
          <w:szCs w:val="24"/>
          <w:lang w:eastAsia="en-IN"/>
        </w:rPr>
        <w:t xml:space="preserve"> launched a next-generation fluorescence-based ROS assay kit with improved detection of </w:t>
      </w:r>
      <w:proofErr w:type="spellStart"/>
      <w:r w:rsidRPr="003D0AD0">
        <w:rPr>
          <w:rFonts w:ascii="Segoe UI" w:eastAsia="Times New Roman" w:hAnsi="Segoe UI" w:cs="Segoe UI"/>
          <w:color w:val="0D0D0D"/>
          <w:sz w:val="24"/>
          <w:szCs w:val="24"/>
          <w:lang w:eastAsia="en-IN"/>
        </w:rPr>
        <w:t>peroxynitrite</w:t>
      </w:r>
      <w:proofErr w:type="spellEnd"/>
      <w:r w:rsidRPr="003D0AD0">
        <w:rPr>
          <w:rFonts w:ascii="Segoe UI" w:eastAsia="Times New Roman" w:hAnsi="Segoe UI" w:cs="Segoe UI"/>
          <w:color w:val="0D0D0D"/>
          <w:sz w:val="24"/>
          <w:szCs w:val="24"/>
          <w:lang w:eastAsia="en-IN"/>
        </w:rPr>
        <w:t xml:space="preserve"> and superoxide radicals—optimized for high-throughput screening platforms.</w:t>
      </w:r>
      <w:r w:rsidRPr="003D0AD0">
        <w:rPr>
          <w:rFonts w:ascii="Segoe UI" w:eastAsia="Times New Roman" w:hAnsi="Segoe UI" w:cs="Segoe UI"/>
          <w:color w:val="0D0D0D"/>
          <w:sz w:val="24"/>
          <w:szCs w:val="24"/>
          <w:lang w:eastAsia="en-IN"/>
        </w:rPr>
        <w:br/>
      </w:r>
    </w:p>
    <w:p w14:paraId="028804A5" w14:textId="4F48198C" w:rsidR="003D0AD0" w:rsidRPr="003D0AD0" w:rsidRDefault="003D0AD0" w:rsidP="003D0AD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lastRenderedPageBreak/>
        <w:t>Abcam</w:t>
      </w:r>
      <w:r w:rsidRPr="003D0AD0">
        <w:rPr>
          <w:rFonts w:ascii="Segoe UI" w:eastAsia="Times New Roman" w:hAnsi="Segoe UI" w:cs="Segoe UI"/>
          <w:color w:val="0D0D0D"/>
          <w:sz w:val="24"/>
          <w:szCs w:val="24"/>
          <w:lang w:eastAsia="en-IN"/>
        </w:rPr>
        <w:t> partnered with University College London (UCL) to develop novel mitochondrial stress markers applicable in neurodegenerative disease models, targeting Parkinson’s and ALS research.</w:t>
      </w:r>
      <w:r w:rsidRPr="003D0AD0">
        <w:rPr>
          <w:rFonts w:ascii="Segoe UI" w:eastAsia="Times New Roman" w:hAnsi="Segoe UI" w:cs="Segoe UI"/>
          <w:color w:val="0D0D0D"/>
          <w:sz w:val="24"/>
          <w:szCs w:val="24"/>
          <w:lang w:eastAsia="en-IN"/>
        </w:rPr>
        <w:br/>
      </w:r>
    </w:p>
    <w:p w14:paraId="3726DEDF" w14:textId="6A440A32" w:rsidR="003D0AD0" w:rsidRPr="003D0AD0" w:rsidRDefault="003D0AD0" w:rsidP="003D0AD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Cayman Chemical</w:t>
      </w:r>
      <w:r w:rsidRPr="003D0AD0">
        <w:rPr>
          <w:rFonts w:ascii="Segoe UI" w:eastAsia="Times New Roman" w:hAnsi="Segoe UI" w:cs="Segoe UI"/>
          <w:color w:val="0D0D0D"/>
          <w:sz w:val="24"/>
          <w:szCs w:val="24"/>
          <w:lang w:eastAsia="en-IN"/>
        </w:rPr>
        <w:t> introduced a lipid peroxidation-specific assay series to enhance precision in fatty acid oxidative degradation research—particularly in metabolic disease studies.</w:t>
      </w:r>
      <w:r w:rsidRPr="003D0AD0">
        <w:rPr>
          <w:rFonts w:ascii="Segoe UI" w:eastAsia="Times New Roman" w:hAnsi="Segoe UI" w:cs="Segoe UI"/>
          <w:color w:val="0D0D0D"/>
          <w:sz w:val="24"/>
          <w:szCs w:val="24"/>
          <w:lang w:eastAsia="en-IN"/>
        </w:rPr>
        <w:br/>
      </w:r>
    </w:p>
    <w:p w14:paraId="6940DBF1" w14:textId="425FA4DA" w:rsidR="003D0AD0" w:rsidRPr="003D0AD0" w:rsidRDefault="003D0AD0" w:rsidP="003D0AD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color w:val="0D0D0D"/>
          <w:sz w:val="24"/>
          <w:szCs w:val="24"/>
          <w:lang w:eastAsia="en-IN"/>
        </w:rPr>
        <w:t>A consortium of biotech firms in Japan launched a collaborative initiative to integrate oxidative stress assays into real-time microfluidic organs-on-chip models, accelerating drug testing protocols.</w:t>
      </w:r>
      <w:r w:rsidRPr="003D0AD0">
        <w:rPr>
          <w:rFonts w:ascii="Segoe UI" w:eastAsia="Times New Roman" w:hAnsi="Segoe UI" w:cs="Segoe UI"/>
          <w:color w:val="0D0D0D"/>
          <w:sz w:val="24"/>
          <w:szCs w:val="24"/>
          <w:lang w:eastAsia="en-IN"/>
        </w:rPr>
        <w:br/>
      </w:r>
    </w:p>
    <w:p w14:paraId="78428F9A" w14:textId="488C1DCA" w:rsidR="003D0AD0" w:rsidRPr="003D0AD0" w:rsidRDefault="003D0AD0" w:rsidP="003D0AD0">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Cell Biolabs</w:t>
      </w:r>
      <w:r w:rsidRPr="003D0AD0">
        <w:rPr>
          <w:rFonts w:ascii="Segoe UI" w:eastAsia="Times New Roman" w:hAnsi="Segoe UI" w:cs="Segoe UI"/>
          <w:color w:val="0D0D0D"/>
          <w:sz w:val="24"/>
          <w:szCs w:val="24"/>
          <w:lang w:eastAsia="en-IN"/>
        </w:rPr>
        <w:t> expanded its product line to include real-time cell imaging-based stress detection kits tailored for regenerative medicine and stem cell applications.</w:t>
      </w:r>
      <w:r w:rsidRPr="003D0AD0">
        <w:rPr>
          <w:rFonts w:ascii="Segoe UI" w:eastAsia="Times New Roman" w:hAnsi="Segoe UI" w:cs="Segoe UI"/>
          <w:color w:val="0D0D0D"/>
          <w:sz w:val="24"/>
          <w:szCs w:val="24"/>
          <w:lang w:eastAsia="en-IN"/>
        </w:rPr>
        <w:br/>
      </w:r>
    </w:p>
    <w:p w14:paraId="2C8C0C18"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CA81437">
          <v:rect id="_x0000_i1037" style="width:0;height:0" o:hralign="center" o:hrstd="t" o:hrnoshade="t" o:hr="t" fillcolor="#0d0d0d" stroked="f"/>
        </w:pict>
      </w:r>
    </w:p>
    <w:p w14:paraId="13B8C605"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Opportunities</w:t>
      </w:r>
    </w:p>
    <w:p w14:paraId="3291645E" w14:textId="77777777" w:rsidR="003D0AD0" w:rsidRPr="003D0AD0" w:rsidRDefault="003D0AD0" w:rsidP="003D0AD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Integration into Personalized Medicine Platforms</w:t>
      </w:r>
      <w:r w:rsidRPr="003D0AD0">
        <w:rPr>
          <w:rFonts w:ascii="Segoe UI" w:eastAsia="Times New Roman" w:hAnsi="Segoe UI" w:cs="Segoe UI"/>
          <w:color w:val="0D0D0D"/>
          <w:sz w:val="24"/>
          <w:szCs w:val="24"/>
          <w:lang w:eastAsia="en-IN"/>
        </w:rPr>
        <w:br/>
        <w:t>As precision health moves toward biomarker-driven approaches, oxidative stress assays are poised to become essential for </w:t>
      </w:r>
      <w:r w:rsidRPr="003D0AD0">
        <w:rPr>
          <w:rFonts w:ascii="Segoe UI" w:eastAsia="Times New Roman" w:hAnsi="Segoe UI" w:cs="Segoe UI"/>
          <w:b/>
          <w:bCs/>
          <w:color w:val="0D0D0D"/>
          <w:sz w:val="24"/>
          <w:szCs w:val="24"/>
          <w:lang w:eastAsia="en-IN"/>
        </w:rPr>
        <w:t>monitoring disease progression</w:t>
      </w:r>
      <w:r w:rsidRPr="003D0AD0">
        <w:rPr>
          <w:rFonts w:ascii="Segoe UI" w:eastAsia="Times New Roman" w:hAnsi="Segoe UI" w:cs="Segoe UI"/>
          <w:color w:val="0D0D0D"/>
          <w:sz w:val="24"/>
          <w:szCs w:val="24"/>
          <w:lang w:eastAsia="en-IN"/>
        </w:rPr>
        <w:t>, </w:t>
      </w:r>
      <w:r w:rsidRPr="003D0AD0">
        <w:rPr>
          <w:rFonts w:ascii="Segoe UI" w:eastAsia="Times New Roman" w:hAnsi="Segoe UI" w:cs="Segoe UI"/>
          <w:b/>
          <w:bCs/>
          <w:color w:val="0D0D0D"/>
          <w:sz w:val="24"/>
          <w:szCs w:val="24"/>
          <w:lang w:eastAsia="en-IN"/>
        </w:rPr>
        <w:t>assessing therapeutic response</w:t>
      </w:r>
      <w:r w:rsidRPr="003D0AD0">
        <w:rPr>
          <w:rFonts w:ascii="Segoe UI" w:eastAsia="Times New Roman" w:hAnsi="Segoe UI" w:cs="Segoe UI"/>
          <w:color w:val="0D0D0D"/>
          <w:sz w:val="24"/>
          <w:szCs w:val="24"/>
          <w:lang w:eastAsia="en-IN"/>
        </w:rPr>
        <w:t>, and </w:t>
      </w:r>
      <w:r w:rsidRPr="003D0AD0">
        <w:rPr>
          <w:rFonts w:ascii="Segoe UI" w:eastAsia="Times New Roman" w:hAnsi="Segoe UI" w:cs="Segoe UI"/>
          <w:b/>
          <w:bCs/>
          <w:color w:val="0D0D0D"/>
          <w:sz w:val="24"/>
          <w:szCs w:val="24"/>
          <w:lang w:eastAsia="en-IN"/>
        </w:rPr>
        <w:t>customizing treatment regimens</w:t>
      </w:r>
      <w:r w:rsidRPr="003D0AD0">
        <w:rPr>
          <w:rFonts w:ascii="Segoe UI" w:eastAsia="Times New Roman" w:hAnsi="Segoe UI" w:cs="Segoe UI"/>
          <w:color w:val="0D0D0D"/>
          <w:sz w:val="24"/>
          <w:szCs w:val="24"/>
          <w:lang w:eastAsia="en-IN"/>
        </w:rPr>
        <w:t>—particularly in oncology, immunology, and neurodegeneration.</w:t>
      </w:r>
    </w:p>
    <w:p w14:paraId="0EC4269E" w14:textId="77777777" w:rsidR="003D0AD0" w:rsidRPr="003D0AD0" w:rsidRDefault="003D0AD0" w:rsidP="003D0AD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Growth in Environmental and Nutritional Toxicology</w:t>
      </w:r>
      <w:r w:rsidRPr="003D0AD0">
        <w:rPr>
          <w:rFonts w:ascii="Segoe UI" w:eastAsia="Times New Roman" w:hAnsi="Segoe UI" w:cs="Segoe UI"/>
          <w:color w:val="0D0D0D"/>
          <w:sz w:val="24"/>
          <w:szCs w:val="24"/>
          <w:lang w:eastAsia="en-IN"/>
        </w:rPr>
        <w:br/>
        <w:t>Increased awareness about environmental pollutants, heavy metals, and dietary oxidants is driving assay demand across </w:t>
      </w:r>
      <w:r w:rsidRPr="003D0AD0">
        <w:rPr>
          <w:rFonts w:ascii="Segoe UI" w:eastAsia="Times New Roman" w:hAnsi="Segoe UI" w:cs="Segoe UI"/>
          <w:b/>
          <w:bCs/>
          <w:color w:val="0D0D0D"/>
          <w:sz w:val="24"/>
          <w:szCs w:val="24"/>
          <w:lang w:eastAsia="en-IN"/>
        </w:rPr>
        <w:t>public health labs, academic consortia, and food safety agencies</w:t>
      </w:r>
      <w:r w:rsidRPr="003D0AD0">
        <w:rPr>
          <w:rFonts w:ascii="Segoe UI" w:eastAsia="Times New Roman" w:hAnsi="Segoe UI" w:cs="Segoe UI"/>
          <w:color w:val="0D0D0D"/>
          <w:sz w:val="24"/>
          <w:szCs w:val="24"/>
          <w:lang w:eastAsia="en-IN"/>
        </w:rPr>
        <w:t>, especially in Asia and Latin America.</w:t>
      </w:r>
    </w:p>
    <w:p w14:paraId="160A4548" w14:textId="77777777" w:rsidR="003D0AD0" w:rsidRPr="003D0AD0" w:rsidRDefault="003D0AD0" w:rsidP="003D0AD0">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AI and Image-Based Assay Automation</w:t>
      </w:r>
      <w:r w:rsidRPr="003D0AD0">
        <w:rPr>
          <w:rFonts w:ascii="Segoe UI" w:eastAsia="Times New Roman" w:hAnsi="Segoe UI" w:cs="Segoe UI"/>
          <w:color w:val="0D0D0D"/>
          <w:sz w:val="24"/>
          <w:szCs w:val="24"/>
          <w:lang w:eastAsia="en-IN"/>
        </w:rPr>
        <w:br/>
        <w:t>The incorporation of </w:t>
      </w:r>
      <w:r w:rsidRPr="003D0AD0">
        <w:rPr>
          <w:rFonts w:ascii="Segoe UI" w:eastAsia="Times New Roman" w:hAnsi="Segoe UI" w:cs="Segoe UI"/>
          <w:b/>
          <w:bCs/>
          <w:color w:val="0D0D0D"/>
          <w:sz w:val="24"/>
          <w:szCs w:val="24"/>
          <w:lang w:eastAsia="en-IN"/>
        </w:rPr>
        <w:t>AI for data interpretation</w:t>
      </w:r>
      <w:r w:rsidRPr="003D0AD0">
        <w:rPr>
          <w:rFonts w:ascii="Segoe UI" w:eastAsia="Times New Roman" w:hAnsi="Segoe UI" w:cs="Segoe UI"/>
          <w:color w:val="0D0D0D"/>
          <w:sz w:val="24"/>
          <w:szCs w:val="24"/>
          <w:lang w:eastAsia="en-IN"/>
        </w:rPr>
        <w:t> from oxidative damage imaging (e.g., fluorescent microscopy, flow cytometry) will dramatically </w:t>
      </w:r>
      <w:r w:rsidRPr="003D0AD0">
        <w:rPr>
          <w:rFonts w:ascii="Segoe UI" w:eastAsia="Times New Roman" w:hAnsi="Segoe UI" w:cs="Segoe UI"/>
          <w:b/>
          <w:bCs/>
          <w:color w:val="0D0D0D"/>
          <w:sz w:val="24"/>
          <w:szCs w:val="24"/>
          <w:lang w:eastAsia="en-IN"/>
        </w:rPr>
        <w:t>reduce error rates and enhance scalability</w:t>
      </w:r>
      <w:r w:rsidRPr="003D0AD0">
        <w:rPr>
          <w:rFonts w:ascii="Segoe UI" w:eastAsia="Times New Roman" w:hAnsi="Segoe UI" w:cs="Segoe UI"/>
          <w:color w:val="0D0D0D"/>
          <w:sz w:val="24"/>
          <w:szCs w:val="24"/>
          <w:lang w:eastAsia="en-IN"/>
        </w:rPr>
        <w:t>, particularly in CROs and clinical trials.</w:t>
      </w:r>
    </w:p>
    <w:p w14:paraId="23109261"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071C6C4F">
          <v:rect id="_x0000_i1038" style="width:0;height:0" o:hralign="center" o:hrstd="t" o:hrnoshade="t" o:hr="t" fillcolor="#0d0d0d" stroked="f"/>
        </w:pict>
      </w:r>
    </w:p>
    <w:p w14:paraId="4DCC680E" w14:textId="77777777" w:rsidR="003D0AD0" w:rsidRPr="003D0AD0" w:rsidRDefault="003D0AD0" w:rsidP="003D0AD0">
      <w:pPr>
        <w:shd w:val="clear" w:color="auto" w:fill="FFFFFF"/>
        <w:spacing w:after="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Restraints</w:t>
      </w:r>
    </w:p>
    <w:p w14:paraId="35C0D29A" w14:textId="77777777" w:rsidR="003D0AD0" w:rsidRPr="003D0AD0" w:rsidRDefault="003D0AD0" w:rsidP="003D0AD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lastRenderedPageBreak/>
        <w:t>High Capital Cost and Equipment Dependency</w:t>
      </w:r>
      <w:r w:rsidRPr="003D0AD0">
        <w:rPr>
          <w:rFonts w:ascii="Segoe UI" w:eastAsia="Times New Roman" w:hAnsi="Segoe UI" w:cs="Segoe UI"/>
          <w:color w:val="0D0D0D"/>
          <w:sz w:val="24"/>
          <w:szCs w:val="24"/>
          <w:lang w:eastAsia="en-IN"/>
        </w:rPr>
        <w:br/>
        <w:t>Many oxidative stress assays require specialized readers and detection platforms. This creates </w:t>
      </w:r>
      <w:r w:rsidRPr="003D0AD0">
        <w:rPr>
          <w:rFonts w:ascii="Segoe UI" w:eastAsia="Times New Roman" w:hAnsi="Segoe UI" w:cs="Segoe UI"/>
          <w:b/>
          <w:bCs/>
          <w:color w:val="0D0D0D"/>
          <w:sz w:val="24"/>
          <w:szCs w:val="24"/>
          <w:lang w:eastAsia="en-IN"/>
        </w:rPr>
        <w:t>high initial costs</w:t>
      </w:r>
      <w:r w:rsidRPr="003D0AD0">
        <w:rPr>
          <w:rFonts w:ascii="Segoe UI" w:eastAsia="Times New Roman" w:hAnsi="Segoe UI" w:cs="Segoe UI"/>
          <w:color w:val="0D0D0D"/>
          <w:sz w:val="24"/>
          <w:szCs w:val="24"/>
          <w:lang w:eastAsia="en-IN"/>
        </w:rPr>
        <w:t> for labs in developing regions and </w:t>
      </w:r>
      <w:r w:rsidRPr="003D0AD0">
        <w:rPr>
          <w:rFonts w:ascii="Segoe UI" w:eastAsia="Times New Roman" w:hAnsi="Segoe UI" w:cs="Segoe UI"/>
          <w:b/>
          <w:bCs/>
          <w:color w:val="0D0D0D"/>
          <w:sz w:val="24"/>
          <w:szCs w:val="24"/>
          <w:lang w:eastAsia="en-IN"/>
        </w:rPr>
        <w:t>slows adoption</w:t>
      </w:r>
      <w:r w:rsidRPr="003D0AD0">
        <w:rPr>
          <w:rFonts w:ascii="Segoe UI" w:eastAsia="Times New Roman" w:hAnsi="Segoe UI" w:cs="Segoe UI"/>
          <w:color w:val="0D0D0D"/>
          <w:sz w:val="24"/>
          <w:szCs w:val="24"/>
          <w:lang w:eastAsia="en-IN"/>
        </w:rPr>
        <w:t> in smaller diagnostic settings.</w:t>
      </w:r>
    </w:p>
    <w:p w14:paraId="415C3EE7" w14:textId="77777777" w:rsidR="003D0AD0" w:rsidRPr="003D0AD0" w:rsidRDefault="003D0AD0" w:rsidP="003D0AD0">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Lack of Regulatory Standardization</w:t>
      </w:r>
      <w:r w:rsidRPr="003D0AD0">
        <w:rPr>
          <w:rFonts w:ascii="Segoe UI" w:eastAsia="Times New Roman" w:hAnsi="Segoe UI" w:cs="Segoe UI"/>
          <w:color w:val="0D0D0D"/>
          <w:sz w:val="24"/>
          <w:szCs w:val="24"/>
          <w:lang w:eastAsia="en-IN"/>
        </w:rPr>
        <w:br/>
        <w:t>While promising, the field lacks </w:t>
      </w:r>
      <w:r w:rsidRPr="003D0AD0">
        <w:rPr>
          <w:rFonts w:ascii="Segoe UI" w:eastAsia="Times New Roman" w:hAnsi="Segoe UI" w:cs="Segoe UI"/>
          <w:b/>
          <w:bCs/>
          <w:color w:val="0D0D0D"/>
          <w:sz w:val="24"/>
          <w:szCs w:val="24"/>
          <w:lang w:eastAsia="en-IN"/>
        </w:rPr>
        <w:t>universal regulatory validation protocols</w:t>
      </w:r>
      <w:r w:rsidRPr="003D0AD0">
        <w:rPr>
          <w:rFonts w:ascii="Segoe UI" w:eastAsia="Times New Roman" w:hAnsi="Segoe UI" w:cs="Segoe UI"/>
          <w:color w:val="0D0D0D"/>
          <w:sz w:val="24"/>
          <w:szCs w:val="24"/>
          <w:lang w:eastAsia="en-IN"/>
        </w:rPr>
        <w:t> for oxidative stress biomarkers, limiting their broader clinical utility and delaying integration into diagnostic panels.</w:t>
      </w:r>
    </w:p>
    <w:p w14:paraId="0AE5FF69"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873BC95">
          <v:rect id="_x0000_i1039" style="width:0;height:0" o:hralign="center" o:hrstd="t" o:hrnoshade="t" o:hr="t" fillcolor="#0d0d0d" stroked="f"/>
        </w:pict>
      </w:r>
    </w:p>
    <w:p w14:paraId="34840A4E"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i/>
          <w:iCs/>
          <w:color w:val="0D0D0D"/>
          <w:sz w:val="24"/>
          <w:szCs w:val="24"/>
          <w:lang w:eastAsia="en-IN"/>
        </w:rPr>
        <w:t>The current landscape reveals a market on the edge of broader clinical relevance. With key breakthroughs in automation, standardization, and cross-industry collaboration, oxidative stress assays are likely to transition from research staples to frontline diagnostic tools within the decade.</w:t>
      </w:r>
    </w:p>
    <w:p w14:paraId="59923F3C" w14:textId="77777777" w:rsidR="00AB0EBE" w:rsidRDefault="00AB0EBE">
      <w:pPr>
        <w:rPr>
          <w:rFonts w:ascii="Segoe UI" w:eastAsia="Times New Roman" w:hAnsi="Segoe UI" w:cs="Segoe UI"/>
          <w:b/>
          <w:bCs/>
          <w:color w:val="0D0D0D"/>
          <w:sz w:val="36"/>
          <w:szCs w:val="36"/>
          <w:lang w:eastAsia="en-IN"/>
        </w:rPr>
      </w:pPr>
      <w:r>
        <w:rPr>
          <w:rFonts w:ascii="Segoe UI" w:eastAsia="Times New Roman" w:hAnsi="Segoe UI" w:cs="Segoe UI"/>
          <w:b/>
          <w:bCs/>
          <w:color w:val="0D0D0D"/>
          <w:sz w:val="36"/>
          <w:szCs w:val="36"/>
          <w:lang w:eastAsia="en-IN"/>
        </w:rPr>
        <w:br w:type="page"/>
      </w:r>
    </w:p>
    <w:p w14:paraId="074A23A5" w14:textId="76CE0B3E" w:rsidR="003D0AD0" w:rsidRPr="003D0AD0" w:rsidRDefault="003D0AD0" w:rsidP="003D0AD0">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3D0AD0">
        <w:rPr>
          <w:rFonts w:ascii="Segoe UI" w:eastAsia="Times New Roman" w:hAnsi="Segoe UI" w:cs="Segoe UI"/>
          <w:b/>
          <w:bCs/>
          <w:color w:val="0D0D0D"/>
          <w:sz w:val="36"/>
          <w:szCs w:val="36"/>
          <w:lang w:eastAsia="en-IN"/>
        </w:rPr>
        <w:lastRenderedPageBreak/>
        <w:t>8. Report Summary, FAQs, and SEO Schema</w:t>
      </w:r>
    </w:p>
    <w:p w14:paraId="42461475"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A. Report Title</w:t>
      </w:r>
    </w:p>
    <w:p w14:paraId="158BAA18"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 xml:space="preserve">Oxidative Stress Assay Market </w:t>
      </w:r>
      <w:proofErr w:type="gramStart"/>
      <w:r w:rsidRPr="003D0AD0">
        <w:rPr>
          <w:rFonts w:ascii="Segoe UI" w:eastAsia="Times New Roman" w:hAnsi="Segoe UI" w:cs="Segoe UI"/>
          <w:b/>
          <w:bCs/>
          <w:color w:val="0D0D0D"/>
          <w:sz w:val="24"/>
          <w:szCs w:val="24"/>
          <w:lang w:eastAsia="en-IN"/>
        </w:rPr>
        <w:t>By</w:t>
      </w:r>
      <w:proofErr w:type="gramEnd"/>
      <w:r w:rsidRPr="003D0AD0">
        <w:rPr>
          <w:rFonts w:ascii="Segoe UI" w:eastAsia="Times New Roman" w:hAnsi="Segoe UI" w:cs="Segoe UI"/>
          <w:b/>
          <w:bCs/>
          <w:color w:val="0D0D0D"/>
          <w:sz w:val="24"/>
          <w:szCs w:val="24"/>
          <w:lang w:eastAsia="en-IN"/>
        </w:rPr>
        <w:t xml:space="preserve"> Product Type (Consumables, Instruments); By Assay Type (Indirect Assays, Direct Assays); By Application (Drug Discovery &amp; Preclinical Research, Clinical Diagnostics, Toxicology Testing, Nutraceutical and Cosmetic Testing); By End User (Pharmaceutical &amp; Biotechnology Companies, Academic &amp; Research Institutes, CROs, Hospitals and Diagnostic Labs); By Geography, Segment Revenue Estimation, Forecast, 2024–2030</w:t>
      </w:r>
    </w:p>
    <w:p w14:paraId="2A09092D"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341A3250">
          <v:rect id="_x0000_i1043" style="width:0;height:0" o:hralign="center" o:hrstd="t" o:hrnoshade="t" o:hr="t" fillcolor="#0d0d0d" stroked="f"/>
        </w:pict>
      </w:r>
    </w:p>
    <w:p w14:paraId="37B1CE80"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A.2. SEO URL Slug Format</w:t>
      </w:r>
    </w:p>
    <w:p w14:paraId="3B4BE575"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oxidative stress assay market</w:t>
      </w:r>
    </w:p>
    <w:p w14:paraId="69AE94FD"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C08E3C1">
          <v:rect id="_x0000_i1044" style="width:0;height:0" o:hralign="center" o:hrstd="t" o:hrnoshade="t" o:hr="t" fillcolor="#0d0d0d" stroked="f"/>
        </w:pict>
      </w:r>
    </w:p>
    <w:p w14:paraId="6996A5CB"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A.3. SEO Page Title Format</w:t>
      </w:r>
    </w:p>
    <w:p w14:paraId="53634E90" w14:textId="77777777" w:rsidR="003D0AD0" w:rsidRPr="003D0AD0" w:rsidRDefault="003D0AD0" w:rsidP="003D0AD0">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3D0AD0">
        <w:rPr>
          <w:rFonts w:ascii="Segoe UI" w:eastAsia="Times New Roman" w:hAnsi="Segoe UI" w:cs="Segoe UI"/>
          <w:b/>
          <w:bCs/>
          <w:color w:val="0D0D0D"/>
          <w:sz w:val="24"/>
          <w:szCs w:val="24"/>
          <w:lang w:eastAsia="en-IN"/>
        </w:rPr>
        <w:t>Oxidative Stress Assay Market Size ($2.36 Billion) 2030</w:t>
      </w:r>
    </w:p>
    <w:p w14:paraId="23C9C0C8"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2C1641E6">
          <v:rect id="_x0000_i1045" style="width:0;height:0" o:hralign="center" o:hrstd="t" o:hrnoshade="t" o:hr="t" fillcolor="#0d0d0d" stroked="f"/>
        </w:pict>
      </w:r>
    </w:p>
    <w:p w14:paraId="0DF583AA"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5"/>
        <w:gridCol w:w="6955"/>
      </w:tblGrid>
      <w:tr w:rsidR="003D0AD0" w:rsidRPr="003D0AD0" w14:paraId="1C1347EF" w14:textId="77777777" w:rsidTr="003D0AD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1EC8BD6B" w14:textId="77777777" w:rsidR="003D0AD0" w:rsidRPr="003D0AD0" w:rsidRDefault="003D0AD0" w:rsidP="003D0AD0">
            <w:pPr>
              <w:spacing w:after="0" w:line="240" w:lineRule="atLeast"/>
              <w:jc w:val="center"/>
              <w:rPr>
                <w:rFonts w:ascii="Times New Roman" w:eastAsia="Times New Roman" w:hAnsi="Times New Roman" w:cs="Times New Roman"/>
                <w:b/>
                <w:bCs/>
                <w:color w:val="0D0D0D"/>
                <w:sz w:val="21"/>
                <w:szCs w:val="21"/>
                <w:lang w:eastAsia="en-IN"/>
              </w:rPr>
            </w:pPr>
            <w:r w:rsidRPr="003D0AD0">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176F3E" w14:textId="77777777" w:rsidR="003D0AD0" w:rsidRPr="003D0AD0" w:rsidRDefault="003D0AD0" w:rsidP="003D0AD0">
            <w:pPr>
              <w:spacing w:after="0" w:line="240" w:lineRule="atLeast"/>
              <w:jc w:val="center"/>
              <w:rPr>
                <w:rFonts w:ascii="Times New Roman" w:eastAsia="Times New Roman" w:hAnsi="Times New Roman" w:cs="Times New Roman"/>
                <w:b/>
                <w:bCs/>
                <w:color w:val="0D0D0D"/>
                <w:sz w:val="21"/>
                <w:szCs w:val="21"/>
                <w:lang w:eastAsia="en-IN"/>
              </w:rPr>
            </w:pPr>
            <w:r w:rsidRPr="003D0AD0">
              <w:rPr>
                <w:rFonts w:ascii="Times New Roman" w:eastAsia="Times New Roman" w:hAnsi="Times New Roman" w:cs="Times New Roman"/>
                <w:b/>
                <w:bCs/>
                <w:color w:val="0D0D0D"/>
                <w:sz w:val="21"/>
                <w:szCs w:val="21"/>
                <w:lang w:eastAsia="en-IN"/>
              </w:rPr>
              <w:t>Details</w:t>
            </w:r>
          </w:p>
        </w:tc>
      </w:tr>
      <w:tr w:rsidR="003D0AD0" w:rsidRPr="003D0AD0" w14:paraId="2DC3E811"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ABB6E5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84191A"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2024 – 2030</w:t>
            </w:r>
          </w:p>
        </w:tc>
      </w:tr>
      <w:tr w:rsidR="003D0AD0" w:rsidRPr="003D0AD0" w14:paraId="71FD8872"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FAAA42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67323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b/>
                <w:bCs/>
                <w:color w:val="0D0D0D"/>
                <w:sz w:val="21"/>
                <w:szCs w:val="21"/>
                <w:lang w:eastAsia="en-IN"/>
              </w:rPr>
              <w:t>USD 1.42 Billion</w:t>
            </w:r>
          </w:p>
        </w:tc>
      </w:tr>
      <w:tr w:rsidR="003D0AD0" w:rsidRPr="003D0AD0" w14:paraId="6C277F0E"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66866EA"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40EF4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b/>
                <w:bCs/>
                <w:color w:val="0D0D0D"/>
                <w:sz w:val="21"/>
                <w:szCs w:val="21"/>
                <w:lang w:eastAsia="en-IN"/>
              </w:rPr>
              <w:t>USD 2.36 Billion</w:t>
            </w:r>
          </w:p>
        </w:tc>
      </w:tr>
      <w:tr w:rsidR="003D0AD0" w:rsidRPr="003D0AD0" w14:paraId="76B5F77F"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242323F"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8E85F7"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b/>
                <w:bCs/>
                <w:color w:val="0D0D0D"/>
                <w:sz w:val="21"/>
                <w:szCs w:val="21"/>
                <w:lang w:eastAsia="en-IN"/>
              </w:rPr>
              <w:t>CAGR of 8.9% (2024 – 2030)</w:t>
            </w:r>
          </w:p>
        </w:tc>
      </w:tr>
      <w:tr w:rsidR="003D0AD0" w:rsidRPr="003D0AD0" w14:paraId="40177B60"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DE4A7C4"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04ED7D"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2023</w:t>
            </w:r>
          </w:p>
        </w:tc>
      </w:tr>
      <w:tr w:rsidR="003D0AD0" w:rsidRPr="003D0AD0" w14:paraId="761CE92B"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FE4D6BC"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0EC15D"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2017 – 2021</w:t>
            </w:r>
          </w:p>
        </w:tc>
      </w:tr>
      <w:tr w:rsidR="003D0AD0" w:rsidRPr="003D0AD0" w14:paraId="3EED639F"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E2A1566"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83D0C8"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USD Million, CAGR (2024 – 2030)</w:t>
            </w:r>
          </w:p>
        </w:tc>
      </w:tr>
      <w:tr w:rsidR="003D0AD0" w:rsidRPr="003D0AD0" w14:paraId="59E9131F"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41391DF"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CFD9F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Product Type, By Assay Type, By Application, By End User, By Geography</w:t>
            </w:r>
          </w:p>
        </w:tc>
      </w:tr>
      <w:tr w:rsidR="003D0AD0" w:rsidRPr="003D0AD0" w14:paraId="358182DB"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D8F6FFD"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C8340B"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Consumables, Instruments</w:t>
            </w:r>
          </w:p>
        </w:tc>
      </w:tr>
      <w:tr w:rsidR="003D0AD0" w:rsidRPr="003D0AD0" w14:paraId="1E7F12BA"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485E4E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Assay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AA2CA1"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Indirect Assays, Direct Assays</w:t>
            </w:r>
          </w:p>
        </w:tc>
      </w:tr>
      <w:tr w:rsidR="003D0AD0" w:rsidRPr="003D0AD0" w14:paraId="78506816"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BFE352D"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Application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4ABD64"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Drug Discovery &amp; Preclinical Research, Clinical Diagnostics, Toxicology Testing, Nutraceutical and Cosmetic Testing</w:t>
            </w:r>
          </w:p>
        </w:tc>
      </w:tr>
      <w:tr w:rsidR="003D0AD0" w:rsidRPr="003D0AD0" w14:paraId="6FBF90BA"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FB60E2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48BE76"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Pharmaceutical &amp; Biotechnology Companies, Academic &amp; Research Institutes, CROs, Hospitals and Diagnostic Labs</w:t>
            </w:r>
          </w:p>
        </w:tc>
      </w:tr>
      <w:tr w:rsidR="003D0AD0" w:rsidRPr="003D0AD0" w14:paraId="20A6C27C"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32023F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0F651D"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North America, Europe, Asia-Pacific, Latin America, Middle East &amp; Africa</w:t>
            </w:r>
          </w:p>
        </w:tc>
      </w:tr>
      <w:tr w:rsidR="003D0AD0" w:rsidRPr="003D0AD0" w14:paraId="1B552377"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7FC45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9B5D4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U.S., UK, Germany, China, India, Japan, Brazil, etc.</w:t>
            </w:r>
          </w:p>
        </w:tc>
      </w:tr>
      <w:tr w:rsidR="003D0AD0" w:rsidRPr="003D0AD0" w14:paraId="0527B8D1"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C3E3D16"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BA38F3"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Growth in redox biology research; rising R&amp;D in chronic diseases; advancements in assay technologies</w:t>
            </w:r>
          </w:p>
        </w:tc>
      </w:tr>
      <w:tr w:rsidR="003D0AD0" w:rsidRPr="003D0AD0" w14:paraId="65D0B5D8" w14:textId="77777777" w:rsidTr="003D0AD0">
        <w:trPr>
          <w:tblCellSpacing w:w="15" w:type="dxa"/>
        </w:trPr>
        <w:tc>
          <w:tcPr>
            <w:tcW w:w="0" w:type="auto"/>
            <w:tcMar>
              <w:top w:w="137" w:type="dxa"/>
              <w:left w:w="0" w:type="dxa"/>
              <w:bottom w:w="360" w:type="dxa"/>
              <w:right w:w="137" w:type="dxa"/>
            </w:tcMar>
            <w:vAlign w:val="bottom"/>
            <w:hideMark/>
          </w:tcPr>
          <w:p w14:paraId="5FE9EB09"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2BEAB28E"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Available upon request</w:t>
            </w:r>
          </w:p>
        </w:tc>
      </w:tr>
    </w:tbl>
    <w:p w14:paraId="12DD0B85"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6CEAE5D9">
          <v:rect id="_x0000_i1046" style="width:0;height:0" o:hralign="center" o:hrstd="t" o:hrnoshade="t" o:hr="t" fillcolor="#0d0d0d" stroked="f"/>
        </w:pict>
      </w:r>
    </w:p>
    <w:p w14:paraId="450F9DF2"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C. Top 5 FAQs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8"/>
        <w:gridCol w:w="5682"/>
      </w:tblGrid>
      <w:tr w:rsidR="003D0AD0" w:rsidRPr="003D0AD0" w14:paraId="73170FDC" w14:textId="77777777" w:rsidTr="003D0AD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032B2256" w14:textId="77777777" w:rsidR="003D0AD0" w:rsidRPr="003D0AD0" w:rsidRDefault="003D0AD0" w:rsidP="003D0AD0">
            <w:pPr>
              <w:spacing w:after="0" w:line="240" w:lineRule="atLeast"/>
              <w:jc w:val="center"/>
              <w:rPr>
                <w:rFonts w:ascii="Times New Roman" w:eastAsia="Times New Roman" w:hAnsi="Times New Roman" w:cs="Times New Roman"/>
                <w:b/>
                <w:bCs/>
                <w:color w:val="0D0D0D"/>
                <w:sz w:val="21"/>
                <w:szCs w:val="21"/>
                <w:lang w:eastAsia="en-IN"/>
              </w:rPr>
            </w:pPr>
            <w:r w:rsidRPr="003D0AD0">
              <w:rPr>
                <w:rFonts w:ascii="Times New Roman" w:eastAsia="Times New Roman" w:hAnsi="Times New Roman" w:cs="Times New Roman"/>
                <w:b/>
                <w:bCs/>
                <w:color w:val="0D0D0D"/>
                <w:sz w:val="21"/>
                <w:szCs w:val="21"/>
                <w:lang w:eastAsia="en-IN"/>
              </w:rPr>
              <w:t>Question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D0F36B" w14:textId="77777777" w:rsidR="003D0AD0" w:rsidRPr="003D0AD0" w:rsidRDefault="003D0AD0" w:rsidP="003D0AD0">
            <w:pPr>
              <w:spacing w:after="0" w:line="240" w:lineRule="atLeast"/>
              <w:jc w:val="center"/>
              <w:rPr>
                <w:rFonts w:ascii="Times New Roman" w:eastAsia="Times New Roman" w:hAnsi="Times New Roman" w:cs="Times New Roman"/>
                <w:b/>
                <w:bCs/>
                <w:color w:val="0D0D0D"/>
                <w:sz w:val="21"/>
                <w:szCs w:val="21"/>
                <w:lang w:eastAsia="en-IN"/>
              </w:rPr>
            </w:pPr>
            <w:r w:rsidRPr="003D0AD0">
              <w:rPr>
                <w:rFonts w:ascii="Times New Roman" w:eastAsia="Times New Roman" w:hAnsi="Times New Roman" w:cs="Times New Roman"/>
                <w:b/>
                <w:bCs/>
                <w:color w:val="0D0D0D"/>
                <w:sz w:val="21"/>
                <w:szCs w:val="21"/>
                <w:lang w:eastAsia="en-IN"/>
              </w:rPr>
              <w:t>Answer</w:t>
            </w:r>
          </w:p>
        </w:tc>
      </w:tr>
      <w:tr w:rsidR="003D0AD0" w:rsidRPr="003D0AD0" w14:paraId="63D222A2"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56C86069"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How big is the oxidative stress assay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276ECA"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The global oxidative stress assay market was valued at </w:t>
            </w:r>
            <w:r w:rsidRPr="003D0AD0">
              <w:rPr>
                <w:rFonts w:ascii="Times New Roman" w:eastAsia="Times New Roman" w:hAnsi="Times New Roman" w:cs="Times New Roman"/>
                <w:b/>
                <w:bCs/>
                <w:color w:val="0D0D0D"/>
                <w:sz w:val="21"/>
                <w:szCs w:val="21"/>
                <w:lang w:eastAsia="en-IN"/>
              </w:rPr>
              <w:t>USD 1.42 billion in 2024</w:t>
            </w:r>
            <w:r w:rsidRPr="003D0AD0">
              <w:rPr>
                <w:rFonts w:ascii="Times New Roman" w:eastAsia="Times New Roman" w:hAnsi="Times New Roman" w:cs="Times New Roman"/>
                <w:sz w:val="21"/>
                <w:szCs w:val="21"/>
                <w:lang w:eastAsia="en-IN"/>
              </w:rPr>
              <w:t>.</w:t>
            </w:r>
          </w:p>
        </w:tc>
      </w:tr>
      <w:tr w:rsidR="003D0AD0" w:rsidRPr="003D0AD0" w14:paraId="62334202"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F87863C"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What is the CAGR for oxidative stress assay during the 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35560E"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The oxidative stress assay market is expected to grow at a </w:t>
            </w:r>
            <w:r w:rsidRPr="003D0AD0">
              <w:rPr>
                <w:rFonts w:ascii="Times New Roman" w:eastAsia="Times New Roman" w:hAnsi="Times New Roman" w:cs="Times New Roman"/>
                <w:b/>
                <w:bCs/>
                <w:color w:val="0D0D0D"/>
                <w:sz w:val="21"/>
                <w:szCs w:val="21"/>
                <w:lang w:eastAsia="en-IN"/>
              </w:rPr>
              <w:t>CAGR of 8.9% from 2024 to 2030</w:t>
            </w:r>
            <w:r w:rsidRPr="003D0AD0">
              <w:rPr>
                <w:rFonts w:ascii="Times New Roman" w:eastAsia="Times New Roman" w:hAnsi="Times New Roman" w:cs="Times New Roman"/>
                <w:sz w:val="21"/>
                <w:szCs w:val="21"/>
                <w:lang w:eastAsia="en-IN"/>
              </w:rPr>
              <w:t>.</w:t>
            </w:r>
          </w:p>
        </w:tc>
      </w:tr>
      <w:tr w:rsidR="003D0AD0" w:rsidRPr="003D0AD0" w14:paraId="1EB4C676"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782848"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lastRenderedPageBreak/>
              <w:t>Who are the major players in the oxidative stress assay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AE3F08"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Leading players include </w:t>
            </w:r>
            <w:r w:rsidRPr="003D0AD0">
              <w:rPr>
                <w:rFonts w:ascii="Times New Roman" w:eastAsia="Times New Roman" w:hAnsi="Times New Roman" w:cs="Times New Roman"/>
                <w:b/>
                <w:bCs/>
                <w:color w:val="0D0D0D"/>
                <w:sz w:val="21"/>
                <w:szCs w:val="21"/>
                <w:lang w:eastAsia="en-IN"/>
              </w:rPr>
              <w:t xml:space="preserve">Abcam, Thermo Fisher Scientific, Merck </w:t>
            </w:r>
            <w:proofErr w:type="spellStart"/>
            <w:r w:rsidRPr="003D0AD0">
              <w:rPr>
                <w:rFonts w:ascii="Times New Roman" w:eastAsia="Times New Roman" w:hAnsi="Times New Roman" w:cs="Times New Roman"/>
                <w:b/>
                <w:bCs/>
                <w:color w:val="0D0D0D"/>
                <w:sz w:val="21"/>
                <w:szCs w:val="21"/>
                <w:lang w:eastAsia="en-IN"/>
              </w:rPr>
              <w:t>KGaA</w:t>
            </w:r>
            <w:proofErr w:type="spellEnd"/>
            <w:r w:rsidRPr="003D0AD0">
              <w:rPr>
                <w:rFonts w:ascii="Times New Roman" w:eastAsia="Times New Roman" w:hAnsi="Times New Roman" w:cs="Times New Roman"/>
                <w:b/>
                <w:bCs/>
                <w:color w:val="0D0D0D"/>
                <w:sz w:val="21"/>
                <w:szCs w:val="21"/>
                <w:lang w:eastAsia="en-IN"/>
              </w:rPr>
              <w:t xml:space="preserve">, Cayman Chemical, </w:t>
            </w:r>
            <w:proofErr w:type="spellStart"/>
            <w:r w:rsidRPr="003D0AD0">
              <w:rPr>
                <w:rFonts w:ascii="Times New Roman" w:eastAsia="Times New Roman" w:hAnsi="Times New Roman" w:cs="Times New Roman"/>
                <w:b/>
                <w:bCs/>
                <w:color w:val="0D0D0D"/>
                <w:sz w:val="21"/>
                <w:szCs w:val="21"/>
                <w:lang w:eastAsia="en-IN"/>
              </w:rPr>
              <w:t>BioVision</w:t>
            </w:r>
            <w:proofErr w:type="spellEnd"/>
            <w:r w:rsidRPr="003D0AD0">
              <w:rPr>
                <w:rFonts w:ascii="Times New Roman" w:eastAsia="Times New Roman" w:hAnsi="Times New Roman" w:cs="Times New Roman"/>
                <w:b/>
                <w:bCs/>
                <w:color w:val="0D0D0D"/>
                <w:sz w:val="21"/>
                <w:szCs w:val="21"/>
                <w:lang w:eastAsia="en-IN"/>
              </w:rPr>
              <w:t>, and Cell Biolabs</w:t>
            </w:r>
            <w:r w:rsidRPr="003D0AD0">
              <w:rPr>
                <w:rFonts w:ascii="Times New Roman" w:eastAsia="Times New Roman" w:hAnsi="Times New Roman" w:cs="Times New Roman"/>
                <w:sz w:val="21"/>
                <w:szCs w:val="21"/>
                <w:lang w:eastAsia="en-IN"/>
              </w:rPr>
              <w:t>.</w:t>
            </w:r>
          </w:p>
        </w:tc>
      </w:tr>
      <w:tr w:rsidR="003D0AD0" w:rsidRPr="003D0AD0" w14:paraId="402F829B" w14:textId="77777777" w:rsidTr="003D0AD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82E6B52"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Which region dominates the oxidative stress assay market?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D7E315"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b/>
                <w:bCs/>
                <w:color w:val="0D0D0D"/>
                <w:sz w:val="21"/>
                <w:szCs w:val="21"/>
                <w:lang w:eastAsia="en-IN"/>
              </w:rPr>
              <w:t>North America</w:t>
            </w:r>
            <w:r w:rsidRPr="003D0AD0">
              <w:rPr>
                <w:rFonts w:ascii="Times New Roman" w:eastAsia="Times New Roman" w:hAnsi="Times New Roman" w:cs="Times New Roman"/>
                <w:sz w:val="21"/>
                <w:szCs w:val="21"/>
                <w:lang w:eastAsia="en-IN"/>
              </w:rPr>
              <w:t> leads due to strong biotech infrastructure and regulatory integration.</w:t>
            </w:r>
          </w:p>
        </w:tc>
      </w:tr>
      <w:tr w:rsidR="003D0AD0" w:rsidRPr="003D0AD0" w14:paraId="06DB0CDF" w14:textId="77777777" w:rsidTr="003D0AD0">
        <w:trPr>
          <w:tblCellSpacing w:w="15" w:type="dxa"/>
        </w:trPr>
        <w:tc>
          <w:tcPr>
            <w:tcW w:w="0" w:type="auto"/>
            <w:tcMar>
              <w:top w:w="137" w:type="dxa"/>
              <w:left w:w="0" w:type="dxa"/>
              <w:bottom w:w="360" w:type="dxa"/>
              <w:right w:w="137" w:type="dxa"/>
            </w:tcMar>
            <w:vAlign w:val="bottom"/>
            <w:hideMark/>
          </w:tcPr>
          <w:p w14:paraId="79B25650"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What factors are driving the oxidative stress assay market?</w:t>
            </w:r>
          </w:p>
        </w:tc>
        <w:tc>
          <w:tcPr>
            <w:tcW w:w="0" w:type="auto"/>
            <w:tcMar>
              <w:top w:w="137" w:type="dxa"/>
              <w:left w:w="137" w:type="dxa"/>
              <w:bottom w:w="360" w:type="dxa"/>
              <w:right w:w="0" w:type="dxa"/>
            </w:tcMar>
            <w:vAlign w:val="bottom"/>
            <w:hideMark/>
          </w:tcPr>
          <w:p w14:paraId="49A62B61" w14:textId="77777777" w:rsidR="003D0AD0" w:rsidRPr="003D0AD0" w:rsidRDefault="003D0AD0" w:rsidP="003D0AD0">
            <w:pPr>
              <w:spacing w:after="0" w:line="240" w:lineRule="auto"/>
              <w:rPr>
                <w:rFonts w:ascii="Times New Roman" w:eastAsia="Times New Roman" w:hAnsi="Times New Roman" w:cs="Times New Roman"/>
                <w:sz w:val="21"/>
                <w:szCs w:val="21"/>
                <w:lang w:eastAsia="en-IN"/>
              </w:rPr>
            </w:pPr>
            <w:r w:rsidRPr="003D0AD0">
              <w:rPr>
                <w:rFonts w:ascii="Times New Roman" w:eastAsia="Times New Roman" w:hAnsi="Times New Roman" w:cs="Times New Roman"/>
                <w:sz w:val="21"/>
                <w:szCs w:val="21"/>
                <w:lang w:eastAsia="en-IN"/>
              </w:rPr>
              <w:t xml:space="preserve">Growth is </w:t>
            </w:r>
            <w:proofErr w:type="spellStart"/>
            <w:r w:rsidRPr="003D0AD0">
              <w:rPr>
                <w:rFonts w:ascii="Times New Roman" w:eastAsia="Times New Roman" w:hAnsi="Times New Roman" w:cs="Times New Roman"/>
                <w:sz w:val="21"/>
                <w:szCs w:val="21"/>
                <w:lang w:eastAsia="en-IN"/>
              </w:rPr>
              <w:t>fueled</w:t>
            </w:r>
            <w:proofErr w:type="spellEnd"/>
            <w:r w:rsidRPr="003D0AD0">
              <w:rPr>
                <w:rFonts w:ascii="Times New Roman" w:eastAsia="Times New Roman" w:hAnsi="Times New Roman" w:cs="Times New Roman"/>
                <w:sz w:val="21"/>
                <w:szCs w:val="21"/>
                <w:lang w:eastAsia="en-IN"/>
              </w:rPr>
              <w:t xml:space="preserve"> by </w:t>
            </w:r>
            <w:r w:rsidRPr="003D0AD0">
              <w:rPr>
                <w:rFonts w:ascii="Times New Roman" w:eastAsia="Times New Roman" w:hAnsi="Times New Roman" w:cs="Times New Roman"/>
                <w:b/>
                <w:bCs/>
                <w:color w:val="0D0D0D"/>
                <w:sz w:val="21"/>
                <w:szCs w:val="21"/>
                <w:lang w:eastAsia="en-IN"/>
              </w:rPr>
              <w:t>tech innovation, rising redox biology relevance, and expanded R&amp;D in chronic disease diagnostics</w:t>
            </w:r>
            <w:r w:rsidRPr="003D0AD0">
              <w:rPr>
                <w:rFonts w:ascii="Times New Roman" w:eastAsia="Times New Roman" w:hAnsi="Times New Roman" w:cs="Times New Roman"/>
                <w:sz w:val="21"/>
                <w:szCs w:val="21"/>
                <w:lang w:eastAsia="en-IN"/>
              </w:rPr>
              <w:t>.</w:t>
            </w:r>
          </w:p>
        </w:tc>
      </w:tr>
    </w:tbl>
    <w:p w14:paraId="1C897851" w14:textId="77777777" w:rsidR="003D0AD0" w:rsidRPr="003D0AD0" w:rsidRDefault="003D0AD0" w:rsidP="003D0AD0">
      <w:pPr>
        <w:spacing w:before="720" w:after="720" w:line="240" w:lineRule="auto"/>
        <w:rPr>
          <w:rFonts w:ascii="Times New Roman" w:eastAsia="Times New Roman" w:hAnsi="Times New Roman" w:cs="Times New Roman"/>
          <w:sz w:val="24"/>
          <w:szCs w:val="24"/>
          <w:lang w:eastAsia="en-IN"/>
        </w:rPr>
      </w:pPr>
      <w:r w:rsidRPr="003D0AD0">
        <w:rPr>
          <w:rFonts w:ascii="Times New Roman" w:eastAsia="Times New Roman" w:hAnsi="Times New Roman" w:cs="Times New Roman"/>
          <w:sz w:val="24"/>
          <w:szCs w:val="24"/>
          <w:lang w:eastAsia="en-IN"/>
        </w:rPr>
        <w:pict w14:anchorId="0A80B91C">
          <v:rect id="_x0000_i1047" style="width:0;height:0" o:hralign="center" o:hrstd="t" o:hrnoshade="t" o:hr="t" fillcolor="#0d0d0d" stroked="f"/>
        </w:pict>
      </w:r>
    </w:p>
    <w:p w14:paraId="60D982D5" w14:textId="77777777" w:rsidR="003D0AD0" w:rsidRPr="003D0AD0" w:rsidRDefault="003D0AD0" w:rsidP="003D0AD0">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3D0AD0">
        <w:rPr>
          <w:rFonts w:ascii="Segoe UI Emoji" w:eastAsia="Times New Roman" w:hAnsi="Segoe UI Emoji" w:cs="Segoe UI Emoji"/>
          <w:b/>
          <w:bCs/>
          <w:color w:val="0D0D0D"/>
          <w:sz w:val="30"/>
          <w:szCs w:val="30"/>
          <w:lang w:eastAsia="en-IN"/>
        </w:rPr>
        <w:t>🧩</w:t>
      </w:r>
      <w:r w:rsidRPr="003D0AD0">
        <w:rPr>
          <w:rFonts w:ascii="Segoe UI" w:eastAsia="Times New Roman" w:hAnsi="Segoe UI" w:cs="Segoe UI"/>
          <w:b/>
          <w:bCs/>
          <w:color w:val="0D0D0D"/>
          <w:sz w:val="30"/>
          <w:szCs w:val="30"/>
          <w:lang w:eastAsia="en-IN"/>
        </w:rPr>
        <w:t xml:space="preserve"> D. JSON-LD SEO Schema</w:t>
      </w:r>
    </w:p>
    <w:p w14:paraId="137D0331" w14:textId="77777777" w:rsidR="003D0AD0" w:rsidRPr="003D0AD0" w:rsidRDefault="003D0AD0" w:rsidP="003D0AD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3D0AD0">
        <w:rPr>
          <w:rFonts w:ascii="Segoe UI" w:eastAsia="Times New Roman" w:hAnsi="Segoe UI" w:cs="Segoe UI"/>
          <w:b/>
          <w:bCs/>
          <w:color w:val="0D0D0D"/>
          <w:sz w:val="24"/>
          <w:szCs w:val="24"/>
          <w:lang w:eastAsia="en-IN"/>
        </w:rPr>
        <w:t>1. Breadcrumb Schema</w:t>
      </w:r>
    </w:p>
    <w:p w14:paraId="3DF03229" w14:textId="7777777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3D0AD0">
        <w:rPr>
          <w:rFonts w:ascii="Segoe UI" w:eastAsia="Times New Roman" w:hAnsi="Segoe UI" w:cs="Segoe UI"/>
          <w:color w:val="5D5D5D"/>
          <w:sz w:val="18"/>
          <w:szCs w:val="18"/>
          <w:lang w:eastAsia="en-IN"/>
        </w:rPr>
        <w:t>json</w:t>
      </w:r>
    </w:p>
    <w:p w14:paraId="42C1340C" w14:textId="7777777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3D0AD0">
        <w:rPr>
          <w:rFonts w:ascii="Segoe UI" w:eastAsia="Times New Roman" w:hAnsi="Segoe UI" w:cs="Segoe UI"/>
          <w:color w:val="5D5D5D"/>
          <w:sz w:val="18"/>
          <w:szCs w:val="18"/>
          <w:lang w:eastAsia="en-IN"/>
        </w:rPr>
        <w:t>Copy code</w:t>
      </w:r>
    </w:p>
    <w:p w14:paraId="08F69272" w14:textId="79DEE39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"@context"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"https://schema.org"</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t>
      </w:r>
      <w:proofErr w:type="spellStart"/>
      <w:r w:rsidRPr="003D0AD0">
        <w:rPr>
          <w:rFonts w:ascii="Courier New" w:eastAsia="Times New Roman" w:hAnsi="Courier New" w:cs="Courier New"/>
          <w:color w:val="50A14F"/>
          <w:sz w:val="20"/>
          <w:szCs w:val="20"/>
          <w:lang w:eastAsia="en-IN"/>
        </w:rPr>
        <w:t>BreadcrumbList</w:t>
      </w:r>
      <w:proofErr w:type="spellEnd"/>
      <w:r w:rsidRPr="003D0AD0">
        <w:rPr>
          <w:rFonts w:ascii="Courier New" w:eastAsia="Times New Roman" w:hAnsi="Courier New" w:cs="Courier New"/>
          <w:color w:val="50A14F"/>
          <w:sz w:val="20"/>
          <w:szCs w:val="20"/>
          <w:lang w:eastAsia="en-IN"/>
        </w:rPr>
        <w: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itemListElement</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t>
      </w:r>
      <w:proofErr w:type="spellStart"/>
      <w:r w:rsidRPr="003D0AD0">
        <w:rPr>
          <w:rFonts w:ascii="Courier New" w:eastAsia="Times New Roman" w:hAnsi="Courier New" w:cs="Courier New"/>
          <w:color w:val="50A14F"/>
          <w:sz w:val="20"/>
          <w:szCs w:val="20"/>
          <w:lang w:eastAsia="en-IN"/>
        </w:rPr>
        <w:t>ListItem</w:t>
      </w:r>
      <w:proofErr w:type="spellEnd"/>
      <w:r w:rsidRPr="003D0AD0">
        <w:rPr>
          <w:rFonts w:ascii="Courier New" w:eastAsia="Times New Roman" w:hAnsi="Courier New" w:cs="Courier New"/>
          <w:color w:val="50A14F"/>
          <w:sz w:val="20"/>
          <w:szCs w:val="20"/>
          <w:lang w:eastAsia="en-IN"/>
        </w:rPr>
        <w: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"position"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1</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"Home"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"item"</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"https://www.strategicmarketresearch.com/"</w:t>
      </w:r>
      <w:r w:rsidRPr="003D0AD0">
        <w:rPr>
          <w:rFonts w:ascii="Courier New" w:eastAsia="Times New Roman" w:hAnsi="Courier New" w:cs="Courier New"/>
          <w:color w:val="383A42"/>
          <w:sz w:val="20"/>
          <w:szCs w:val="20"/>
          <w:lang w:eastAsia="en-IN"/>
        </w:rPr>
        <w:t xml:space="preserve">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t>
      </w:r>
      <w:proofErr w:type="spellStart"/>
      <w:r w:rsidRPr="003D0AD0">
        <w:rPr>
          <w:rFonts w:ascii="Courier New" w:eastAsia="Times New Roman" w:hAnsi="Courier New" w:cs="Courier New"/>
          <w:color w:val="50A14F"/>
          <w:sz w:val="20"/>
          <w:szCs w:val="20"/>
          <w:lang w:eastAsia="en-IN"/>
        </w:rPr>
        <w:t>ListItem</w:t>
      </w:r>
      <w:proofErr w:type="spellEnd"/>
      <w:r w:rsidRPr="003D0AD0">
        <w:rPr>
          <w:rFonts w:ascii="Courier New" w:eastAsia="Times New Roman" w:hAnsi="Courier New" w:cs="Courier New"/>
          <w:color w:val="50A14F"/>
          <w:sz w:val="20"/>
          <w:szCs w:val="20"/>
          <w:lang w:eastAsia="en-IN"/>
        </w:rPr>
        <w: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"position"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2</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"Healthcare"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"item"</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"https://www.strategicmarketresearch.com/reports/healthcare"</w:t>
      </w:r>
      <w:r w:rsidRPr="003D0AD0">
        <w:rPr>
          <w:rFonts w:ascii="Courier New" w:eastAsia="Times New Roman" w:hAnsi="Courier New" w:cs="Courier New"/>
          <w:color w:val="383A42"/>
          <w:sz w:val="20"/>
          <w:szCs w:val="20"/>
          <w:lang w:eastAsia="en-IN"/>
        </w:rPr>
        <w:t xml:space="preserve">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t>
      </w:r>
      <w:proofErr w:type="spellStart"/>
      <w:r w:rsidRPr="003D0AD0">
        <w:rPr>
          <w:rFonts w:ascii="Courier New" w:eastAsia="Times New Roman" w:hAnsi="Courier New" w:cs="Courier New"/>
          <w:color w:val="50A14F"/>
          <w:sz w:val="20"/>
          <w:szCs w:val="20"/>
          <w:lang w:eastAsia="en-IN"/>
        </w:rPr>
        <w:t>ListItem</w:t>
      </w:r>
      <w:proofErr w:type="spellEnd"/>
      <w:r w:rsidRPr="003D0AD0">
        <w:rPr>
          <w:rFonts w:ascii="Courier New" w:eastAsia="Times New Roman" w:hAnsi="Courier New" w:cs="Courier New"/>
          <w:color w:val="50A14F"/>
          <w:sz w:val="20"/>
          <w:szCs w:val="20"/>
          <w:lang w:eastAsia="en-IN"/>
        </w:rPr>
        <w: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"position"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3</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"Oxidative Stress Assay Market Report 2030"</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"item"</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"https://www.strategicmarketresearch.com/market-report/oxidative-stress-assay-market"</w:t>
      </w:r>
      <w:r w:rsidRPr="003D0AD0">
        <w:rPr>
          <w:rFonts w:ascii="Courier New" w:eastAsia="Times New Roman" w:hAnsi="Courier New" w:cs="Courier New"/>
          <w:color w:val="383A42"/>
          <w:sz w:val="20"/>
          <w:szCs w:val="20"/>
          <w:lang w:eastAsia="en-IN"/>
        </w:rPr>
        <w:t xml:space="preserve"> } ] } </w:t>
      </w:r>
    </w:p>
    <w:p w14:paraId="765CC9F8" w14:textId="77777777" w:rsidR="003D0AD0" w:rsidRPr="003D0AD0" w:rsidRDefault="003D0AD0" w:rsidP="003D0AD0">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3D0AD0">
        <w:rPr>
          <w:rFonts w:ascii="Segoe UI" w:eastAsia="Times New Roman" w:hAnsi="Segoe UI" w:cs="Segoe UI"/>
          <w:b/>
          <w:bCs/>
          <w:color w:val="0D0D0D"/>
          <w:sz w:val="24"/>
          <w:szCs w:val="24"/>
          <w:lang w:eastAsia="en-IN"/>
        </w:rPr>
        <w:t>2. FAQ Schema</w:t>
      </w:r>
    </w:p>
    <w:p w14:paraId="60BD35E3" w14:textId="7777777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3D0AD0">
        <w:rPr>
          <w:rFonts w:ascii="Segoe UI" w:eastAsia="Times New Roman" w:hAnsi="Segoe UI" w:cs="Segoe UI"/>
          <w:color w:val="5D5D5D"/>
          <w:sz w:val="18"/>
          <w:szCs w:val="18"/>
          <w:lang w:eastAsia="en-IN"/>
        </w:rPr>
        <w:t>json</w:t>
      </w:r>
    </w:p>
    <w:p w14:paraId="55C93CF9" w14:textId="7777777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3D0AD0">
        <w:rPr>
          <w:rFonts w:ascii="Segoe UI" w:eastAsia="Times New Roman" w:hAnsi="Segoe UI" w:cs="Segoe UI"/>
          <w:color w:val="5D5D5D"/>
          <w:sz w:val="18"/>
          <w:szCs w:val="18"/>
          <w:lang w:eastAsia="en-IN"/>
        </w:rPr>
        <w:t>Copy code</w:t>
      </w:r>
    </w:p>
    <w:p w14:paraId="243511CC" w14:textId="77777777" w:rsidR="003D0AD0" w:rsidRPr="003D0AD0" w:rsidRDefault="003D0AD0" w:rsidP="003D0AD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"@context"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"https://schema.org"</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t>
      </w:r>
      <w:proofErr w:type="spellStart"/>
      <w:r w:rsidRPr="003D0AD0">
        <w:rPr>
          <w:rFonts w:ascii="Courier New" w:eastAsia="Times New Roman" w:hAnsi="Courier New" w:cs="Courier New"/>
          <w:color w:val="50A14F"/>
          <w:sz w:val="20"/>
          <w:szCs w:val="20"/>
          <w:lang w:eastAsia="en-IN"/>
        </w:rPr>
        <w:t>FAQPage</w:t>
      </w:r>
      <w:proofErr w:type="spellEnd"/>
      <w:r w:rsidRPr="003D0AD0">
        <w:rPr>
          <w:rFonts w:ascii="Courier New" w:eastAsia="Times New Roman" w:hAnsi="Courier New" w:cs="Courier New"/>
          <w:color w:val="50A14F"/>
          <w:sz w:val="20"/>
          <w:szCs w:val="20"/>
          <w:lang w:eastAsia="en-IN"/>
        </w:rPr>
        <w: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mainEntity</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"Question"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"How big is the oxidative stress assay market?"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acceptedAnswer</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"Answer"</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"The global oxidative stress assay market was valued at USD 1.42 billion in 2024."</w:t>
      </w:r>
      <w:r w:rsidRPr="003D0AD0">
        <w:rPr>
          <w:rFonts w:ascii="Courier New" w:eastAsia="Times New Roman" w:hAnsi="Courier New" w:cs="Courier New"/>
          <w:color w:val="383A42"/>
          <w:sz w:val="20"/>
          <w:szCs w:val="20"/>
          <w:lang w:eastAsia="en-IN"/>
        </w:rPr>
        <w:t xml:space="preserve"> }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"Question"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"What is the CAGR for oxidative stress assay during the forecast period?"</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acceptedAnswer</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"Answer"</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"The oxidative stress assay market is expected to grow at a CAGR of 8.9% from 2024 to 2030."</w:t>
      </w:r>
      <w:r w:rsidRPr="003D0AD0">
        <w:rPr>
          <w:rFonts w:ascii="Courier New" w:eastAsia="Times New Roman" w:hAnsi="Courier New" w:cs="Courier New"/>
          <w:color w:val="383A42"/>
          <w:sz w:val="20"/>
          <w:szCs w:val="20"/>
          <w:lang w:eastAsia="en-IN"/>
        </w:rPr>
        <w:t xml:space="preserve"> }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"Question"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"Who are the major players in the oxidative stress assay market?"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acceptedAnswer</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"Answer"</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 xml:space="preserve">"Leading players include Abcam, Thermo Fisher Scientific, Merck </w:t>
      </w:r>
      <w:proofErr w:type="spellStart"/>
      <w:r w:rsidRPr="003D0AD0">
        <w:rPr>
          <w:rFonts w:ascii="Courier New" w:eastAsia="Times New Roman" w:hAnsi="Courier New" w:cs="Courier New"/>
          <w:color w:val="50A14F"/>
          <w:sz w:val="20"/>
          <w:szCs w:val="20"/>
          <w:lang w:eastAsia="en-IN"/>
        </w:rPr>
        <w:t>KGaA</w:t>
      </w:r>
      <w:proofErr w:type="spellEnd"/>
      <w:r w:rsidRPr="003D0AD0">
        <w:rPr>
          <w:rFonts w:ascii="Courier New" w:eastAsia="Times New Roman" w:hAnsi="Courier New" w:cs="Courier New"/>
          <w:color w:val="50A14F"/>
          <w:sz w:val="20"/>
          <w:szCs w:val="20"/>
          <w:lang w:eastAsia="en-IN"/>
        </w:rPr>
        <w:t xml:space="preserve">, Cayman Chemical, </w:t>
      </w:r>
      <w:proofErr w:type="spellStart"/>
      <w:r w:rsidRPr="003D0AD0">
        <w:rPr>
          <w:rFonts w:ascii="Courier New" w:eastAsia="Times New Roman" w:hAnsi="Courier New" w:cs="Courier New"/>
          <w:color w:val="50A14F"/>
          <w:sz w:val="20"/>
          <w:szCs w:val="20"/>
          <w:lang w:eastAsia="en-IN"/>
        </w:rPr>
        <w:t>BioVision</w:t>
      </w:r>
      <w:proofErr w:type="spellEnd"/>
      <w:r w:rsidRPr="003D0AD0">
        <w:rPr>
          <w:rFonts w:ascii="Courier New" w:eastAsia="Times New Roman" w:hAnsi="Courier New" w:cs="Courier New"/>
          <w:color w:val="50A14F"/>
          <w:sz w:val="20"/>
          <w:szCs w:val="20"/>
          <w:lang w:eastAsia="en-IN"/>
        </w:rPr>
        <w:t>, and Cell Biolabs."</w:t>
      </w:r>
      <w:r w:rsidRPr="003D0AD0">
        <w:rPr>
          <w:rFonts w:ascii="Courier New" w:eastAsia="Times New Roman" w:hAnsi="Courier New" w:cs="Courier New"/>
          <w:color w:val="383A42"/>
          <w:sz w:val="20"/>
          <w:szCs w:val="20"/>
          <w:lang w:eastAsia="en-IN"/>
        </w:rPr>
        <w:t xml:space="preserve"> }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"Question"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"Which region dominates the oxidative stress assay market?"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acceptedAnswer</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"Answer"</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"North America leads due to strong biotech infrastructure and regulatory integration."</w:t>
      </w:r>
      <w:r w:rsidRPr="003D0AD0">
        <w:rPr>
          <w:rFonts w:ascii="Courier New" w:eastAsia="Times New Roman" w:hAnsi="Courier New" w:cs="Courier New"/>
          <w:color w:val="383A42"/>
          <w:sz w:val="20"/>
          <w:szCs w:val="20"/>
          <w:lang w:eastAsia="en-IN"/>
        </w:rPr>
        <w:t xml:space="preserve"> } },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"Question"</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"name"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"What factors are driving the oxidative stress assay market?"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w:t>
      </w:r>
      <w:proofErr w:type="spellStart"/>
      <w:r w:rsidRPr="003D0AD0">
        <w:rPr>
          <w:rFonts w:ascii="Courier New" w:eastAsia="Times New Roman" w:hAnsi="Courier New" w:cs="Courier New"/>
          <w:color w:val="986801"/>
          <w:sz w:val="20"/>
          <w:szCs w:val="20"/>
          <w:lang w:eastAsia="en-IN"/>
        </w:rPr>
        <w:t>acceptedAnswer</w:t>
      </w:r>
      <w:proofErr w:type="spellEnd"/>
      <w:r w:rsidRPr="003D0AD0">
        <w:rPr>
          <w:rFonts w:ascii="Courier New" w:eastAsia="Times New Roman" w:hAnsi="Courier New" w:cs="Courier New"/>
          <w:color w:val="986801"/>
          <w:sz w:val="20"/>
          <w:szCs w:val="20"/>
          <w:lang w:eastAsia="en-IN"/>
        </w:rPr>
        <w:t>"</w:t>
      </w:r>
      <w:r w:rsidRPr="003D0AD0">
        <w:rPr>
          <w:rFonts w:ascii="Courier New" w:eastAsia="Times New Roman" w:hAnsi="Courier New" w:cs="Courier New"/>
          <w:color w:val="383A42"/>
          <w:sz w:val="20"/>
          <w:szCs w:val="20"/>
          <w:lang w:eastAsia="en-IN"/>
        </w:rPr>
        <w:t xml:space="preserve">: { </w:t>
      </w:r>
      <w:r w:rsidRPr="003D0AD0">
        <w:rPr>
          <w:rFonts w:ascii="Courier New" w:eastAsia="Times New Roman" w:hAnsi="Courier New" w:cs="Courier New"/>
          <w:color w:val="986801"/>
          <w:sz w:val="20"/>
          <w:szCs w:val="20"/>
          <w:lang w:eastAsia="en-IN"/>
        </w:rPr>
        <w:t>"@type"</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"Answer"</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986801"/>
          <w:sz w:val="20"/>
          <w:szCs w:val="20"/>
          <w:lang w:eastAsia="en-IN"/>
        </w:rPr>
        <w:t>"text"</w:t>
      </w:r>
      <w:r w:rsidRPr="003D0AD0">
        <w:rPr>
          <w:rFonts w:ascii="Courier New" w:eastAsia="Times New Roman" w:hAnsi="Courier New" w:cs="Courier New"/>
          <w:color w:val="383A42"/>
          <w:sz w:val="20"/>
          <w:szCs w:val="20"/>
          <w:lang w:eastAsia="en-IN"/>
        </w:rPr>
        <w:t xml:space="preserve">: </w:t>
      </w:r>
      <w:r w:rsidRPr="003D0AD0">
        <w:rPr>
          <w:rFonts w:ascii="Courier New" w:eastAsia="Times New Roman" w:hAnsi="Courier New" w:cs="Courier New"/>
          <w:color w:val="50A14F"/>
          <w:sz w:val="20"/>
          <w:szCs w:val="20"/>
          <w:lang w:eastAsia="en-IN"/>
        </w:rPr>
        <w:t xml:space="preserve">"Growth is </w:t>
      </w:r>
      <w:proofErr w:type="spellStart"/>
      <w:r w:rsidRPr="003D0AD0">
        <w:rPr>
          <w:rFonts w:ascii="Courier New" w:eastAsia="Times New Roman" w:hAnsi="Courier New" w:cs="Courier New"/>
          <w:color w:val="50A14F"/>
          <w:sz w:val="20"/>
          <w:szCs w:val="20"/>
          <w:lang w:eastAsia="en-IN"/>
        </w:rPr>
        <w:t>fueled</w:t>
      </w:r>
      <w:proofErr w:type="spellEnd"/>
      <w:r w:rsidRPr="003D0AD0">
        <w:rPr>
          <w:rFonts w:ascii="Courier New" w:eastAsia="Times New Roman" w:hAnsi="Courier New" w:cs="Courier New"/>
          <w:color w:val="50A14F"/>
          <w:sz w:val="20"/>
          <w:szCs w:val="20"/>
          <w:lang w:eastAsia="en-IN"/>
        </w:rPr>
        <w:t xml:space="preserve"> by tech innovation, rising redox biology relevance, and expanded R&amp;D in chronic disease diagnostics."</w:t>
      </w:r>
      <w:r w:rsidRPr="003D0AD0">
        <w:rPr>
          <w:rFonts w:ascii="Courier New" w:eastAsia="Times New Roman" w:hAnsi="Courier New" w:cs="Courier New"/>
          <w:color w:val="383A42"/>
          <w:sz w:val="20"/>
          <w:szCs w:val="20"/>
          <w:lang w:eastAsia="en-IN"/>
        </w:rPr>
        <w:t xml:space="preserve"> } } ] }</w:t>
      </w:r>
    </w:p>
    <w:p w14:paraId="1E7E9C9F" w14:textId="77777777" w:rsidR="00AB0EBE" w:rsidRDefault="00AB0EBE">
      <w:pPr>
        <w:rPr>
          <w:rFonts w:ascii="Segoe UI" w:eastAsia="Times New Roman" w:hAnsi="Segoe UI" w:cs="Segoe UI"/>
          <w:b/>
          <w:bCs/>
          <w:color w:val="0D0D0D"/>
          <w:sz w:val="36"/>
          <w:szCs w:val="36"/>
          <w:lang w:eastAsia="en-IN"/>
        </w:rPr>
      </w:pPr>
      <w:r>
        <w:rPr>
          <w:rFonts w:ascii="Segoe UI" w:eastAsia="Times New Roman" w:hAnsi="Segoe UI" w:cs="Segoe UI"/>
          <w:b/>
          <w:bCs/>
          <w:color w:val="0D0D0D"/>
          <w:sz w:val="36"/>
          <w:szCs w:val="36"/>
          <w:lang w:eastAsia="en-IN"/>
        </w:rPr>
        <w:lastRenderedPageBreak/>
        <w:br w:type="page"/>
      </w:r>
    </w:p>
    <w:p w14:paraId="7382FDC2" w14:textId="27024E32" w:rsidR="00AB0EBE" w:rsidRPr="00AB0EBE" w:rsidRDefault="00AB0EBE" w:rsidP="00AB0EBE">
      <w:pPr>
        <w:shd w:val="clear" w:color="auto" w:fill="FFFFFF"/>
        <w:spacing w:before="480" w:after="180" w:line="240" w:lineRule="auto"/>
        <w:outlineLvl w:val="1"/>
        <w:rPr>
          <w:rFonts w:ascii="Segoe UI" w:eastAsia="Times New Roman" w:hAnsi="Segoe UI" w:cs="Segoe UI"/>
          <w:b/>
          <w:bCs/>
          <w:color w:val="0D0D0D"/>
          <w:sz w:val="36"/>
          <w:szCs w:val="36"/>
          <w:lang w:eastAsia="en-IN"/>
        </w:rPr>
      </w:pPr>
      <w:r w:rsidRPr="00AB0EBE">
        <w:rPr>
          <w:rFonts w:ascii="Segoe UI" w:eastAsia="Times New Roman" w:hAnsi="Segoe UI" w:cs="Segoe UI"/>
          <w:b/>
          <w:bCs/>
          <w:color w:val="0D0D0D"/>
          <w:sz w:val="36"/>
          <w:szCs w:val="36"/>
          <w:lang w:eastAsia="en-IN"/>
        </w:rPr>
        <w:lastRenderedPageBreak/>
        <w:t>9. Table of Contents for Oxidative Stress Assay Market Report (2024–2030)</w:t>
      </w:r>
    </w:p>
    <w:p w14:paraId="034DDFE2"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Executive Summary</w:t>
      </w:r>
    </w:p>
    <w:p w14:paraId="5D92A3DC" w14:textId="77777777" w:rsidR="00AB0EBE" w:rsidRPr="00AB0EBE" w:rsidRDefault="00AB0EBE" w:rsidP="00AB0EB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Overview</w:t>
      </w:r>
    </w:p>
    <w:p w14:paraId="5DA5290E" w14:textId="77777777" w:rsidR="00AB0EBE" w:rsidRPr="00AB0EBE" w:rsidRDefault="00AB0EBE" w:rsidP="00AB0EB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Attractiveness by Product Type, Assay Type, Application, End User, and Region</w:t>
      </w:r>
    </w:p>
    <w:p w14:paraId="2424F1C7" w14:textId="77777777" w:rsidR="00AB0EBE" w:rsidRPr="00AB0EBE" w:rsidRDefault="00AB0EBE" w:rsidP="00AB0EB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Strategic Insights from Key Executives (CXO Perspective)</w:t>
      </w:r>
    </w:p>
    <w:p w14:paraId="385C2427" w14:textId="77777777" w:rsidR="00AB0EBE" w:rsidRPr="00AB0EBE" w:rsidRDefault="00AB0EBE" w:rsidP="00AB0EB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Historical Market Size and Future Projections (2022–2030)</w:t>
      </w:r>
    </w:p>
    <w:p w14:paraId="41E3C33C" w14:textId="77777777" w:rsidR="00AB0EBE" w:rsidRPr="00AB0EBE" w:rsidRDefault="00AB0EBE" w:rsidP="00AB0EB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Summary of Market Segmentation by Product Type, Assay Type, Application, End User, and Region</w:t>
      </w:r>
    </w:p>
    <w:p w14:paraId="59C5B12F"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3B2C1FCF">
          <v:rect id="_x0000_i1053" style="width:0;height:0" o:hralign="center" o:hrstd="t" o:hrnoshade="t" o:hr="t" fillcolor="#0d0d0d" stroked="f"/>
        </w:pict>
      </w:r>
    </w:p>
    <w:p w14:paraId="102B307E"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Market Share Analysis</w:t>
      </w:r>
    </w:p>
    <w:p w14:paraId="63F01223" w14:textId="77777777" w:rsidR="00AB0EBE" w:rsidRPr="00AB0EBE" w:rsidRDefault="00AB0EBE" w:rsidP="00AB0EB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Leading Players by Revenue and Market Share</w:t>
      </w:r>
    </w:p>
    <w:p w14:paraId="0BF4A3AE" w14:textId="77777777" w:rsidR="00AB0EBE" w:rsidRPr="00AB0EBE" w:rsidRDefault="00AB0EBE" w:rsidP="00AB0EB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Share Analysis by Product Type, Assay Type, Application, End User</w:t>
      </w:r>
    </w:p>
    <w:p w14:paraId="43381151"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26CD13A7">
          <v:rect id="_x0000_i1054" style="width:0;height:0" o:hralign="center" o:hrstd="t" o:hrnoshade="t" o:hr="t" fillcolor="#0d0d0d" stroked="f"/>
        </w:pict>
      </w:r>
    </w:p>
    <w:p w14:paraId="58FD38BA"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Investment Opportunities in the Oxidative Stress Assay Market</w:t>
      </w:r>
    </w:p>
    <w:p w14:paraId="05760B6B" w14:textId="77777777" w:rsidR="00AB0EBE" w:rsidRPr="00AB0EBE" w:rsidRDefault="00AB0EBE" w:rsidP="00AB0EB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Key Developments and Innovations</w:t>
      </w:r>
    </w:p>
    <w:p w14:paraId="1CA0C52A" w14:textId="77777777" w:rsidR="00AB0EBE" w:rsidRPr="00AB0EBE" w:rsidRDefault="00AB0EBE" w:rsidP="00AB0EB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Mergers, Acquisitions, and Strategic Partnerships</w:t>
      </w:r>
    </w:p>
    <w:p w14:paraId="5EB8A610" w14:textId="77777777" w:rsidR="00AB0EBE" w:rsidRPr="00AB0EBE" w:rsidRDefault="00AB0EBE" w:rsidP="00AB0EB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High-Growth Segments for Investment</w:t>
      </w:r>
    </w:p>
    <w:p w14:paraId="6CC78A6D"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2477C423">
          <v:rect id="_x0000_i1055" style="width:0;height:0" o:hralign="center" o:hrstd="t" o:hrnoshade="t" o:hr="t" fillcolor="#0d0d0d" stroked="f"/>
        </w:pict>
      </w:r>
    </w:p>
    <w:p w14:paraId="3E1676E7"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Market Introduction</w:t>
      </w:r>
    </w:p>
    <w:p w14:paraId="7EDC46C5" w14:textId="77777777" w:rsidR="00AB0EBE" w:rsidRPr="00AB0EBE" w:rsidRDefault="00AB0EBE" w:rsidP="00AB0EB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Definition and Scope of the Study</w:t>
      </w:r>
    </w:p>
    <w:p w14:paraId="6393DF03" w14:textId="77777777" w:rsidR="00AB0EBE" w:rsidRPr="00AB0EBE" w:rsidRDefault="00AB0EBE" w:rsidP="00AB0EB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Structure and Key Findings</w:t>
      </w:r>
    </w:p>
    <w:p w14:paraId="3ADF6236" w14:textId="77777777" w:rsidR="00AB0EBE" w:rsidRPr="00AB0EBE" w:rsidRDefault="00AB0EBE" w:rsidP="00AB0EB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Overview of Top Investment Pockets</w:t>
      </w:r>
    </w:p>
    <w:p w14:paraId="26C78F94"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21AC3DB8">
          <v:rect id="_x0000_i1056" style="width:0;height:0" o:hralign="center" o:hrstd="t" o:hrnoshade="t" o:hr="t" fillcolor="#0d0d0d" stroked="f"/>
        </w:pict>
      </w:r>
    </w:p>
    <w:p w14:paraId="50DBF210"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lastRenderedPageBreak/>
        <w:t>Research Methodology</w:t>
      </w:r>
    </w:p>
    <w:p w14:paraId="20E22CBA" w14:textId="77777777" w:rsidR="00AB0EBE" w:rsidRPr="00AB0EBE" w:rsidRDefault="00AB0EBE" w:rsidP="00AB0EB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Research Process Overview</w:t>
      </w:r>
    </w:p>
    <w:p w14:paraId="1FDA980A" w14:textId="77777777" w:rsidR="00AB0EBE" w:rsidRPr="00AB0EBE" w:rsidRDefault="00AB0EBE" w:rsidP="00AB0EB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Primary and Secondary Research Approaches</w:t>
      </w:r>
    </w:p>
    <w:p w14:paraId="20078184" w14:textId="77777777" w:rsidR="00AB0EBE" w:rsidRPr="00AB0EBE" w:rsidRDefault="00AB0EBE" w:rsidP="00AB0EB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Estimation and Forecasting Techniques</w:t>
      </w:r>
    </w:p>
    <w:p w14:paraId="5B005C2D"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67C88EDD">
          <v:rect id="_x0000_i1057" style="width:0;height:0" o:hralign="center" o:hrstd="t" o:hrnoshade="t" o:hr="t" fillcolor="#0d0d0d" stroked="f"/>
        </w:pict>
      </w:r>
    </w:p>
    <w:p w14:paraId="37DCFF2B"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Market Dynamics</w:t>
      </w:r>
    </w:p>
    <w:p w14:paraId="3435DFC6" w14:textId="77777777" w:rsidR="00AB0EBE" w:rsidRPr="00AB0EBE" w:rsidRDefault="00AB0EBE" w:rsidP="00AB0EB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Key Market Drivers</w:t>
      </w:r>
    </w:p>
    <w:p w14:paraId="11D68FE4" w14:textId="77777777" w:rsidR="00AB0EBE" w:rsidRPr="00AB0EBE" w:rsidRDefault="00AB0EBE" w:rsidP="00AB0EB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Challenges and Restraints Impacting Growth</w:t>
      </w:r>
    </w:p>
    <w:p w14:paraId="6F5AD2F3" w14:textId="77777777" w:rsidR="00AB0EBE" w:rsidRPr="00AB0EBE" w:rsidRDefault="00AB0EBE" w:rsidP="00AB0EB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Emerging Opportunities for Stakeholders</w:t>
      </w:r>
    </w:p>
    <w:p w14:paraId="0A5BAC2B" w14:textId="77777777" w:rsidR="00AB0EBE" w:rsidRPr="00AB0EBE" w:rsidRDefault="00AB0EBE" w:rsidP="00AB0EB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 xml:space="preserve">Impact of </w:t>
      </w:r>
      <w:proofErr w:type="spellStart"/>
      <w:r w:rsidRPr="00AB0EBE">
        <w:rPr>
          <w:rFonts w:ascii="Segoe UI" w:eastAsia="Times New Roman" w:hAnsi="Segoe UI" w:cs="Segoe UI"/>
          <w:color w:val="0D0D0D"/>
          <w:sz w:val="24"/>
          <w:szCs w:val="24"/>
          <w:lang w:eastAsia="en-IN"/>
        </w:rPr>
        <w:t>Behavioral</w:t>
      </w:r>
      <w:proofErr w:type="spellEnd"/>
      <w:r w:rsidRPr="00AB0EBE">
        <w:rPr>
          <w:rFonts w:ascii="Segoe UI" w:eastAsia="Times New Roman" w:hAnsi="Segoe UI" w:cs="Segoe UI"/>
          <w:color w:val="0D0D0D"/>
          <w:sz w:val="24"/>
          <w:szCs w:val="24"/>
          <w:lang w:eastAsia="en-IN"/>
        </w:rPr>
        <w:t xml:space="preserve"> and Regulatory Factors</w:t>
      </w:r>
    </w:p>
    <w:p w14:paraId="79E892B5" w14:textId="77777777" w:rsidR="00AB0EBE" w:rsidRPr="00AB0EBE" w:rsidRDefault="00AB0EBE" w:rsidP="00AB0EB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Role of Redox Biology in Diagnostic and Therapeutic Development</w:t>
      </w:r>
    </w:p>
    <w:p w14:paraId="6A512695"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141D9805">
          <v:rect id="_x0000_i1058" style="width:0;height:0" o:hralign="center" o:hrstd="t" o:hrnoshade="t" o:hr="t" fillcolor="#0d0d0d" stroked="f"/>
        </w:pict>
      </w:r>
    </w:p>
    <w:p w14:paraId="464213A5"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Global Oxidative Stress Assay Market Analysis</w:t>
      </w:r>
    </w:p>
    <w:p w14:paraId="6FF881E5" w14:textId="77777777" w:rsidR="00AB0EBE" w:rsidRPr="00AB0EBE" w:rsidRDefault="00AB0EBE" w:rsidP="00AB0EB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Historical Market Size and Volume (2022–2030)</w:t>
      </w:r>
    </w:p>
    <w:p w14:paraId="2B9C300B" w14:textId="77777777" w:rsidR="00AB0EBE" w:rsidRPr="00AB0EBE" w:rsidRDefault="00AB0EBE" w:rsidP="00AB0EB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Volume Forecasts (2024–2030)</w:t>
      </w:r>
    </w:p>
    <w:p w14:paraId="21EBE798" w14:textId="77777777" w:rsidR="00AB0EBE" w:rsidRPr="00AB0EBE" w:rsidRDefault="00AB0EBE" w:rsidP="00AB0EB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B0EBE">
        <w:rPr>
          <w:rFonts w:ascii="Segoe UI" w:eastAsia="Times New Roman" w:hAnsi="Segoe UI" w:cs="Segoe UI"/>
          <w:b/>
          <w:bCs/>
          <w:color w:val="0D0D0D"/>
          <w:sz w:val="24"/>
          <w:szCs w:val="24"/>
          <w:lang w:eastAsia="en-IN"/>
        </w:rPr>
        <w:t>By Product Type:</w:t>
      </w:r>
    </w:p>
    <w:p w14:paraId="722084A3" w14:textId="77777777" w:rsidR="00AB0EBE" w:rsidRPr="00AB0EBE" w:rsidRDefault="00AB0EBE" w:rsidP="00AB0EB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Consumables</w:t>
      </w:r>
    </w:p>
    <w:p w14:paraId="648D59EC" w14:textId="77777777" w:rsidR="00AB0EBE" w:rsidRPr="00AB0EBE" w:rsidRDefault="00AB0EBE" w:rsidP="00AB0EB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Instruments</w:t>
      </w:r>
    </w:p>
    <w:p w14:paraId="1DBFA48E" w14:textId="77777777" w:rsidR="00AB0EBE" w:rsidRPr="00AB0EBE" w:rsidRDefault="00AB0EBE" w:rsidP="00AB0EB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B0EBE">
        <w:rPr>
          <w:rFonts w:ascii="Segoe UI" w:eastAsia="Times New Roman" w:hAnsi="Segoe UI" w:cs="Segoe UI"/>
          <w:b/>
          <w:bCs/>
          <w:color w:val="0D0D0D"/>
          <w:sz w:val="24"/>
          <w:szCs w:val="24"/>
          <w:lang w:eastAsia="en-IN"/>
        </w:rPr>
        <w:t>By Assay Type:</w:t>
      </w:r>
    </w:p>
    <w:p w14:paraId="5C188BB0" w14:textId="77777777" w:rsidR="00AB0EBE" w:rsidRPr="00AB0EBE" w:rsidRDefault="00AB0EBE" w:rsidP="00AB0EBE">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Indirect Assays</w:t>
      </w:r>
    </w:p>
    <w:p w14:paraId="34B3D04E" w14:textId="77777777" w:rsidR="00AB0EBE" w:rsidRPr="00AB0EBE" w:rsidRDefault="00AB0EBE" w:rsidP="00AB0EBE">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Direct Assays</w:t>
      </w:r>
    </w:p>
    <w:p w14:paraId="714B135B" w14:textId="77777777" w:rsidR="00AB0EBE" w:rsidRPr="00AB0EBE" w:rsidRDefault="00AB0EBE" w:rsidP="00AB0EB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B0EBE">
        <w:rPr>
          <w:rFonts w:ascii="Segoe UI" w:eastAsia="Times New Roman" w:hAnsi="Segoe UI" w:cs="Segoe UI"/>
          <w:b/>
          <w:bCs/>
          <w:color w:val="0D0D0D"/>
          <w:sz w:val="24"/>
          <w:szCs w:val="24"/>
          <w:lang w:eastAsia="en-IN"/>
        </w:rPr>
        <w:t>By Application:</w:t>
      </w:r>
    </w:p>
    <w:p w14:paraId="68326DC9" w14:textId="77777777" w:rsidR="00AB0EBE" w:rsidRPr="00AB0EBE" w:rsidRDefault="00AB0EBE" w:rsidP="00AB0EB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Drug Discovery &amp; Preclinical Research</w:t>
      </w:r>
    </w:p>
    <w:p w14:paraId="71AAAF3A" w14:textId="77777777" w:rsidR="00AB0EBE" w:rsidRPr="00AB0EBE" w:rsidRDefault="00AB0EBE" w:rsidP="00AB0EB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Clinical Diagnostics</w:t>
      </w:r>
    </w:p>
    <w:p w14:paraId="3C1143E6" w14:textId="77777777" w:rsidR="00AB0EBE" w:rsidRPr="00AB0EBE" w:rsidRDefault="00AB0EBE" w:rsidP="00AB0EB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Toxicology Testing</w:t>
      </w:r>
    </w:p>
    <w:p w14:paraId="7D66A3E5" w14:textId="77777777" w:rsidR="00AB0EBE" w:rsidRPr="00AB0EBE" w:rsidRDefault="00AB0EBE" w:rsidP="00AB0EB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Nutraceutical and Cosmetic Testing</w:t>
      </w:r>
    </w:p>
    <w:p w14:paraId="65AA841F" w14:textId="77777777" w:rsidR="00AB0EBE" w:rsidRPr="00AB0EBE" w:rsidRDefault="00AB0EBE" w:rsidP="00AB0EB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B0EBE">
        <w:rPr>
          <w:rFonts w:ascii="Segoe UI" w:eastAsia="Times New Roman" w:hAnsi="Segoe UI" w:cs="Segoe UI"/>
          <w:b/>
          <w:bCs/>
          <w:color w:val="0D0D0D"/>
          <w:sz w:val="24"/>
          <w:szCs w:val="24"/>
          <w:lang w:eastAsia="en-IN"/>
        </w:rPr>
        <w:t>By End User:</w:t>
      </w:r>
    </w:p>
    <w:p w14:paraId="599B83E2" w14:textId="77777777" w:rsidR="00AB0EBE" w:rsidRPr="00AB0EBE" w:rsidRDefault="00AB0EBE" w:rsidP="00AB0EB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lastRenderedPageBreak/>
        <w:t>Pharmaceutical &amp; Biotechnology Companies</w:t>
      </w:r>
    </w:p>
    <w:p w14:paraId="3E1F6126" w14:textId="77777777" w:rsidR="00AB0EBE" w:rsidRPr="00AB0EBE" w:rsidRDefault="00AB0EBE" w:rsidP="00AB0EB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Academic &amp; Research Institutes</w:t>
      </w:r>
    </w:p>
    <w:p w14:paraId="54DEC5CC" w14:textId="77777777" w:rsidR="00AB0EBE" w:rsidRPr="00AB0EBE" w:rsidRDefault="00AB0EBE" w:rsidP="00AB0EB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Contract Research Organizations (CROs)</w:t>
      </w:r>
    </w:p>
    <w:p w14:paraId="0156F888" w14:textId="77777777" w:rsidR="00AB0EBE" w:rsidRPr="00AB0EBE" w:rsidRDefault="00AB0EBE" w:rsidP="00AB0EB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Hospitals and Diagnostic Labs</w:t>
      </w:r>
    </w:p>
    <w:p w14:paraId="00892F95" w14:textId="77777777" w:rsidR="00AB0EBE" w:rsidRPr="00AB0EBE" w:rsidRDefault="00AB0EBE" w:rsidP="00AB0EB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AB0EBE">
        <w:rPr>
          <w:rFonts w:ascii="Segoe UI" w:eastAsia="Times New Roman" w:hAnsi="Segoe UI" w:cs="Segoe UI"/>
          <w:b/>
          <w:bCs/>
          <w:color w:val="0D0D0D"/>
          <w:sz w:val="24"/>
          <w:szCs w:val="24"/>
          <w:lang w:eastAsia="en-IN"/>
        </w:rPr>
        <w:t>By Region:</w:t>
      </w:r>
    </w:p>
    <w:p w14:paraId="29F3271F" w14:textId="77777777" w:rsidR="00AB0EBE" w:rsidRPr="00AB0EBE" w:rsidRDefault="00AB0EBE" w:rsidP="00AB0EB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North America</w:t>
      </w:r>
    </w:p>
    <w:p w14:paraId="703093E1" w14:textId="77777777" w:rsidR="00AB0EBE" w:rsidRPr="00AB0EBE" w:rsidRDefault="00AB0EBE" w:rsidP="00AB0EB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Europe</w:t>
      </w:r>
    </w:p>
    <w:p w14:paraId="12A61876" w14:textId="77777777" w:rsidR="00AB0EBE" w:rsidRPr="00AB0EBE" w:rsidRDefault="00AB0EBE" w:rsidP="00AB0EB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Asia-Pacific</w:t>
      </w:r>
    </w:p>
    <w:p w14:paraId="09053086" w14:textId="77777777" w:rsidR="00AB0EBE" w:rsidRPr="00AB0EBE" w:rsidRDefault="00AB0EBE" w:rsidP="00AB0EB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Latin America</w:t>
      </w:r>
    </w:p>
    <w:p w14:paraId="27234D5D" w14:textId="77777777" w:rsidR="00AB0EBE" w:rsidRPr="00AB0EBE" w:rsidRDefault="00AB0EBE" w:rsidP="00AB0EB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Middle East &amp; Africa</w:t>
      </w:r>
    </w:p>
    <w:p w14:paraId="105BA39B"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4E5DA23A">
          <v:rect id="_x0000_i1059" style="width:0;height:0" o:hralign="center" o:hrstd="t" o:hrnoshade="t" o:hr="t" fillcolor="#0d0d0d" stroked="f"/>
        </w:pict>
      </w:r>
    </w:p>
    <w:p w14:paraId="26A03B57"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Regional Market Analysis</w:t>
      </w:r>
    </w:p>
    <w:p w14:paraId="6C113DC3" w14:textId="77777777" w:rsidR="00AB0EBE" w:rsidRPr="00AB0EBE" w:rsidRDefault="00AB0EBE" w:rsidP="00AB0EB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B0EBE">
        <w:rPr>
          <w:rFonts w:ascii="Segoe UI" w:eastAsia="Times New Roman" w:hAnsi="Segoe UI" w:cs="Segoe UI"/>
          <w:b/>
          <w:bCs/>
          <w:color w:val="0D0D0D"/>
          <w:sz w:val="24"/>
          <w:szCs w:val="24"/>
          <w:lang w:eastAsia="en-IN"/>
        </w:rPr>
        <w:t>North America</w:t>
      </w:r>
    </w:p>
    <w:p w14:paraId="6C7B54C7" w14:textId="77777777" w:rsidR="00AB0EBE" w:rsidRPr="00AB0EBE" w:rsidRDefault="00AB0EBE" w:rsidP="00AB0EBE">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Forecast (2024–2030)</w:t>
      </w:r>
    </w:p>
    <w:p w14:paraId="527048B5" w14:textId="77777777" w:rsidR="00AB0EBE" w:rsidRPr="00AB0EBE" w:rsidRDefault="00AB0EBE" w:rsidP="00AB0EBE">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Country-Level Analysis: United States, Canada, Mexico</w:t>
      </w:r>
    </w:p>
    <w:p w14:paraId="38A22FAE" w14:textId="77777777" w:rsidR="00AB0EBE" w:rsidRPr="00AB0EBE" w:rsidRDefault="00AB0EBE" w:rsidP="00AB0EB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B0EBE">
        <w:rPr>
          <w:rFonts w:ascii="Segoe UI" w:eastAsia="Times New Roman" w:hAnsi="Segoe UI" w:cs="Segoe UI"/>
          <w:b/>
          <w:bCs/>
          <w:color w:val="0D0D0D"/>
          <w:sz w:val="24"/>
          <w:szCs w:val="24"/>
          <w:lang w:eastAsia="en-IN"/>
        </w:rPr>
        <w:t>Europe</w:t>
      </w:r>
    </w:p>
    <w:p w14:paraId="410BFD94" w14:textId="77777777" w:rsidR="00AB0EBE" w:rsidRPr="00AB0EBE" w:rsidRDefault="00AB0EBE" w:rsidP="00AB0EB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Forecast (2024–2030)</w:t>
      </w:r>
    </w:p>
    <w:p w14:paraId="040BE8AB" w14:textId="77777777" w:rsidR="00AB0EBE" w:rsidRPr="00AB0EBE" w:rsidRDefault="00AB0EBE" w:rsidP="00AB0EB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Country-Level Analysis: Germany, United Kingdom, France, Italy, Spain, Rest of Europe</w:t>
      </w:r>
    </w:p>
    <w:p w14:paraId="57E989B0" w14:textId="77777777" w:rsidR="00AB0EBE" w:rsidRPr="00AB0EBE" w:rsidRDefault="00AB0EBE" w:rsidP="00AB0EB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B0EBE">
        <w:rPr>
          <w:rFonts w:ascii="Segoe UI" w:eastAsia="Times New Roman" w:hAnsi="Segoe UI" w:cs="Segoe UI"/>
          <w:b/>
          <w:bCs/>
          <w:color w:val="0D0D0D"/>
          <w:sz w:val="24"/>
          <w:szCs w:val="24"/>
          <w:lang w:eastAsia="en-IN"/>
        </w:rPr>
        <w:t>Asia-Pacific</w:t>
      </w:r>
    </w:p>
    <w:p w14:paraId="35540D2A" w14:textId="77777777" w:rsidR="00AB0EBE" w:rsidRPr="00AB0EBE" w:rsidRDefault="00AB0EBE" w:rsidP="00AB0EB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Forecast (2024–2030)</w:t>
      </w:r>
    </w:p>
    <w:p w14:paraId="7489D122" w14:textId="77777777" w:rsidR="00AB0EBE" w:rsidRPr="00AB0EBE" w:rsidRDefault="00AB0EBE" w:rsidP="00AB0EB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Country-Level Analysis: China, India, Japan, South Korea, Rest of Asia-Pacific</w:t>
      </w:r>
    </w:p>
    <w:p w14:paraId="6628ED20" w14:textId="77777777" w:rsidR="00AB0EBE" w:rsidRPr="00AB0EBE" w:rsidRDefault="00AB0EBE" w:rsidP="00AB0EB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B0EBE">
        <w:rPr>
          <w:rFonts w:ascii="Segoe UI" w:eastAsia="Times New Roman" w:hAnsi="Segoe UI" w:cs="Segoe UI"/>
          <w:b/>
          <w:bCs/>
          <w:color w:val="0D0D0D"/>
          <w:sz w:val="24"/>
          <w:szCs w:val="24"/>
          <w:lang w:eastAsia="en-IN"/>
        </w:rPr>
        <w:t>Latin America</w:t>
      </w:r>
    </w:p>
    <w:p w14:paraId="4B1DD47E" w14:textId="77777777" w:rsidR="00AB0EBE" w:rsidRPr="00AB0EBE" w:rsidRDefault="00AB0EBE" w:rsidP="00AB0EBE">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Forecast (2024–2030)</w:t>
      </w:r>
    </w:p>
    <w:p w14:paraId="526DC6E1" w14:textId="77777777" w:rsidR="00AB0EBE" w:rsidRPr="00AB0EBE" w:rsidRDefault="00AB0EBE" w:rsidP="00AB0EBE">
      <w:pPr>
        <w:numPr>
          <w:ilvl w:val="0"/>
          <w:numId w:val="34"/>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Country-Level Analysis: Brazil, Argentina, Rest of Latin America</w:t>
      </w:r>
    </w:p>
    <w:p w14:paraId="58738F29" w14:textId="77777777" w:rsidR="00AB0EBE" w:rsidRPr="00AB0EBE" w:rsidRDefault="00AB0EBE" w:rsidP="00AB0EB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AB0EBE">
        <w:rPr>
          <w:rFonts w:ascii="Segoe UI" w:eastAsia="Times New Roman" w:hAnsi="Segoe UI" w:cs="Segoe UI"/>
          <w:b/>
          <w:bCs/>
          <w:color w:val="0D0D0D"/>
          <w:sz w:val="24"/>
          <w:szCs w:val="24"/>
          <w:lang w:eastAsia="en-IN"/>
        </w:rPr>
        <w:t>Middle East &amp; Africa</w:t>
      </w:r>
    </w:p>
    <w:p w14:paraId="64480789" w14:textId="77777777" w:rsidR="00AB0EBE" w:rsidRPr="00AB0EBE" w:rsidRDefault="00AB0EBE" w:rsidP="00AB0EBE">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and Forecast (2024–2030)</w:t>
      </w:r>
    </w:p>
    <w:p w14:paraId="3A560556" w14:textId="77777777" w:rsidR="00AB0EBE" w:rsidRPr="00AB0EBE" w:rsidRDefault="00AB0EBE" w:rsidP="00AB0EBE">
      <w:pPr>
        <w:numPr>
          <w:ilvl w:val="0"/>
          <w:numId w:val="35"/>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Country-Level Analysis: GCC Countries, South Africa, Rest of Middle East &amp; Africa</w:t>
      </w:r>
    </w:p>
    <w:p w14:paraId="111783AB"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lastRenderedPageBreak/>
        <w:pict w14:anchorId="79255D90">
          <v:rect id="_x0000_i1060" style="width:0;height:0" o:hralign="center" o:hrstd="t" o:hrnoshade="t" o:hr="t" fillcolor="#0d0d0d" stroked="f"/>
        </w:pict>
      </w:r>
    </w:p>
    <w:p w14:paraId="4E22FF47"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Key Players and Competitive Analysis</w:t>
      </w:r>
    </w:p>
    <w:p w14:paraId="2FA81D90"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Abcam plc</w:t>
      </w:r>
    </w:p>
    <w:p w14:paraId="5F82DDD3"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Thermo Fisher Scientific</w:t>
      </w:r>
    </w:p>
    <w:p w14:paraId="3A84D08D"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 xml:space="preserve">Merck </w:t>
      </w:r>
      <w:proofErr w:type="spellStart"/>
      <w:r w:rsidRPr="00AB0EBE">
        <w:rPr>
          <w:rFonts w:ascii="Segoe UI" w:eastAsia="Times New Roman" w:hAnsi="Segoe UI" w:cs="Segoe UI"/>
          <w:color w:val="0D0D0D"/>
          <w:sz w:val="24"/>
          <w:szCs w:val="24"/>
          <w:lang w:eastAsia="en-IN"/>
        </w:rPr>
        <w:t>KGaA</w:t>
      </w:r>
      <w:proofErr w:type="spellEnd"/>
      <w:r w:rsidRPr="00AB0EBE">
        <w:rPr>
          <w:rFonts w:ascii="Segoe UI" w:eastAsia="Times New Roman" w:hAnsi="Segoe UI" w:cs="Segoe UI"/>
          <w:color w:val="0D0D0D"/>
          <w:sz w:val="24"/>
          <w:szCs w:val="24"/>
          <w:lang w:eastAsia="en-IN"/>
        </w:rPr>
        <w:t xml:space="preserve"> (</w:t>
      </w:r>
      <w:proofErr w:type="spellStart"/>
      <w:r w:rsidRPr="00AB0EBE">
        <w:rPr>
          <w:rFonts w:ascii="Segoe UI" w:eastAsia="Times New Roman" w:hAnsi="Segoe UI" w:cs="Segoe UI"/>
          <w:color w:val="0D0D0D"/>
          <w:sz w:val="24"/>
          <w:szCs w:val="24"/>
          <w:lang w:eastAsia="en-IN"/>
        </w:rPr>
        <w:t>MilliporeSigma</w:t>
      </w:r>
      <w:proofErr w:type="spellEnd"/>
      <w:r w:rsidRPr="00AB0EBE">
        <w:rPr>
          <w:rFonts w:ascii="Segoe UI" w:eastAsia="Times New Roman" w:hAnsi="Segoe UI" w:cs="Segoe UI"/>
          <w:color w:val="0D0D0D"/>
          <w:sz w:val="24"/>
          <w:szCs w:val="24"/>
          <w:lang w:eastAsia="en-IN"/>
        </w:rPr>
        <w:t>)</w:t>
      </w:r>
    </w:p>
    <w:p w14:paraId="14419674"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Cayman Chemical</w:t>
      </w:r>
    </w:p>
    <w:p w14:paraId="3335A2D4"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proofErr w:type="spellStart"/>
      <w:r w:rsidRPr="00AB0EBE">
        <w:rPr>
          <w:rFonts w:ascii="Segoe UI" w:eastAsia="Times New Roman" w:hAnsi="Segoe UI" w:cs="Segoe UI"/>
          <w:color w:val="0D0D0D"/>
          <w:sz w:val="24"/>
          <w:szCs w:val="24"/>
          <w:lang w:eastAsia="en-IN"/>
        </w:rPr>
        <w:t>BioVision</w:t>
      </w:r>
      <w:proofErr w:type="spellEnd"/>
      <w:r w:rsidRPr="00AB0EBE">
        <w:rPr>
          <w:rFonts w:ascii="Segoe UI" w:eastAsia="Times New Roman" w:hAnsi="Segoe UI" w:cs="Segoe UI"/>
          <w:color w:val="0D0D0D"/>
          <w:sz w:val="24"/>
          <w:szCs w:val="24"/>
          <w:lang w:eastAsia="en-IN"/>
        </w:rPr>
        <w:t xml:space="preserve"> Inc.</w:t>
      </w:r>
    </w:p>
    <w:p w14:paraId="2BB46BD2"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Cell Biolabs, Inc.</w:t>
      </w:r>
    </w:p>
    <w:p w14:paraId="439911BC"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Comparative Benchmarking Table</w:t>
      </w:r>
    </w:p>
    <w:p w14:paraId="624A26D9" w14:textId="77777777" w:rsidR="00AB0EBE" w:rsidRPr="00AB0EBE" w:rsidRDefault="00AB0EBE" w:rsidP="00AB0EBE">
      <w:pPr>
        <w:numPr>
          <w:ilvl w:val="0"/>
          <w:numId w:val="36"/>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Competitive Strategy Analysis</w:t>
      </w:r>
    </w:p>
    <w:p w14:paraId="51C12C98"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29835CFE">
          <v:rect id="_x0000_i1061" style="width:0;height:0" o:hralign="center" o:hrstd="t" o:hrnoshade="t" o:hr="t" fillcolor="#0d0d0d" stroked="f"/>
        </w:pict>
      </w:r>
    </w:p>
    <w:p w14:paraId="7AD8B448"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Appendix</w:t>
      </w:r>
    </w:p>
    <w:p w14:paraId="66893207" w14:textId="77777777" w:rsidR="00AB0EBE" w:rsidRPr="00AB0EBE" w:rsidRDefault="00AB0EBE" w:rsidP="00AB0EBE">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Abbreviations and Terminologies Used</w:t>
      </w:r>
    </w:p>
    <w:p w14:paraId="38512AC2" w14:textId="77777777" w:rsidR="00AB0EBE" w:rsidRPr="00AB0EBE" w:rsidRDefault="00AB0EBE" w:rsidP="00AB0EBE">
      <w:pPr>
        <w:numPr>
          <w:ilvl w:val="0"/>
          <w:numId w:val="37"/>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References and Sources</w:t>
      </w:r>
    </w:p>
    <w:p w14:paraId="1CE223C1"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2F934388">
          <v:rect id="_x0000_i1062" style="width:0;height:0" o:hralign="center" o:hrstd="t" o:hrnoshade="t" o:hr="t" fillcolor="#0d0d0d" stroked="f"/>
        </w:pict>
      </w:r>
    </w:p>
    <w:p w14:paraId="2A825D56"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List of Tables</w:t>
      </w:r>
    </w:p>
    <w:p w14:paraId="664364E3" w14:textId="77777777" w:rsidR="00AB0EBE" w:rsidRPr="00AB0EBE" w:rsidRDefault="00AB0EBE" w:rsidP="00AB0EBE">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Size by Product Type, Assay Type, Application, End User, and Region (2024–2030)</w:t>
      </w:r>
    </w:p>
    <w:p w14:paraId="42823E98" w14:textId="77777777" w:rsidR="00AB0EBE" w:rsidRPr="00AB0EBE" w:rsidRDefault="00AB0EBE" w:rsidP="00AB0EBE">
      <w:pPr>
        <w:numPr>
          <w:ilvl w:val="0"/>
          <w:numId w:val="38"/>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Regional Market Breakdown by Product Type and Application (2024–2030)</w:t>
      </w:r>
    </w:p>
    <w:p w14:paraId="19A816CD" w14:textId="77777777" w:rsidR="00AB0EBE" w:rsidRPr="00AB0EBE" w:rsidRDefault="00AB0EBE" w:rsidP="00AB0EBE">
      <w:pPr>
        <w:spacing w:before="720" w:after="720" w:line="240" w:lineRule="auto"/>
        <w:rPr>
          <w:rFonts w:ascii="Times New Roman" w:eastAsia="Times New Roman" w:hAnsi="Times New Roman" w:cs="Times New Roman"/>
          <w:sz w:val="24"/>
          <w:szCs w:val="24"/>
          <w:lang w:eastAsia="en-IN"/>
        </w:rPr>
      </w:pPr>
      <w:r w:rsidRPr="00AB0EBE">
        <w:rPr>
          <w:rFonts w:ascii="Times New Roman" w:eastAsia="Times New Roman" w:hAnsi="Times New Roman" w:cs="Times New Roman"/>
          <w:sz w:val="24"/>
          <w:szCs w:val="24"/>
          <w:lang w:eastAsia="en-IN"/>
        </w:rPr>
        <w:pict w14:anchorId="3F928848">
          <v:rect id="_x0000_i1063" style="width:0;height:0" o:hralign="center" o:hrstd="t" o:hrnoshade="t" o:hr="t" fillcolor="#0d0d0d" stroked="f"/>
        </w:pict>
      </w:r>
    </w:p>
    <w:p w14:paraId="607F782F" w14:textId="77777777" w:rsidR="00AB0EBE" w:rsidRPr="00AB0EBE" w:rsidRDefault="00AB0EBE" w:rsidP="00AB0EBE">
      <w:pPr>
        <w:shd w:val="clear" w:color="auto" w:fill="FFFFFF"/>
        <w:spacing w:after="0" w:line="240" w:lineRule="auto"/>
        <w:outlineLvl w:val="2"/>
        <w:rPr>
          <w:rFonts w:ascii="Segoe UI" w:eastAsia="Times New Roman" w:hAnsi="Segoe UI" w:cs="Segoe UI"/>
          <w:b/>
          <w:bCs/>
          <w:color w:val="0D0D0D"/>
          <w:sz w:val="30"/>
          <w:szCs w:val="30"/>
          <w:lang w:eastAsia="en-IN"/>
        </w:rPr>
      </w:pPr>
      <w:r w:rsidRPr="00AB0EBE">
        <w:rPr>
          <w:rFonts w:ascii="Segoe UI" w:eastAsia="Times New Roman" w:hAnsi="Segoe UI" w:cs="Segoe UI"/>
          <w:b/>
          <w:bCs/>
          <w:color w:val="0D0D0D"/>
          <w:sz w:val="30"/>
          <w:szCs w:val="30"/>
          <w:lang w:eastAsia="en-IN"/>
        </w:rPr>
        <w:t>List of Figures</w:t>
      </w:r>
    </w:p>
    <w:p w14:paraId="15328861" w14:textId="77777777" w:rsidR="00AB0EBE" w:rsidRPr="00AB0EBE" w:rsidRDefault="00AB0EBE" w:rsidP="00AB0EBE">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Dynamics: Drivers, Restraints, Opportunities</w:t>
      </w:r>
    </w:p>
    <w:p w14:paraId="4EA6BAE4" w14:textId="77777777" w:rsidR="00AB0EBE" w:rsidRPr="00AB0EBE" w:rsidRDefault="00AB0EBE" w:rsidP="00AB0EBE">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Regional Market Snapshot</w:t>
      </w:r>
    </w:p>
    <w:p w14:paraId="6D5CABDF" w14:textId="77777777" w:rsidR="00AB0EBE" w:rsidRPr="00AB0EBE" w:rsidRDefault="00AB0EBE" w:rsidP="00AB0EBE">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Competitive Landscape and Market Share Distribution</w:t>
      </w:r>
    </w:p>
    <w:p w14:paraId="173A6B32" w14:textId="77777777" w:rsidR="00AB0EBE" w:rsidRPr="00AB0EBE" w:rsidRDefault="00AB0EBE" w:rsidP="00AB0EBE">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Growth Strategies of Leading Players</w:t>
      </w:r>
    </w:p>
    <w:p w14:paraId="372F2745" w14:textId="77777777" w:rsidR="00AB0EBE" w:rsidRPr="00AB0EBE" w:rsidRDefault="00AB0EBE" w:rsidP="00AB0EBE">
      <w:pPr>
        <w:numPr>
          <w:ilvl w:val="0"/>
          <w:numId w:val="39"/>
        </w:numPr>
        <w:shd w:val="clear" w:color="auto" w:fill="FFFFFF"/>
        <w:spacing w:after="0" w:line="240" w:lineRule="auto"/>
        <w:rPr>
          <w:rFonts w:ascii="Segoe UI" w:eastAsia="Times New Roman" w:hAnsi="Segoe UI" w:cs="Segoe UI"/>
          <w:color w:val="0D0D0D"/>
          <w:sz w:val="24"/>
          <w:szCs w:val="24"/>
          <w:lang w:eastAsia="en-IN"/>
        </w:rPr>
      </w:pPr>
      <w:r w:rsidRPr="00AB0EBE">
        <w:rPr>
          <w:rFonts w:ascii="Segoe UI" w:eastAsia="Times New Roman" w:hAnsi="Segoe UI" w:cs="Segoe UI"/>
          <w:color w:val="0D0D0D"/>
          <w:sz w:val="24"/>
          <w:szCs w:val="24"/>
          <w:lang w:eastAsia="en-IN"/>
        </w:rPr>
        <w:t>Market Share by Segment (2024 vs. 2030)</w:t>
      </w:r>
    </w:p>
    <w:p w14:paraId="707D6C73"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52AC8"/>
    <w:multiLevelType w:val="multilevel"/>
    <w:tmpl w:val="11C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2680E"/>
    <w:multiLevelType w:val="multilevel"/>
    <w:tmpl w:val="6E2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761C19"/>
    <w:multiLevelType w:val="multilevel"/>
    <w:tmpl w:val="2E72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C13764"/>
    <w:multiLevelType w:val="multilevel"/>
    <w:tmpl w:val="5F5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E5FAE"/>
    <w:multiLevelType w:val="multilevel"/>
    <w:tmpl w:val="DF0C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947969"/>
    <w:multiLevelType w:val="multilevel"/>
    <w:tmpl w:val="05F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3A38E8"/>
    <w:multiLevelType w:val="multilevel"/>
    <w:tmpl w:val="915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B14723"/>
    <w:multiLevelType w:val="multilevel"/>
    <w:tmpl w:val="C0C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0C28D0"/>
    <w:multiLevelType w:val="multilevel"/>
    <w:tmpl w:val="F2C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C2298"/>
    <w:multiLevelType w:val="multilevel"/>
    <w:tmpl w:val="B094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EA40341"/>
    <w:multiLevelType w:val="multilevel"/>
    <w:tmpl w:val="F5C0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712E0"/>
    <w:multiLevelType w:val="multilevel"/>
    <w:tmpl w:val="BB6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F15CF9"/>
    <w:multiLevelType w:val="multilevel"/>
    <w:tmpl w:val="EEAA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FD74B6"/>
    <w:multiLevelType w:val="multilevel"/>
    <w:tmpl w:val="5FF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A11C17"/>
    <w:multiLevelType w:val="multilevel"/>
    <w:tmpl w:val="A39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2E21F9E"/>
    <w:multiLevelType w:val="multilevel"/>
    <w:tmpl w:val="29F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625038"/>
    <w:multiLevelType w:val="multilevel"/>
    <w:tmpl w:val="983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7166F8"/>
    <w:multiLevelType w:val="multilevel"/>
    <w:tmpl w:val="F8660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A77721"/>
    <w:multiLevelType w:val="multilevel"/>
    <w:tmpl w:val="E972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1A1809"/>
    <w:multiLevelType w:val="multilevel"/>
    <w:tmpl w:val="7CA44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F23BBE"/>
    <w:multiLevelType w:val="multilevel"/>
    <w:tmpl w:val="6102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E5727E"/>
    <w:multiLevelType w:val="multilevel"/>
    <w:tmpl w:val="5A28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436695"/>
    <w:multiLevelType w:val="multilevel"/>
    <w:tmpl w:val="3D5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78B2954"/>
    <w:multiLevelType w:val="multilevel"/>
    <w:tmpl w:val="5684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3246A6"/>
    <w:multiLevelType w:val="multilevel"/>
    <w:tmpl w:val="189A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C45B18"/>
    <w:multiLevelType w:val="multilevel"/>
    <w:tmpl w:val="E400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2605A1"/>
    <w:multiLevelType w:val="multilevel"/>
    <w:tmpl w:val="5C4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B02205"/>
    <w:multiLevelType w:val="multilevel"/>
    <w:tmpl w:val="9E0C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DC1DF4"/>
    <w:multiLevelType w:val="multilevel"/>
    <w:tmpl w:val="821E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567AB0"/>
    <w:multiLevelType w:val="multilevel"/>
    <w:tmpl w:val="13A6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B76494"/>
    <w:multiLevelType w:val="multilevel"/>
    <w:tmpl w:val="B510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E311FFA"/>
    <w:multiLevelType w:val="multilevel"/>
    <w:tmpl w:val="C14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A209F6"/>
    <w:multiLevelType w:val="multilevel"/>
    <w:tmpl w:val="9B46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4566A6D"/>
    <w:multiLevelType w:val="multilevel"/>
    <w:tmpl w:val="3C9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E55E0F"/>
    <w:multiLevelType w:val="multilevel"/>
    <w:tmpl w:val="3B1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1D05A3"/>
    <w:multiLevelType w:val="multilevel"/>
    <w:tmpl w:val="BE0A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0B2501"/>
    <w:multiLevelType w:val="multilevel"/>
    <w:tmpl w:val="892C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790402"/>
    <w:multiLevelType w:val="multilevel"/>
    <w:tmpl w:val="FA20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ED635C"/>
    <w:multiLevelType w:val="multilevel"/>
    <w:tmpl w:val="0344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33"/>
  </w:num>
  <w:num w:numId="3">
    <w:abstractNumId w:val="22"/>
  </w:num>
  <w:num w:numId="4">
    <w:abstractNumId w:val="12"/>
  </w:num>
  <w:num w:numId="5">
    <w:abstractNumId w:val="2"/>
  </w:num>
  <w:num w:numId="6">
    <w:abstractNumId w:val="23"/>
  </w:num>
  <w:num w:numId="7">
    <w:abstractNumId w:val="34"/>
  </w:num>
  <w:num w:numId="8">
    <w:abstractNumId w:val="19"/>
  </w:num>
  <w:num w:numId="9">
    <w:abstractNumId w:val="6"/>
  </w:num>
  <w:num w:numId="10">
    <w:abstractNumId w:val="15"/>
  </w:num>
  <w:num w:numId="11">
    <w:abstractNumId w:val="3"/>
  </w:num>
  <w:num w:numId="12">
    <w:abstractNumId w:val="18"/>
  </w:num>
  <w:num w:numId="13">
    <w:abstractNumId w:val="20"/>
  </w:num>
  <w:num w:numId="14">
    <w:abstractNumId w:val="21"/>
  </w:num>
  <w:num w:numId="15">
    <w:abstractNumId w:val="29"/>
  </w:num>
  <w:num w:numId="16">
    <w:abstractNumId w:val="24"/>
  </w:num>
  <w:num w:numId="17">
    <w:abstractNumId w:val="10"/>
  </w:num>
  <w:num w:numId="18">
    <w:abstractNumId w:val="17"/>
  </w:num>
  <w:num w:numId="19">
    <w:abstractNumId w:val="37"/>
  </w:num>
  <w:num w:numId="20">
    <w:abstractNumId w:val="25"/>
  </w:num>
  <w:num w:numId="21">
    <w:abstractNumId w:val="9"/>
  </w:num>
  <w:num w:numId="22">
    <w:abstractNumId w:val="1"/>
  </w:num>
  <w:num w:numId="23">
    <w:abstractNumId w:val="5"/>
  </w:num>
  <w:num w:numId="24">
    <w:abstractNumId w:val="13"/>
  </w:num>
  <w:num w:numId="25">
    <w:abstractNumId w:val="30"/>
  </w:num>
  <w:num w:numId="26">
    <w:abstractNumId w:val="8"/>
  </w:num>
  <w:num w:numId="27">
    <w:abstractNumId w:val="26"/>
  </w:num>
  <w:num w:numId="28">
    <w:abstractNumId w:val="0"/>
  </w:num>
  <w:num w:numId="29">
    <w:abstractNumId w:val="31"/>
  </w:num>
  <w:num w:numId="30">
    <w:abstractNumId w:val="27"/>
  </w:num>
  <w:num w:numId="31">
    <w:abstractNumId w:val="7"/>
  </w:num>
  <w:num w:numId="32">
    <w:abstractNumId w:val="28"/>
  </w:num>
  <w:num w:numId="33">
    <w:abstractNumId w:val="16"/>
  </w:num>
  <w:num w:numId="34">
    <w:abstractNumId w:val="14"/>
  </w:num>
  <w:num w:numId="35">
    <w:abstractNumId w:val="4"/>
  </w:num>
  <w:num w:numId="36">
    <w:abstractNumId w:val="38"/>
  </w:num>
  <w:num w:numId="37">
    <w:abstractNumId w:val="35"/>
  </w:num>
  <w:num w:numId="38">
    <w:abstractNumId w:val="36"/>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D0"/>
    <w:rsid w:val="0038114E"/>
    <w:rsid w:val="003D0AD0"/>
    <w:rsid w:val="007969D1"/>
    <w:rsid w:val="00A11F02"/>
    <w:rsid w:val="00AB0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7248D"/>
  <w15:chartTrackingRefBased/>
  <w15:docId w15:val="{E6B73A21-3C9B-4DC9-B9E2-B31BFA85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18962">
      <w:bodyDiv w:val="1"/>
      <w:marLeft w:val="0"/>
      <w:marRight w:val="0"/>
      <w:marTop w:val="0"/>
      <w:marBottom w:val="0"/>
      <w:divBdr>
        <w:top w:val="none" w:sz="0" w:space="0" w:color="auto"/>
        <w:left w:val="none" w:sz="0" w:space="0" w:color="auto"/>
        <w:bottom w:val="none" w:sz="0" w:space="0" w:color="auto"/>
        <w:right w:val="none" w:sz="0" w:space="0" w:color="auto"/>
      </w:divBdr>
    </w:div>
    <w:div w:id="620771266">
      <w:bodyDiv w:val="1"/>
      <w:marLeft w:val="0"/>
      <w:marRight w:val="0"/>
      <w:marTop w:val="0"/>
      <w:marBottom w:val="0"/>
      <w:divBdr>
        <w:top w:val="none" w:sz="0" w:space="0" w:color="auto"/>
        <w:left w:val="none" w:sz="0" w:space="0" w:color="auto"/>
        <w:bottom w:val="none" w:sz="0" w:space="0" w:color="auto"/>
        <w:right w:val="none" w:sz="0" w:space="0" w:color="auto"/>
      </w:divBdr>
    </w:div>
    <w:div w:id="777723268">
      <w:bodyDiv w:val="1"/>
      <w:marLeft w:val="0"/>
      <w:marRight w:val="0"/>
      <w:marTop w:val="0"/>
      <w:marBottom w:val="0"/>
      <w:divBdr>
        <w:top w:val="none" w:sz="0" w:space="0" w:color="auto"/>
        <w:left w:val="none" w:sz="0" w:space="0" w:color="auto"/>
        <w:bottom w:val="none" w:sz="0" w:space="0" w:color="auto"/>
        <w:right w:val="none" w:sz="0" w:space="0" w:color="auto"/>
      </w:divBdr>
    </w:div>
    <w:div w:id="923145070">
      <w:bodyDiv w:val="1"/>
      <w:marLeft w:val="0"/>
      <w:marRight w:val="0"/>
      <w:marTop w:val="0"/>
      <w:marBottom w:val="0"/>
      <w:divBdr>
        <w:top w:val="none" w:sz="0" w:space="0" w:color="auto"/>
        <w:left w:val="none" w:sz="0" w:space="0" w:color="auto"/>
        <w:bottom w:val="none" w:sz="0" w:space="0" w:color="auto"/>
        <w:right w:val="none" w:sz="0" w:space="0" w:color="auto"/>
      </w:divBdr>
    </w:div>
    <w:div w:id="934903737">
      <w:bodyDiv w:val="1"/>
      <w:marLeft w:val="0"/>
      <w:marRight w:val="0"/>
      <w:marTop w:val="0"/>
      <w:marBottom w:val="0"/>
      <w:divBdr>
        <w:top w:val="none" w:sz="0" w:space="0" w:color="auto"/>
        <w:left w:val="none" w:sz="0" w:space="0" w:color="auto"/>
        <w:bottom w:val="none" w:sz="0" w:space="0" w:color="auto"/>
        <w:right w:val="none" w:sz="0" w:space="0" w:color="auto"/>
      </w:divBdr>
    </w:div>
    <w:div w:id="1077358138">
      <w:bodyDiv w:val="1"/>
      <w:marLeft w:val="0"/>
      <w:marRight w:val="0"/>
      <w:marTop w:val="0"/>
      <w:marBottom w:val="0"/>
      <w:divBdr>
        <w:top w:val="none" w:sz="0" w:space="0" w:color="auto"/>
        <w:left w:val="none" w:sz="0" w:space="0" w:color="auto"/>
        <w:bottom w:val="none" w:sz="0" w:space="0" w:color="auto"/>
        <w:right w:val="none" w:sz="0" w:space="0" w:color="auto"/>
      </w:divBdr>
      <w:divsChild>
        <w:div w:id="977076543">
          <w:marLeft w:val="0"/>
          <w:marRight w:val="0"/>
          <w:marTop w:val="0"/>
          <w:marBottom w:val="0"/>
          <w:divBdr>
            <w:top w:val="none" w:sz="0" w:space="0" w:color="auto"/>
            <w:left w:val="none" w:sz="0" w:space="0" w:color="auto"/>
            <w:bottom w:val="none" w:sz="0" w:space="0" w:color="auto"/>
            <w:right w:val="none" w:sz="0" w:space="0" w:color="auto"/>
          </w:divBdr>
          <w:divsChild>
            <w:div w:id="36055418">
              <w:marLeft w:val="0"/>
              <w:marRight w:val="0"/>
              <w:marTop w:val="0"/>
              <w:marBottom w:val="0"/>
              <w:divBdr>
                <w:top w:val="none" w:sz="0" w:space="0" w:color="auto"/>
                <w:left w:val="none" w:sz="0" w:space="0" w:color="auto"/>
                <w:bottom w:val="none" w:sz="0" w:space="0" w:color="auto"/>
                <w:right w:val="none" w:sz="0" w:space="0" w:color="auto"/>
              </w:divBdr>
            </w:div>
          </w:divsChild>
        </w:div>
        <w:div w:id="944120604">
          <w:marLeft w:val="0"/>
          <w:marRight w:val="0"/>
          <w:marTop w:val="0"/>
          <w:marBottom w:val="0"/>
          <w:divBdr>
            <w:top w:val="none" w:sz="0" w:space="0" w:color="auto"/>
            <w:left w:val="none" w:sz="0" w:space="0" w:color="auto"/>
            <w:bottom w:val="none" w:sz="0" w:space="0" w:color="auto"/>
            <w:right w:val="none" w:sz="0" w:space="0" w:color="auto"/>
          </w:divBdr>
          <w:divsChild>
            <w:div w:id="82917621">
              <w:marLeft w:val="0"/>
              <w:marRight w:val="0"/>
              <w:marTop w:val="0"/>
              <w:marBottom w:val="0"/>
              <w:divBdr>
                <w:top w:val="none" w:sz="0" w:space="0" w:color="auto"/>
                <w:left w:val="none" w:sz="0" w:space="0" w:color="auto"/>
                <w:bottom w:val="none" w:sz="0" w:space="0" w:color="auto"/>
                <w:right w:val="none" w:sz="0" w:space="0" w:color="auto"/>
              </w:divBdr>
            </w:div>
          </w:divsChild>
        </w:div>
        <w:div w:id="245113508">
          <w:marLeft w:val="0"/>
          <w:marRight w:val="0"/>
          <w:marTop w:val="0"/>
          <w:marBottom w:val="0"/>
          <w:divBdr>
            <w:top w:val="none" w:sz="0" w:space="0" w:color="auto"/>
            <w:left w:val="none" w:sz="0" w:space="0" w:color="auto"/>
            <w:bottom w:val="none" w:sz="0" w:space="0" w:color="auto"/>
            <w:right w:val="none" w:sz="0" w:space="0" w:color="auto"/>
          </w:divBdr>
          <w:divsChild>
            <w:div w:id="1957636848">
              <w:marLeft w:val="0"/>
              <w:marRight w:val="0"/>
              <w:marTop w:val="0"/>
              <w:marBottom w:val="0"/>
              <w:divBdr>
                <w:top w:val="none" w:sz="0" w:space="0" w:color="auto"/>
                <w:left w:val="none" w:sz="0" w:space="0" w:color="auto"/>
                <w:bottom w:val="none" w:sz="0" w:space="0" w:color="auto"/>
                <w:right w:val="none" w:sz="0" w:space="0" w:color="auto"/>
              </w:divBdr>
            </w:div>
            <w:div w:id="1478453400">
              <w:marLeft w:val="0"/>
              <w:marRight w:val="0"/>
              <w:marTop w:val="0"/>
              <w:marBottom w:val="0"/>
              <w:divBdr>
                <w:top w:val="none" w:sz="0" w:space="0" w:color="auto"/>
                <w:left w:val="none" w:sz="0" w:space="0" w:color="auto"/>
                <w:bottom w:val="none" w:sz="0" w:space="0" w:color="auto"/>
                <w:right w:val="none" w:sz="0" w:space="0" w:color="auto"/>
              </w:divBdr>
              <w:divsChild>
                <w:div w:id="686831836">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3769">
              <w:marLeft w:val="0"/>
              <w:marRight w:val="0"/>
              <w:marTop w:val="0"/>
              <w:marBottom w:val="0"/>
              <w:divBdr>
                <w:top w:val="none" w:sz="0" w:space="0" w:color="auto"/>
                <w:left w:val="none" w:sz="0" w:space="0" w:color="auto"/>
                <w:bottom w:val="none" w:sz="0" w:space="0" w:color="auto"/>
                <w:right w:val="none" w:sz="0" w:space="0" w:color="auto"/>
              </w:divBdr>
            </w:div>
          </w:divsChild>
        </w:div>
        <w:div w:id="1546066474">
          <w:marLeft w:val="0"/>
          <w:marRight w:val="0"/>
          <w:marTop w:val="0"/>
          <w:marBottom w:val="0"/>
          <w:divBdr>
            <w:top w:val="none" w:sz="0" w:space="0" w:color="auto"/>
            <w:left w:val="none" w:sz="0" w:space="0" w:color="auto"/>
            <w:bottom w:val="none" w:sz="0" w:space="0" w:color="auto"/>
            <w:right w:val="none" w:sz="0" w:space="0" w:color="auto"/>
          </w:divBdr>
          <w:divsChild>
            <w:div w:id="1870489136">
              <w:marLeft w:val="0"/>
              <w:marRight w:val="0"/>
              <w:marTop w:val="0"/>
              <w:marBottom w:val="0"/>
              <w:divBdr>
                <w:top w:val="none" w:sz="0" w:space="0" w:color="auto"/>
                <w:left w:val="none" w:sz="0" w:space="0" w:color="auto"/>
                <w:bottom w:val="none" w:sz="0" w:space="0" w:color="auto"/>
                <w:right w:val="none" w:sz="0" w:space="0" w:color="auto"/>
              </w:divBdr>
            </w:div>
            <w:div w:id="1152060173">
              <w:marLeft w:val="0"/>
              <w:marRight w:val="0"/>
              <w:marTop w:val="0"/>
              <w:marBottom w:val="0"/>
              <w:divBdr>
                <w:top w:val="none" w:sz="0" w:space="0" w:color="auto"/>
                <w:left w:val="none" w:sz="0" w:space="0" w:color="auto"/>
                <w:bottom w:val="none" w:sz="0" w:space="0" w:color="auto"/>
                <w:right w:val="none" w:sz="0" w:space="0" w:color="auto"/>
              </w:divBdr>
              <w:divsChild>
                <w:div w:id="709452422">
                  <w:marLeft w:val="0"/>
                  <w:marRight w:val="0"/>
                  <w:marTop w:val="0"/>
                  <w:marBottom w:val="0"/>
                  <w:divBdr>
                    <w:top w:val="none" w:sz="0" w:space="0" w:color="auto"/>
                    <w:left w:val="none" w:sz="0" w:space="0" w:color="auto"/>
                    <w:bottom w:val="none" w:sz="0" w:space="0" w:color="auto"/>
                    <w:right w:val="none" w:sz="0" w:space="0" w:color="auto"/>
                  </w:divBdr>
                  <w:divsChild>
                    <w:div w:id="19277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7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6198">
      <w:bodyDiv w:val="1"/>
      <w:marLeft w:val="0"/>
      <w:marRight w:val="0"/>
      <w:marTop w:val="0"/>
      <w:marBottom w:val="0"/>
      <w:divBdr>
        <w:top w:val="none" w:sz="0" w:space="0" w:color="auto"/>
        <w:left w:val="none" w:sz="0" w:space="0" w:color="auto"/>
        <w:bottom w:val="none" w:sz="0" w:space="0" w:color="auto"/>
        <w:right w:val="none" w:sz="0" w:space="0" w:color="auto"/>
      </w:divBdr>
    </w:div>
    <w:div w:id="1534003772">
      <w:bodyDiv w:val="1"/>
      <w:marLeft w:val="0"/>
      <w:marRight w:val="0"/>
      <w:marTop w:val="0"/>
      <w:marBottom w:val="0"/>
      <w:divBdr>
        <w:top w:val="none" w:sz="0" w:space="0" w:color="auto"/>
        <w:left w:val="none" w:sz="0" w:space="0" w:color="auto"/>
        <w:bottom w:val="none" w:sz="0" w:space="0" w:color="auto"/>
        <w:right w:val="none" w:sz="0" w:space="0" w:color="auto"/>
      </w:divBdr>
    </w:div>
    <w:div w:id="197263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20</Pages>
  <Words>4271</Words>
  <Characters>24348</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2025-06-26T07:32:00Z</dcterms:created>
  <dcterms:modified xsi:type="dcterms:W3CDTF">2025-06-26T08:01:00Z</dcterms:modified>
</cp:coreProperties>
</file>