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Calibri" w:cs="Calibri" w:eastAsia="Calibri" w:hAnsi="Calibri"/>
          <w:b/>
          <w:bCs/>
          <w:color w:val="1F3864"/>
          <w:sz w:val="54"/>
          <w:szCs w:val="54"/>
        </w:rPr>
        <w:t xml:space="preserve">evalkit &amp; evalskills</w:t>
      </w:r>
    </w:p>
    <w:p>
      <w:pPr>
        <w:spacing w:after="400"/>
        <w:jc w:val="center"/>
      </w:pPr>
      <w:r>
        <w:rPr>
          <w:rFonts w:ascii="Calibri" w:cs="Calibri" w:eastAsia="Calibri" w:hAnsi="Calibri"/>
          <w:color w:val="404040"/>
          <w:sz w:val="28"/>
          <w:szCs w:val="28"/>
        </w:rPr>
        <w:t xml:space="preserve">Detailed Design: an Eval Python Module Library and an Eval Agent Skill Library — Tracing Standardization, Inference, Pattern Testing, Meta-Skills for Customization, and a Working Prototype</w:t>
      </w:r>
    </w:p>
    <w:p>
      <w:pPr>
        <w:spacing w:after="120"/>
        <w:jc w:val="center"/>
      </w:pPr>
      <w:r>
        <w:rPr>
          <w:rFonts w:ascii="Calibri" w:cs="Calibri" w:eastAsia="Calibri" w:hAnsi="Calibri"/>
          <w:i/>
          <w:iCs/>
          <w:color w:val="595959"/>
          <w:sz w:val="22"/>
          <w:szCs w:val="22"/>
        </w:rPr>
        <w:t xml:space="preserve">Design Document — companion to the GenAI &amp; Agentic Evaluation Survey (2nd ed.)</w:t>
      </w:r>
    </w:p>
    <w:p>
      <w:pPr>
        <w:jc w:val="center"/>
      </w:pPr>
      <w:r>
        <w:rPr>
          <w:rFonts w:ascii="Calibri" w:cs="Calibri" w:eastAsia="Calibri" w:hAnsi="Calibri"/>
          <w:color w:val="595959"/>
          <w:sz w:val="24"/>
          <w:szCs w:val="24"/>
        </w:rPr>
        <w:t xml:space="preserve">July 2026</w:t>
      </w:r>
    </w:p>
    <w:p>
      <w:r>
        <w:br w:type="page"/>
      </w:r>
    </w:p>
    <w:p>
      <w:pPr>
        <w:spacing w:after="200"/>
      </w:pPr>
      <w:r>
        <w:rPr>
          <w:rFonts w:ascii="Calibri" w:cs="Calibri" w:eastAsia="Calibri" w:hAnsi="Calibri"/>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20"/>
      </w:pPr>
      <w:r>
        <w:t xml:space="preserve">1. Purpose and Design Goals</w:t>
      </w:r>
    </w:p>
    <w:p>
      <w:pPr>
        <w:spacing w:after="160" w:line="276"/>
      </w:pPr>
      <w:r>
        <w:rPr>
          <w:rFonts w:ascii="Calibri" w:cs="Calibri" w:eastAsia="Calibri" w:hAnsi="Calibri"/>
          <w:sz w:val="22"/>
          <w:szCs w:val="22"/>
        </w:rPr>
        <w:t xml:space="preserve">This document specifies two libraries that operationalize the eval-library architecture proposed in the companion white paper (“Evaluating Generative and Agentic AI,” 2nd ed., §6–7):</w:t>
      </w:r>
    </w:p>
    <w:p>
      <w:pPr>
        <w:pStyle w:val="ListParagraph"/>
        <w:numPr>
          <w:ilvl w:val="0"/>
          <w:numId w:val="2"/>
        </w:numPr>
        <w:spacing w:after="100" w:line="276"/>
      </w:pPr>
      <w:r>
        <w:rPr>
          <w:rFonts w:ascii="Calibri" w:cs="Calibri" w:eastAsia="Calibri" w:hAnsi="Calibri"/>
          <w:b/>
          <w:bCs/>
          <w:sz w:val="22"/>
          <w:szCs w:val="22"/>
        </w:rPr>
        <w:t xml:space="preserve">evalkit — the eval Python module library. </w:t>
      </w:r>
      <w:r>
        <w:rPr>
          <w:rFonts w:ascii="Calibri" w:cs="Calibri" w:eastAsia="Calibri" w:hAnsi="Calibri"/>
          <w:sz w:val="22"/>
          <w:szCs w:val="22"/>
        </w:rPr>
        <w:t xml:space="preserve">The underlying code: canonical trace schema and vendor adapters (input standardization for Arize Phoenix / OpenInference and OpenTelemetry GenAI), inference targets (live, replay, callable), metric implementations (deterministic scorers, LLM-as-judge scaffolding, safety/ASR, robustness perturbation, scenario assertions, MAS coordination), the run engine with reliability statistics (pass@k, pass^k, confidence intervals, judge-agreement kappa), pattern packs, and reporting. evalkit corresponds to layers L0–L2 of the white paper.</w:t>
      </w:r>
    </w:p>
    <w:p>
      <w:pPr>
        <w:pStyle w:val="ListParagraph"/>
        <w:numPr>
          <w:ilvl w:val="0"/>
          <w:numId w:val="2"/>
        </w:numPr>
        <w:spacing w:after="100" w:line="276"/>
      </w:pPr>
      <w:r>
        <w:rPr>
          <w:rFonts w:ascii="Calibri" w:cs="Calibri" w:eastAsia="Calibri" w:hAnsi="Calibri"/>
          <w:b/>
          <w:bCs/>
          <w:sz w:val="22"/>
          <w:szCs w:val="22"/>
        </w:rPr>
        <w:t xml:space="preserve">evalskills — the eval agent skill library. </w:t>
      </w:r>
      <w:r>
        <w:rPr>
          <w:rFonts w:ascii="Calibri" w:cs="Calibri" w:eastAsia="Calibri" w:hAnsi="Calibri"/>
          <w:sz w:val="22"/>
          <w:szCs w:val="22"/>
        </w:rPr>
        <w:t xml:space="preserve">A library of agent-consumable skills (SKILL.md instructions + declarative config + prompt assets + thin runners) that call evalkit; plus meta-skills that customize common skills into application-specific skills and generate brand-new skills from templates. evalskills carries the white paper’s L2 instructions, L3 domain packs, and L4 application suites — and adds the meta layer that makes the library self-extending by AI agents, not only by platform engineers.</w:t>
      </w:r>
    </w:p>
    <w:p>
      <w:pPr>
        <w:spacing w:after="160" w:line="276"/>
      </w:pPr>
      <w:r>
        <w:rPr>
          <w:rFonts w:ascii="Calibri" w:cs="Calibri" w:eastAsia="Calibri" w:hAnsi="Calibri"/>
          <w:sz w:val="22"/>
          <w:szCs w:val="22"/>
        </w:rPr>
        <w:t xml:space="preserve">Design goals, in priority order: (1) input standardization — every metric consumes one canonical trace type regardless of tracing vendor; (2) the code/criteria boundary — metric code is generic, all customization travels as config, prompts, and datasets; (3) skill-operability — an agent reading a SKILL.md alone can run, interpret, and customize an evaluation; (4) governed customization — app-specific skills are generated as deltas with a mandatory judge-calibration gate, never by editing shared assets; (5) zero-dependency prototype — the accompanying code runs on the Python standard library so the design can be validated before any platform investment.</w:t>
      </w:r>
    </w:p>
    <w:p>
      <w:pPr>
        <w:pStyle w:val="Heading1"/>
        <w:spacing w:after="200" w:before="320"/>
      </w:pPr>
      <w:r>
        <w:t xml:space="preserve">2. Architecture Overview</w:t>
      </w:r>
    </w:p>
    <w:p>
      <w:pPr>
        <w:spacing w:after="160" w:line="276"/>
      </w:pPr>
      <w:r>
        <w:rPr>
          <w:rFonts w:ascii="Calibri" w:cs="Calibri" w:eastAsia="Calibri" w:hAnsi="Calibri"/>
          <w:sz w:val="22"/>
          <w:szCs w:val="22"/>
        </w:rPr>
        <w:t xml:space="preserve">The two libraries form a strict stack. Agents (or humans, or CI) invoke skills; skills compose evalkit primitives declaratively; evalkit talks to the outside world through two edges — targets (invoking the system under test) and adapters (ingesting traces). Nothing above evalkit contains metric logic; nothing inside evalkit contains domain or application content.</w:t>
      </w:r>
    </w:p>
    <w:p>
      <w:pPr>
        <w:shd w:fill="F2F2F2" w:val="clear"/>
        <w:spacing w:after="40" w:line="240"/>
        <w:ind w:left="360"/>
      </w:pPr>
      <w:r>
        <w:rPr>
          <w:rFonts w:ascii="Consolas" w:cs="Consolas" w:eastAsia="Consolas" w:hAnsi="Consolas"/>
          <w:sz w:val="17"/>
          <w:szCs w:val="17"/>
        </w:rPr>
        <w:t xml:space="preserve">  [ Agent / Human / CI ]</w:t>
      </w:r>
    </w:p>
    <w:p>
      <w:pPr>
        <w:shd w:fill="F2F2F2" w:val="clear"/>
        <w:spacing w:after="40" w:line="240"/>
        <w:ind w:left="360"/>
      </w:pPr>
      <w:r>
        <w:rPr>
          <w:rFonts w:ascii="Consolas" w:cs="Consolas" w:eastAsia="Consolas" w:hAnsi="Consolas"/>
          <w:sz w:val="17"/>
          <w:szCs w:val="17"/>
        </w:rPr>
        <w:t xml:space="preserve">      │  reads SKILL.md, runs entrypoints, applies meta-skills</w:t>
      </w:r>
    </w:p>
    <w:p>
      <w:pPr>
        <w:shd w:fill="F2F2F2" w:val="clear"/>
        <w:spacing w:after="40" w:line="240"/>
        <w:ind w:left="360"/>
      </w:pPr>
      <w:r>
        <w:rPr>
          <w:rFonts w:ascii="Consolas" w:cs="Consolas" w:eastAsia="Consolas" w:hAnsi="Consolas"/>
          <w:sz w:val="17"/>
          <w:szCs w:val="17"/>
        </w:rPr>
        <w:t xml:space="preserve">  ┌────────────────────────────────────────────────────────────┐</w:t>
      </w:r>
    </w:p>
    <w:p>
      <w:pPr>
        <w:shd w:fill="F2F2F2" w:val="clear"/>
        <w:spacing w:after="40" w:line="240"/>
        <w:ind w:left="360"/>
      </w:pPr>
      <w:r>
        <w:rPr>
          <w:rFonts w:ascii="Consolas" w:cs="Consolas" w:eastAsia="Consolas" w:hAnsi="Consolas"/>
          <w:sz w:val="17"/>
          <w:szCs w:val="17"/>
        </w:rPr>
        <w:t xml:space="preserve">  │ evalskills:  _meta | patterns | domains | apps | templates │</w:t>
      </w:r>
    </w:p>
    <w:p>
      <w:pPr>
        <w:shd w:fill="F2F2F2" w:val="clear"/>
        <w:spacing w:after="40" w:line="240"/>
        <w:ind w:left="360"/>
      </w:pPr>
      <w:r>
        <w:rPr>
          <w:rFonts w:ascii="Consolas" w:cs="Consolas" w:eastAsia="Consolas" w:hAnsi="Consolas"/>
          <w:sz w:val="17"/>
          <w:szCs w:val="17"/>
        </w:rPr>
        <w:t xml:space="preserve">  └──────────────────────────────┬─────────────────────────────┘</w:t>
      </w:r>
    </w:p>
    <w:p>
      <w:pPr>
        <w:shd w:fill="F2F2F2" w:val="clear"/>
        <w:spacing w:after="40" w:line="240"/>
        <w:ind w:left="360"/>
      </w:pPr>
      <w:r>
        <w:rPr>
          <w:rFonts w:ascii="Consolas" w:cs="Consolas" w:eastAsia="Consolas" w:hAnsi="Consolas"/>
          <w:sz w:val="17"/>
          <w:szCs w:val="17"/>
        </w:rPr>
        <w:t xml:space="preserve">                                 │  config / criteria / policies as data</w:t>
      </w:r>
    </w:p>
    <w:p>
      <w:pPr>
        <w:shd w:fill="F2F2F2" w:val="clear"/>
        <w:spacing w:after="40" w:line="240"/>
        <w:ind w:left="360"/>
      </w:pPr>
      <w:r>
        <w:rPr>
          <w:rFonts w:ascii="Consolas" w:cs="Consolas" w:eastAsia="Consolas" w:hAnsi="Consolas"/>
          <w:sz w:val="17"/>
          <w:szCs w:val="17"/>
        </w:rPr>
        <w:t xml:space="preserve">  ┌──────────────────────────────┴─────────────────────────────┐</w:t>
      </w:r>
    </w:p>
    <w:p>
      <w:pPr>
        <w:shd w:fill="F2F2F2" w:val="clear"/>
        <w:spacing w:after="40" w:line="240"/>
        <w:ind w:left="360"/>
      </w:pPr>
      <w:r>
        <w:rPr>
          <w:rFonts w:ascii="Consolas" w:cs="Consolas" w:eastAsia="Consolas" w:hAnsi="Consolas"/>
          <w:sz w:val="17"/>
          <w:szCs w:val="17"/>
        </w:rPr>
        <w:t xml:space="preserve">  │ evalkit:  core (types / registry / runner / stats)         │</w:t>
      </w:r>
    </w:p>
    <w:p>
      <w:pPr>
        <w:shd w:fill="F2F2F2" w:val="clear"/>
        <w:spacing w:after="40" w:line="240"/>
        <w:ind w:left="360"/>
      </w:pPr>
      <w:r>
        <w:rPr>
          <w:rFonts w:ascii="Consolas" w:cs="Consolas" w:eastAsia="Consolas" w:hAnsi="Consolas"/>
          <w:sz w:val="17"/>
          <w:szCs w:val="17"/>
        </w:rPr>
        <w:t xml:space="preserve">  │           metrics (deterministic | judges | safety)        │</w:t>
      </w:r>
    </w:p>
    <w:p>
      <w:pPr>
        <w:shd w:fill="F2F2F2" w:val="clear"/>
        <w:spacing w:after="40" w:line="240"/>
        <w:ind w:left="360"/>
      </w:pPr>
      <w:r>
        <w:rPr>
          <w:rFonts w:ascii="Consolas" w:cs="Consolas" w:eastAsia="Consolas" w:hAnsi="Consolas"/>
          <w:sz w:val="17"/>
          <w:szCs w:val="17"/>
        </w:rPr>
        <w:t xml:space="preserve">  │           inference (targets)  tracing (adapters)  report  │</w:t>
      </w:r>
    </w:p>
    <w:p>
      <w:pPr>
        <w:shd w:fill="F2F2F2" w:val="clear"/>
        <w:spacing w:after="40" w:line="240"/>
        <w:ind w:left="360"/>
      </w:pPr>
      <w:r>
        <w:rPr>
          <w:rFonts w:ascii="Consolas" w:cs="Consolas" w:eastAsia="Consolas" w:hAnsi="Consolas"/>
          <w:sz w:val="17"/>
          <w:szCs w:val="17"/>
        </w:rPr>
        <w:t xml:space="preserve">  └──────┬─────────────────────────────────────┬───────────────┘</w:t>
      </w:r>
    </w:p>
    <w:p>
      <w:pPr>
        <w:shd w:fill="F2F2F2" w:val="clear"/>
        <w:spacing w:after="40" w:line="240"/>
        <w:ind w:left="360"/>
      </w:pPr>
      <w:r>
        <w:rPr>
          <w:rFonts w:ascii="Consolas" w:cs="Consolas" w:eastAsia="Consolas" w:hAnsi="Consolas"/>
          <w:sz w:val="17"/>
          <w:szCs w:val="17"/>
        </w:rPr>
        <w:t xml:space="preserve">        │ targets: live calls                 │ adapters: ingest</w:t>
      </w:r>
    </w:p>
    <w:p>
      <w:pPr>
        <w:shd w:fill="F2F2F2" w:val="clear"/>
        <w:spacing w:after="40" w:line="240"/>
        <w:ind w:left="360"/>
      </w:pPr>
      <w:r>
        <w:rPr>
          <w:rFonts w:ascii="Consolas" w:cs="Consolas" w:eastAsia="Consolas" w:hAnsi="Consolas"/>
          <w:sz w:val="17"/>
          <w:szCs w:val="17"/>
        </w:rPr>
        <w:t xml:space="preserve">        ▼                                      ▼</w:t>
      </w:r>
    </w:p>
    <w:p>
      <w:pPr>
        <w:shd w:fill="F2F2F2" w:val="clear"/>
        <w:spacing w:after="40" w:line="240"/>
        <w:ind w:left="360"/>
      </w:pPr>
      <w:r>
        <w:rPr>
          <w:rFonts w:ascii="Consolas" w:cs="Consolas" w:eastAsia="Consolas" w:hAnsi="Consolas"/>
          <w:sz w:val="17"/>
          <w:szCs w:val="17"/>
        </w:rPr>
        <w:t xml:space="preserve">  [ System under test ]        [ OTel GenAI | Phoenix exports ]</w:t>
      </w:r>
    </w:p>
    <w:p>
      <w:pPr>
        <w:spacing w:after="240" w:before="80"/>
        <w:jc w:val="center"/>
      </w:pPr>
      <w:r>
        <w:rPr>
          <w:rFonts w:ascii="Calibri" w:cs="Calibri" w:eastAsia="Calibri" w:hAnsi="Calibri"/>
          <w:i/>
          <w:iCs/>
          <w:color w:val="595959"/>
          <w:sz w:val="18"/>
          <w:szCs w:val="18"/>
        </w:rPr>
        <w:t xml:space="preserve">Figure 1. Two-library stack. Data flows up as CanonicalTrace + outputs; customization flows down as config, prompts, and datasets.</w:t>
      </w:r>
    </w:p>
    <w:p>
      <w:pPr>
        <w:spacing w:after="160" w:line="276"/>
      </w:pPr>
      <w:r>
        <w:rPr>
          <w:rFonts w:ascii="Calibri" w:cs="Calibri" w:eastAsia="Calibri" w:hAnsi="Calibri"/>
          <w:sz w:val="22"/>
          <w:szCs w:val="22"/>
        </w:rPr>
        <w:t xml:space="preserve">Mapping to the white paper’s five layers: evalkit/core = L0; evalkit/metrics + tracing + inference = L1; evalkit/patterns (YAML bundles) plus evalskills/patterns (agent instructions) together = L2, split by audience — machine-readable defaults live in evalkit, agent-readable procedure lives in evalskills; evalskills/domains = L3; evalskills/apps = L4. The directories remain parallel siblings with a one-way dependency rule, exactly as specified in the white paper §7.2.1.</w:t>
      </w:r>
    </w:p>
    <w:p>
      <w:pPr>
        <w:pStyle w:val="Heading1"/>
        <w:spacing w:after="200" w:before="320"/>
      </w:pPr>
      <w:r>
        <w:t xml:space="preserve">3. evalkit — the Eval Python Module Library</w:t>
      </w:r>
    </w:p>
    <w:p>
      <w:pPr>
        <w:pStyle w:val="Heading2"/>
        <w:spacing w:after="160" w:before="280"/>
      </w:pPr>
      <w:r>
        <w:t xml:space="preserve">3.1 Package layout</w:t>
      </w:r>
    </w:p>
    <w:p>
      <w:pPr>
        <w:shd w:fill="F2F2F2" w:val="clear"/>
        <w:spacing w:after="40" w:line="240"/>
        <w:ind w:left="720"/>
      </w:pPr>
      <w:r>
        <w:rPr>
          <w:rFonts w:ascii="Consolas" w:cs="Consolas" w:eastAsia="Consolas" w:hAnsi="Consolas"/>
          <w:sz w:val="17"/>
          <w:szCs w:val="17"/>
        </w:rPr>
        <w:t xml:space="preserve">evalkit/</w:t>
      </w:r>
    </w:p>
    <w:p>
      <w:pPr>
        <w:shd w:fill="F2F2F2" w:val="clear"/>
        <w:spacing w:after="40" w:line="240"/>
        <w:ind w:left="720"/>
      </w:pPr>
      <w:r>
        <w:rPr>
          <w:rFonts w:ascii="Consolas" w:cs="Consolas" w:eastAsia="Consolas" w:hAnsi="Consolas"/>
          <w:sz w:val="17"/>
          <w:szCs w:val="17"/>
        </w:rPr>
        <w:t xml:space="preserve">├─ core/</w:t>
      </w:r>
    </w:p>
    <w:p>
      <w:pPr>
        <w:shd w:fill="F2F2F2" w:val="clear"/>
        <w:spacing w:after="40" w:line="240"/>
        <w:ind w:left="720"/>
      </w:pPr>
      <w:r>
        <w:rPr>
          <w:rFonts w:ascii="Consolas" w:cs="Consolas" w:eastAsia="Consolas" w:hAnsi="Consolas"/>
          <w:sz w:val="17"/>
          <w:szCs w:val="17"/>
        </w:rPr>
        <w:t xml:space="preserve">│   ├─ types.py      # CanonicalTrace/Span, EvalCase, MetricResult, RunReport</w:t>
      </w:r>
    </w:p>
    <w:p>
      <w:pPr>
        <w:shd w:fill="F2F2F2" w:val="clear"/>
        <w:spacing w:after="40" w:line="240"/>
        <w:ind w:left="720"/>
      </w:pPr>
      <w:r>
        <w:rPr>
          <w:rFonts w:ascii="Consolas" w:cs="Consolas" w:eastAsia="Consolas" w:hAnsi="Consolas"/>
          <w:sz w:val="17"/>
          <w:szCs w:val="17"/>
        </w:rPr>
        <w:t xml:space="preserve">│   ├─ registry.py   # register/resolve by (kind, name); kinds: scorer,</w:t>
      </w:r>
    </w:p>
    <w:p>
      <w:pPr>
        <w:shd w:fill="F2F2F2" w:val="clear"/>
        <w:spacing w:after="40" w:line="240"/>
        <w:ind w:left="720"/>
      </w:pPr>
      <w:r>
        <w:rPr>
          <w:rFonts w:ascii="Consolas" w:cs="Consolas" w:eastAsia="Consolas" w:hAnsi="Consolas"/>
          <w:sz w:val="17"/>
          <w:szCs w:val="17"/>
        </w:rPr>
        <w:t xml:space="preserve">│   │                 #   judge, target, adapter, harness</w:t>
      </w:r>
    </w:p>
    <w:p>
      <w:pPr>
        <w:shd w:fill="F2F2F2" w:val="clear"/>
        <w:spacing w:after="40" w:line="240"/>
        <w:ind w:left="720"/>
      </w:pPr>
      <w:r>
        <w:rPr>
          <w:rFonts w:ascii="Consolas" w:cs="Consolas" w:eastAsia="Consolas" w:hAnsi="Consolas"/>
          <w:sz w:val="17"/>
          <w:szCs w:val="17"/>
        </w:rPr>
        <w:t xml:space="preserve">│   ├─ runner.py     # run_suite(): attempts, scoring, aggregation</w:t>
      </w:r>
    </w:p>
    <w:p>
      <w:pPr>
        <w:shd w:fill="F2F2F2" w:val="clear"/>
        <w:spacing w:after="40" w:line="240"/>
        <w:ind w:left="720"/>
      </w:pPr>
      <w:r>
        <w:rPr>
          <w:rFonts w:ascii="Consolas" w:cs="Consolas" w:eastAsia="Consolas" w:hAnsi="Consolas"/>
          <w:sz w:val="17"/>
          <w:szCs w:val="17"/>
        </w:rPr>
        <w:t xml:space="preserve">│   └─ stats.py      # pass_at_k, pass_hat_k, mean_ci95, cohen_kappa</w:t>
      </w:r>
    </w:p>
    <w:p>
      <w:pPr>
        <w:shd w:fill="F2F2F2" w:val="clear"/>
        <w:spacing w:after="40" w:line="240"/>
        <w:ind w:left="720"/>
      </w:pPr>
      <w:r>
        <w:rPr>
          <w:rFonts w:ascii="Consolas" w:cs="Consolas" w:eastAsia="Consolas" w:hAnsi="Consolas"/>
          <w:sz w:val="17"/>
          <w:szCs w:val="17"/>
        </w:rPr>
        <w:t xml:space="preserve">├─ tracing/adapters/vendors.py   # OTelGenAIAdapter, PhoenixAdapter</w:t>
      </w:r>
    </w:p>
    <w:p>
      <w:pPr>
        <w:shd w:fill="F2F2F2" w:val="clear"/>
        <w:spacing w:after="40" w:line="240"/>
        <w:ind w:left="720"/>
      </w:pPr>
      <w:r>
        <w:rPr>
          <w:rFonts w:ascii="Consolas" w:cs="Consolas" w:eastAsia="Consolas" w:hAnsi="Consolas"/>
          <w:sz w:val="17"/>
          <w:szCs w:val="17"/>
        </w:rPr>
        <w:t xml:space="preserve">├─ tracing/graph.py              # agent_scopes, handoff_sequence, stats</w:t>
      </w:r>
    </w:p>
    <w:p>
      <w:pPr>
        <w:shd w:fill="F2F2F2" w:val="clear"/>
        <w:spacing w:after="40" w:line="240"/>
        <w:ind w:left="720"/>
      </w:pPr>
      <w:r>
        <w:rPr>
          <w:rFonts w:ascii="Consolas" w:cs="Consolas" w:eastAsia="Consolas" w:hAnsi="Consolas"/>
          <w:sz w:val="17"/>
          <w:szCs w:val="17"/>
        </w:rPr>
        <w:t xml:space="preserve">├─ tracing/instrument.py         # @tool, agent(), handoff() facade</w:t>
      </w:r>
    </w:p>
    <w:p>
      <w:pPr>
        <w:shd w:fill="F2F2F2" w:val="clear"/>
        <w:spacing w:after="40" w:line="240"/>
        <w:ind w:left="720"/>
      </w:pPr>
      <w:r>
        <w:rPr>
          <w:rFonts w:ascii="Consolas" w:cs="Consolas" w:eastAsia="Consolas" w:hAnsi="Consolas"/>
          <w:sz w:val="17"/>
          <w:szCs w:val="17"/>
        </w:rPr>
        <w:t xml:space="preserve">├─ tracing/transforms.py         # eval-time grouping repair</w:t>
      </w:r>
    </w:p>
    <w:p>
      <w:pPr>
        <w:shd w:fill="F2F2F2" w:val="clear"/>
        <w:spacing w:after="40" w:line="240"/>
        <w:ind w:left="720"/>
      </w:pPr>
      <w:r>
        <w:rPr>
          <w:rFonts w:ascii="Consolas" w:cs="Consolas" w:eastAsia="Consolas" w:hAnsi="Consolas"/>
          <w:sz w:val="17"/>
          <w:szCs w:val="17"/>
        </w:rPr>
        <w:t xml:space="preserve">├─ tracing/lint.py               # per-pattern preflight diagnosis</w:t>
      </w:r>
    </w:p>
    <w:p>
      <w:pPr>
        <w:shd w:fill="F2F2F2" w:val="clear"/>
        <w:spacing w:after="40" w:line="240"/>
        <w:ind w:left="720"/>
      </w:pPr>
      <w:r>
        <w:rPr>
          <w:rFonts w:ascii="Consolas" w:cs="Consolas" w:eastAsia="Consolas" w:hAnsi="Consolas"/>
          <w:sz w:val="17"/>
          <w:szCs w:val="17"/>
        </w:rPr>
        <w:t xml:space="preserve">├─ inference/targets.py          # CallableTarget, ReplayTarget, TraceBuilder</w:t>
      </w:r>
    </w:p>
    <w:p>
      <w:pPr>
        <w:shd w:fill="F2F2F2" w:val="clear"/>
        <w:spacing w:after="40" w:line="240"/>
        <w:ind w:left="720"/>
      </w:pPr>
      <w:r>
        <w:rPr>
          <w:rFonts w:ascii="Consolas" w:cs="Consolas" w:eastAsia="Consolas" w:hAnsi="Consolas"/>
          <w:sz w:val="17"/>
          <w:szCs w:val="17"/>
        </w:rPr>
        <w:t xml:space="preserve">├─ metrics/</w:t>
      </w:r>
    </w:p>
    <w:p>
      <w:pPr>
        <w:shd w:fill="F2F2F2" w:val="clear"/>
        <w:spacing w:after="40" w:line="240"/>
        <w:ind w:left="720"/>
      </w:pPr>
      <w:r>
        <w:rPr>
          <w:rFonts w:ascii="Consolas" w:cs="Consolas" w:eastAsia="Consolas" w:hAnsi="Consolas"/>
          <w:sz w:val="17"/>
          <w:szCs w:val="17"/>
        </w:rPr>
        <w:t xml:space="preserve">│   ├─ deterministic.py  # exact_match, regex_rules, json_schema_lite,</w:t>
      </w:r>
    </w:p>
    <w:p>
      <w:pPr>
        <w:shd w:fill="F2F2F2" w:val="clear"/>
        <w:spacing w:after="40" w:line="240"/>
        <w:ind w:left="720"/>
      </w:pPr>
      <w:r>
        <w:rPr>
          <w:rFonts w:ascii="Consolas" w:cs="Consolas" w:eastAsia="Consolas" w:hAnsi="Consolas"/>
          <w:sz w:val="17"/>
          <w:szCs w:val="17"/>
        </w:rPr>
        <w:t xml:space="preserve">│   │                     #   tool_correctness, trajectory_match(4 modes),</w:t>
      </w:r>
    </w:p>
    <w:p>
      <w:pPr>
        <w:shd w:fill="F2F2F2" w:val="clear"/>
        <w:spacing w:after="40" w:line="240"/>
        <w:ind w:left="720"/>
      </w:pPr>
      <w:r>
        <w:rPr>
          <w:rFonts w:ascii="Consolas" w:cs="Consolas" w:eastAsia="Consolas" w:hAnsi="Consolas"/>
          <w:sz w:val="17"/>
          <w:szCs w:val="17"/>
        </w:rPr>
        <w:t xml:space="preserve">│   │                     #   step_efficiency, policy_engine (declarative)</w:t>
      </w:r>
    </w:p>
    <w:p>
      <w:pPr>
        <w:shd w:fill="F2F2F2" w:val="clear"/>
        <w:spacing w:after="40" w:line="240"/>
        <w:ind w:left="720"/>
      </w:pPr>
      <w:r>
        <w:rPr>
          <w:rFonts w:ascii="Consolas" w:cs="Consolas" w:eastAsia="Consolas" w:hAnsi="Consolas"/>
          <w:sz w:val="17"/>
          <w:szCs w:val="17"/>
        </w:rPr>
        <w:t xml:space="preserve">│   ├─ judges.py         # Criterion, rubric_judge, faithfulness_qag</w:t>
      </w:r>
    </w:p>
    <w:p>
      <w:pPr>
        <w:shd w:fill="F2F2F2" w:val="clear"/>
        <w:spacing w:after="40" w:line="240"/>
        <w:ind w:left="720"/>
      </w:pPr>
      <w:r>
        <w:rPr>
          <w:rFonts w:ascii="Consolas" w:cs="Consolas" w:eastAsia="Consolas" w:hAnsi="Consolas"/>
          <w:sz w:val="17"/>
          <w:szCs w:val="17"/>
        </w:rPr>
        <w:t xml:space="preserve">│   ├─ safety.py         # attack_success (ASR), detector bindings</w:t>
      </w:r>
    </w:p>
    <w:p>
      <w:pPr>
        <w:shd w:fill="F2F2F2" w:val="clear"/>
        <w:spacing w:after="40" w:line="240"/>
        <w:ind w:left="720"/>
      </w:pPr>
      <w:r>
        <w:rPr>
          <w:rFonts w:ascii="Consolas" w:cs="Consolas" w:eastAsia="Consolas" w:hAnsi="Consolas"/>
          <w:sz w:val="17"/>
          <w:szCs w:val="17"/>
        </w:rPr>
        <w:t xml:space="preserve">│   ├─ robustness.py     # perturbers + stability scoring (Group A)</w:t>
      </w:r>
    </w:p>
    <w:p>
      <w:pPr>
        <w:shd w:fill="F2F2F2" w:val="clear"/>
        <w:spacing w:after="40" w:line="240"/>
        <w:ind w:left="720"/>
      </w:pPr>
      <w:r>
        <w:rPr>
          <w:rFonts w:ascii="Consolas" w:cs="Consolas" w:eastAsia="Consolas" w:hAnsi="Consolas"/>
          <w:sz w:val="17"/>
          <w:szCs w:val="17"/>
        </w:rPr>
        <w:t xml:space="preserve">│   ├─ scenario.py       # declarative scenario assertions (Group C)</w:t>
      </w:r>
    </w:p>
    <w:p>
      <w:pPr>
        <w:shd w:fill="F2F2F2" w:val="clear"/>
        <w:spacing w:after="40" w:line="240"/>
        <w:ind w:left="720"/>
      </w:pPr>
      <w:r>
        <w:rPr>
          <w:rFonts w:ascii="Consolas" w:cs="Consolas" w:eastAsia="Consolas" w:hAnsi="Consolas"/>
          <w:sz w:val="17"/>
          <w:szCs w:val="17"/>
        </w:rPr>
        <w:t xml:space="preserve">│   └─ mas.py            # handoff_flow, coordination_efficiency,</w:t>
      </w:r>
    </w:p>
    <w:p>
      <w:pPr>
        <w:shd w:fill="F2F2F2" w:val="clear"/>
        <w:spacing w:after="40" w:line="240"/>
        <w:ind w:left="720"/>
      </w:pPr>
      <w:r>
        <w:rPr>
          <w:rFonts w:ascii="Consolas" w:cs="Consolas" w:eastAsia="Consolas" w:hAnsi="Consolas"/>
          <w:sz w:val="17"/>
          <w:szCs w:val="17"/>
        </w:rPr>
        <w:t xml:space="preserve">│                         #   agent_scope (per-agent delegation)</w:t>
      </w:r>
    </w:p>
    <w:p>
      <w:pPr>
        <w:shd w:fill="F2F2F2" w:val="clear"/>
        <w:spacing w:after="40" w:line="240"/>
        <w:ind w:left="720"/>
      </w:pPr>
      <w:r>
        <w:rPr>
          <w:rFonts w:ascii="Consolas" w:cs="Consolas" w:eastAsia="Consolas" w:hAnsi="Consolas"/>
          <w:sz w:val="17"/>
          <w:szCs w:val="17"/>
        </w:rPr>
        <w:t xml:space="preserve">├─ patterns/             # rag.yaml, agent_tool_use.yaml,</w:t>
      </w:r>
    </w:p>
    <w:p>
      <w:pPr>
        <w:shd w:fill="F2F2F2" w:val="clear"/>
        <w:spacing w:after="40" w:line="240"/>
        <w:ind w:left="720"/>
      </w:pPr>
      <w:r>
        <w:rPr>
          <w:rFonts w:ascii="Consolas" w:cs="Consolas" w:eastAsia="Consolas" w:hAnsi="Consolas"/>
          <w:sz w:val="17"/>
          <w:szCs w:val="17"/>
        </w:rPr>
        <w:t xml:space="preserve">│                         #   mas_orchestrator_worker.yaml,</w:t>
      </w:r>
    </w:p>
    <w:p>
      <w:pPr>
        <w:shd w:fill="F2F2F2" w:val="clear"/>
        <w:spacing w:after="40" w:line="240"/>
        <w:ind w:left="720"/>
      </w:pPr>
      <w:r>
        <w:rPr>
          <w:rFonts w:ascii="Consolas" w:cs="Consolas" w:eastAsia="Consolas" w:hAnsi="Consolas"/>
          <w:sz w:val="17"/>
          <w:szCs w:val="17"/>
        </w:rPr>
        <w:t xml:space="preserve">│                         #   mas_maker_checker.yaml (L2 bundles)</w:t>
      </w:r>
    </w:p>
    <w:p>
      <w:pPr>
        <w:shd w:fill="F2F2F2" w:val="clear"/>
        <w:spacing w:after="40" w:line="240"/>
        <w:ind w:left="720"/>
      </w:pPr>
      <w:r>
        <w:rPr>
          <w:rFonts w:ascii="Consolas" w:cs="Consolas" w:eastAsia="Consolas" w:hAnsi="Consolas"/>
          <w:sz w:val="17"/>
          <w:szCs w:val="17"/>
        </w:rPr>
        <w:t xml:space="preserve">│                         #   loader.py: build_bundle() — packs are the</w:t>
      </w:r>
    </w:p>
    <w:p>
      <w:pPr>
        <w:shd w:fill="F2F2F2" w:val="clear"/>
        <w:spacing w:after="40" w:line="240"/>
        <w:ind w:left="720"/>
      </w:pPr>
      <w:r>
        <w:rPr>
          <w:rFonts w:ascii="Consolas" w:cs="Consolas" w:eastAsia="Consolas" w:hAnsi="Consolas"/>
          <w:sz w:val="17"/>
          <w:szCs w:val="17"/>
        </w:rPr>
        <w:t xml:space="preserve">│                         #   runtime source of truth for skill runners</w:t>
      </w:r>
    </w:p>
    <w:p>
      <w:pPr>
        <w:shd w:fill="F2F2F2" w:val="clear"/>
        <w:spacing w:after="40" w:line="240"/>
        <w:ind w:left="720"/>
      </w:pPr>
      <w:r>
        <w:rPr>
          <w:rFonts w:ascii="Consolas" w:cs="Consolas" w:eastAsia="Consolas" w:hAnsi="Consolas"/>
          <w:sz w:val="17"/>
          <w:szCs w:val="17"/>
        </w:rPr>
        <w:t xml:space="preserve">└─ reporting/report.py   # text_summary (JSON/HTML in roadmap)</w:t>
      </w:r>
    </w:p>
    <w:p>
      <w:pPr>
        <w:spacing w:after="240" w:before="80"/>
        <w:jc w:val="center"/>
      </w:pPr>
      <w:r>
        <w:rPr>
          <w:rFonts w:ascii="Calibri" w:cs="Calibri" w:eastAsia="Calibri" w:hAnsi="Calibri"/>
          <w:i/>
          <w:iCs/>
          <w:color w:val="595959"/>
          <w:sz w:val="18"/>
          <w:szCs w:val="18"/>
        </w:rPr>
        <w:t xml:space="preserve">Figure 2. evalkit package layout (prototype-verified).</w:t>
      </w:r>
    </w:p>
    <w:p>
      <w:pPr>
        <w:pStyle w:val="Heading2"/>
        <w:spacing w:after="160" w:before="280"/>
      </w:pPr>
      <w:r>
        <w:t xml:space="preserve">3.2 Canonical trace schema and input standardization</w:t>
      </w:r>
    </w:p>
    <w:p>
      <w:pPr>
        <w:spacing w:after="160" w:line="276"/>
      </w:pPr>
      <w:r>
        <w:rPr>
          <w:rFonts w:ascii="Calibri" w:cs="Calibri" w:eastAsia="Calibri" w:hAnsi="Calibri"/>
          <w:sz w:val="22"/>
          <w:szCs w:val="22"/>
        </w:rPr>
        <w:t xml:space="preserve">The single most consequential design decision. Metrics never read vendor formats; they read CanonicalTrace — a flat list of CanonicalSpan records with a small controlled vocabulary of span kinds and convenience selectors. Vendor formats are converted at the edge by adapters registered under kind “adapter”; adding a tracing vendor is one file and zero changes elsewhere.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5860"/>
      </w:tblGrid>
      <w:tr>
        <w:trPr>
          <w:tblHeader/>
        </w:trPr>
        <w:tc>
          <w:tcPr>
            <w:tcW w:type="dxa" w:w="2300"/>
            <w:shd w:fill="1F3864" w:val="clear"/>
            <w:tcMar>
              <w:top w:type="dxa" w:w="80"/>
              <w:left w:type="dxa" w:w="100"/>
              <w:bottom w:type="dxa" w:w="80"/>
              <w:right w:type="dxa" w:w="100"/>
            </w:tcMar>
          </w:tcPr>
          <w:p>
            <w:pPr>
              <w:spacing w:after="0" w:line="240"/>
            </w:pPr>
            <w:r>
              <w:rPr>
                <w:rFonts w:ascii="Calibri" w:cs="Calibri" w:eastAsia="Calibri" w:hAnsi="Calibri"/>
                <w:b/>
                <w:bCs/>
                <w:color w:val="FFFFFF"/>
                <w:sz w:val="18"/>
                <w:szCs w:val="18"/>
              </w:rPr>
              <w:t xml:space="preserve">CanonicalSpan field</w:t>
            </w:r>
          </w:p>
        </w:tc>
        <w:tc>
          <w:tcPr>
            <w:tcW w:type="dxa" w:w="1200"/>
            <w:shd w:fill="1F3864" w:val="clear"/>
            <w:tcMar>
              <w:top w:type="dxa" w:w="80"/>
              <w:left w:type="dxa" w:w="100"/>
              <w:bottom w:type="dxa" w:w="80"/>
              <w:right w:type="dxa" w:w="100"/>
            </w:tcMar>
          </w:tcPr>
          <w:p>
            <w:pPr>
              <w:spacing w:after="0" w:line="240"/>
            </w:pPr>
            <w:r>
              <w:rPr>
                <w:rFonts w:ascii="Calibri" w:cs="Calibri" w:eastAsia="Calibri" w:hAnsi="Calibri"/>
                <w:b/>
                <w:bCs/>
                <w:color w:val="FFFFFF"/>
                <w:sz w:val="18"/>
                <w:szCs w:val="18"/>
              </w:rPr>
              <w:t xml:space="preserve">Type</w:t>
            </w:r>
          </w:p>
        </w:tc>
        <w:tc>
          <w:tcPr>
            <w:tcW w:type="dxa" w:w="5860"/>
            <w:shd w:fill="1F3864" w:val="clear"/>
            <w:tcMar>
              <w:top w:type="dxa" w:w="80"/>
              <w:left w:type="dxa" w:w="100"/>
              <w:bottom w:type="dxa" w:w="80"/>
              <w:right w:type="dxa" w:w="100"/>
            </w:tcMar>
          </w:tcPr>
          <w:p>
            <w:pPr>
              <w:spacing w:after="0" w:line="240"/>
            </w:pPr>
            <w:r>
              <w:rPr>
                <w:rFonts w:ascii="Calibri" w:cs="Calibri" w:eastAsia="Calibri" w:hAnsi="Calibri"/>
                <w:b/>
                <w:bCs/>
                <w:color w:val="FFFFFF"/>
                <w:sz w:val="18"/>
                <w:szCs w:val="18"/>
              </w:rPr>
              <w:t xml:space="preserve">Semantics</w:t>
            </w:r>
          </w:p>
        </w:tc>
      </w:tr>
      <w:tr>
        <w:trPr>
          <w:tblHeader w:val="false"/>
        </w:trPr>
        <w:tc>
          <w:tcPr>
            <w:tcW w:type="dxa" w:w="23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span_id / parent_id</w:t>
            </w:r>
          </w:p>
        </w:tc>
        <w:tc>
          <w:tcPr>
            <w:tcW w:type="dxa" w:w="12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str / str?</w:t>
            </w:r>
          </w:p>
        </w:tc>
        <w:tc>
          <w:tcPr>
            <w:tcW w:type="dxa" w:w="586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Tree structure; roots have parent_id = null</w:t>
            </w:r>
          </w:p>
        </w:tc>
      </w:tr>
      <w:tr>
        <w:trPr>
          <w:tblHeader w:val="false"/>
        </w:trPr>
        <w:tc>
          <w:tcPr>
            <w:tcW w:type="dxa" w:w="23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kind</w:t>
            </w:r>
          </w:p>
        </w:tc>
        <w:tc>
          <w:tcPr>
            <w:tcW w:type="dxa" w:w="12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enum</w:t>
            </w:r>
          </w:p>
        </w:tc>
        <w:tc>
          <w:tcPr>
            <w:tcW w:type="dxa" w:w="586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llm | tool | retriever | agent | chain | handoff | guardrail | other</w:t>
            </w:r>
          </w:p>
        </w:tc>
      </w:tr>
      <w:tr>
        <w:trPr>
          <w:tblHeader w:val="false"/>
        </w:trPr>
        <w:tc>
          <w:tcPr>
            <w:tcW w:type="dxa" w:w="23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name</w:t>
            </w:r>
          </w:p>
        </w:tc>
        <w:tc>
          <w:tcPr>
            <w:tcW w:type="dxa" w:w="12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str</w:t>
            </w:r>
          </w:p>
        </w:tc>
        <w:tc>
          <w:tcPr>
            <w:tcW w:type="dxa" w:w="586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Model name for llm spans; tool name for tool spans; agent name for agent spans</w:t>
            </w:r>
          </w:p>
        </w:tc>
      </w:tr>
      <w:tr>
        <w:trPr>
          <w:tblHeader w:val="false"/>
        </w:trPr>
        <w:tc>
          <w:tcPr>
            <w:tcW w:type="dxa" w:w="23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start_ns / end_ns</w:t>
            </w:r>
          </w:p>
        </w:tc>
        <w:tc>
          <w:tcPr>
            <w:tcW w:type="dxa" w:w="12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int</w:t>
            </w:r>
          </w:p>
        </w:tc>
        <w:tc>
          <w:tcPr>
            <w:tcW w:type="dxa" w:w="586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Wall-clock nanoseconds; duration_ms derived</w:t>
            </w:r>
          </w:p>
        </w:tc>
      </w:tr>
      <w:tr>
        <w:trPr>
          <w:tblHeader w:val="false"/>
        </w:trPr>
        <w:tc>
          <w:tcPr>
            <w:tcW w:type="dxa" w:w="23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inputs</w:t>
            </w:r>
          </w:p>
        </w:tc>
        <w:tc>
          <w:tcPr>
            <w:tcW w:type="dxa" w:w="12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dict</w:t>
            </w:r>
          </w:p>
        </w:tc>
        <w:tc>
          <w:tcPr>
            <w:tcW w:type="dxa" w:w="586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Normalized keys: prompt | messages | arguments | query</w:t>
            </w:r>
          </w:p>
        </w:tc>
      </w:tr>
      <w:tr>
        <w:trPr>
          <w:tblHeader w:val="false"/>
        </w:trPr>
        <w:tc>
          <w:tcPr>
            <w:tcW w:type="dxa" w:w="23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outputs</w:t>
            </w:r>
          </w:p>
        </w:tc>
        <w:tc>
          <w:tcPr>
            <w:tcW w:type="dxa" w:w="12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dict</w:t>
            </w:r>
          </w:p>
        </w:tc>
        <w:tc>
          <w:tcPr>
            <w:tcW w:type="dxa" w:w="586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Normalized keys: completion | result | documents</w:t>
            </w:r>
          </w:p>
        </w:tc>
      </w:tr>
      <w:tr>
        <w:trPr>
          <w:tblHeader w:val="false"/>
        </w:trPr>
        <w:tc>
          <w:tcPr>
            <w:tcW w:type="dxa" w:w="23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attributes</w:t>
            </w:r>
          </w:p>
        </w:tc>
        <w:tc>
          <w:tcPr>
            <w:tcW w:type="dxa" w:w="12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dict</w:t>
            </w:r>
          </w:p>
        </w:tc>
        <w:tc>
          <w:tcPr>
            <w:tcW w:type="dxa" w:w="586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model, tokens_total, agent metadata; vendor extras allowed but never required by metrics</w:t>
            </w:r>
          </w:p>
        </w:tc>
      </w:tr>
      <w:tr>
        <w:trPr>
          <w:tblHeader w:val="false"/>
        </w:trPr>
        <w:tc>
          <w:tcPr>
            <w:tcW w:type="dxa" w:w="23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status / error</w:t>
            </w:r>
          </w:p>
        </w:tc>
        <w:tc>
          <w:tcPr>
            <w:tcW w:type="dxa" w:w="12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str / str?</w:t>
            </w:r>
          </w:p>
        </w:tc>
        <w:tc>
          <w:tcPr>
            <w:tcW w:type="dxa" w:w="586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OK | ERROR plus description</w:t>
            </w:r>
          </w:p>
        </w:tc>
      </w:tr>
    </w:tbl>
    <w:p>
      <w:pPr>
        <w:spacing w:after="240" w:before="80"/>
        <w:jc w:val="center"/>
      </w:pPr>
      <w:r>
        <w:rPr>
          <w:rFonts w:ascii="Calibri" w:cs="Calibri" w:eastAsia="Calibri" w:hAnsi="Calibri"/>
          <w:i/>
          <w:iCs/>
          <w:color w:val="595959"/>
          <w:sz w:val="18"/>
          <w:szCs w:val="18"/>
        </w:rPr>
        <w:t xml:space="preserve">Table 1. The canonical span contract. Selectors on CanonicalTrace: spans_of(kind), tool_calls(), final_output(), total_tokens().</w:t>
      </w:r>
    </w:p>
    <w:p>
      <w:pPr>
        <w:spacing w:after="160" w:line="276"/>
      </w:pPr>
      <w:r>
        <w:rPr>
          <w:rFonts w:ascii="Calibri" w:cs="Calibri" w:eastAsia="Calibri" w:hAnsi="Calibri"/>
          <w:sz w:val="22"/>
          <w:szCs w:val="22"/>
        </w:rPr>
        <w:t xml:space="preserve">Adapter mappings implemented in the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660"/>
      </w:tblGrid>
      <w:tr>
        <w:trPr>
          <w:tblHeader/>
        </w:trPr>
        <w:tc>
          <w:tcPr>
            <w:tcW w:type="dxa" w:w="1900"/>
            <w:shd w:fill="1F3864" w:val="clear"/>
            <w:tcMar>
              <w:top w:type="dxa" w:w="80"/>
              <w:left w:type="dxa" w:w="100"/>
              <w:bottom w:type="dxa" w:w="80"/>
              <w:right w:type="dxa" w:w="100"/>
            </w:tcMar>
          </w:tcPr>
          <w:p>
            <w:pPr>
              <w:spacing w:after="0" w:line="240"/>
            </w:pPr>
            <w:r>
              <w:rPr>
                <w:rFonts w:ascii="Calibri" w:cs="Calibri" w:eastAsia="Calibri" w:hAnsi="Calibri"/>
                <w:b/>
                <w:bCs/>
                <w:color w:val="FFFFFF"/>
                <w:sz w:val="18"/>
                <w:szCs w:val="18"/>
              </w:rPr>
              <w:t xml:space="preserve">Canonical concept</w:t>
            </w:r>
          </w:p>
        </w:tc>
        <w:tc>
          <w:tcPr>
            <w:tcW w:type="dxa" w:w="3800"/>
            <w:shd w:fill="1F3864" w:val="clear"/>
            <w:tcMar>
              <w:top w:type="dxa" w:w="80"/>
              <w:left w:type="dxa" w:w="100"/>
              <w:bottom w:type="dxa" w:w="80"/>
              <w:right w:type="dxa" w:w="100"/>
            </w:tcMar>
          </w:tcPr>
          <w:p>
            <w:pPr>
              <w:spacing w:after="0" w:line="240"/>
            </w:pPr>
            <w:r>
              <w:rPr>
                <w:rFonts w:ascii="Calibri" w:cs="Calibri" w:eastAsia="Calibri" w:hAnsi="Calibri"/>
                <w:b/>
                <w:bCs/>
                <w:color w:val="FFFFFF"/>
                <w:sz w:val="18"/>
                <w:szCs w:val="18"/>
              </w:rPr>
              <w:t xml:space="preserve">OTel GenAI semantic conventions</w:t>
            </w:r>
          </w:p>
        </w:tc>
        <w:tc>
          <w:tcPr>
            <w:tcW w:type="dxa" w:w="3660"/>
            <w:shd w:fill="1F3864" w:val="clear"/>
            <w:tcMar>
              <w:top w:type="dxa" w:w="80"/>
              <w:left w:type="dxa" w:w="100"/>
              <w:bottom w:type="dxa" w:w="80"/>
              <w:right w:type="dxa" w:w="100"/>
            </w:tcMar>
          </w:tcPr>
          <w:p>
            <w:pPr>
              <w:spacing w:after="0" w:line="240"/>
            </w:pPr>
            <w:r>
              <w:rPr>
                <w:rFonts w:ascii="Calibri" w:cs="Calibri" w:eastAsia="Calibri" w:hAnsi="Calibri"/>
                <w:b/>
                <w:bCs/>
                <w:color w:val="FFFFFF"/>
                <w:sz w:val="18"/>
                <w:szCs w:val="18"/>
              </w:rPr>
              <w:t xml:space="preserve">Arize Phoenix / OpenInference</w:t>
            </w:r>
          </w:p>
        </w:tc>
      </w:tr>
      <w:tr>
        <w:trPr>
          <w:tblHeader w:val="false"/>
        </w:trPr>
        <w:tc>
          <w:tcPr>
            <w:tcW w:type="dxa" w:w="19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Span kind</w:t>
            </w:r>
          </w:p>
        </w:tc>
        <w:tc>
          <w:tcPr>
            <w:tcW w:type="dxa" w:w="38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gen_ai.operation.name (chat, execute_tool, invoke_agent, embeddings…)</w:t>
            </w:r>
          </w:p>
        </w:tc>
        <w:tc>
          <w:tcPr>
            <w:tcW w:type="dxa" w:w="366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openinference.span.kind (LLM, TOOL, RETRIEVER, AGENT, CHAIN, GUARDRAIL…)</w:t>
            </w:r>
          </w:p>
        </w:tc>
      </w:tr>
      <w:tr>
        <w:trPr>
          <w:tblHeader w:val="false"/>
        </w:trPr>
        <w:tc>
          <w:tcPr>
            <w:tcW w:type="dxa" w:w="19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Name</w:t>
            </w:r>
          </w:p>
        </w:tc>
        <w:tc>
          <w:tcPr>
            <w:tcW w:type="dxa" w:w="38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gen_ai.tool.name | gen_ai.agent.name | gen_ai.request.model</w:t>
            </w:r>
          </w:p>
        </w:tc>
        <w:tc>
          <w:tcPr>
            <w:tcW w:type="dxa" w:w="366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tool.name | span name; llm.model_name into attributes.model</w:t>
            </w:r>
          </w:p>
        </w:tc>
      </w:tr>
      <w:tr>
        <w:trPr>
          <w:tblHeader w:val="false"/>
        </w:trPr>
        <w:tc>
          <w:tcPr>
            <w:tcW w:type="dxa" w:w="19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Inputs</w:t>
            </w:r>
          </w:p>
        </w:tc>
        <w:tc>
          <w:tcPr>
            <w:tcW w:type="dxa" w:w="38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gen_ai.prompt | gen_ai.input.messages | gen_ai.tool.call.arguments</w:t>
            </w:r>
          </w:p>
        </w:tc>
        <w:tc>
          <w:tcPr>
            <w:tcW w:type="dxa" w:w="366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input.value (role-dependent normalization)</w:t>
            </w:r>
          </w:p>
        </w:tc>
      </w:tr>
      <w:tr>
        <w:trPr>
          <w:tblHeader w:val="false"/>
        </w:trPr>
        <w:tc>
          <w:tcPr>
            <w:tcW w:type="dxa" w:w="19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Outputs</w:t>
            </w:r>
          </w:p>
        </w:tc>
        <w:tc>
          <w:tcPr>
            <w:tcW w:type="dxa" w:w="38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gen_ai.completion | gen_ai.output.messages | gen_ai.tool.call.result</w:t>
            </w:r>
          </w:p>
        </w:tc>
        <w:tc>
          <w:tcPr>
            <w:tcW w:type="dxa" w:w="366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output.value; retrieval.documents → outputs.documents</w:t>
            </w:r>
          </w:p>
        </w:tc>
      </w:tr>
      <w:tr>
        <w:trPr>
          <w:tblHeader w:val="false"/>
        </w:trPr>
        <w:tc>
          <w:tcPr>
            <w:tcW w:type="dxa" w:w="19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Tokens</w:t>
            </w:r>
          </w:p>
        </w:tc>
        <w:tc>
          <w:tcPr>
            <w:tcW w:type="dxa" w:w="38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gen_ai.usage.input_tokens + output_tokens</w:t>
            </w:r>
          </w:p>
        </w:tc>
        <w:tc>
          <w:tcPr>
            <w:tcW w:type="dxa" w:w="366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llm.token_count.total</w:t>
            </w:r>
          </w:p>
        </w:tc>
      </w:tr>
      <w:tr>
        <w:trPr>
          <w:tblHeader w:val="false"/>
        </w:trPr>
        <w:tc>
          <w:tcPr>
            <w:tcW w:type="dxa" w:w="19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Identity</w:t>
            </w:r>
          </w:p>
        </w:tc>
        <w:tc>
          <w:tcPr>
            <w:tcW w:type="dxa" w:w="38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trace_id / span_id / parent_span_id</w:t>
            </w:r>
          </w:p>
        </w:tc>
        <w:tc>
          <w:tcPr>
            <w:tcW w:type="dxa" w:w="366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context.trace_id / context.span_id / parent_id</w:t>
            </w:r>
          </w:p>
        </w:tc>
      </w:tr>
    </w:tbl>
    <w:p>
      <w:pPr>
        <w:spacing w:after="240" w:before="80"/>
        <w:jc w:val="center"/>
      </w:pPr>
      <w:r>
        <w:rPr>
          <w:rFonts w:ascii="Calibri" w:cs="Calibri" w:eastAsia="Calibri" w:hAnsi="Calibri"/>
          <w:i/>
          <w:iCs/>
          <w:color w:val="595959"/>
          <w:sz w:val="18"/>
          <w:szCs w:val="18"/>
        </w:rPr>
        <w:t xml:space="preserve">Table 2. Vendor-to-canonical field mappings (tracing/adapters/vendors.py). Both adapters were verified to emit identical CanonicalTrace structures in the prototype demo.</w:t>
      </w:r>
    </w:p>
    <w:p>
      <w:pPr>
        <w:spacing w:after="160" w:line="276"/>
      </w:pPr>
      <w:r>
        <w:rPr>
          <w:rFonts w:ascii="Calibri" w:cs="Calibri" w:eastAsia="Calibri" w:hAnsi="Calibri"/>
          <w:sz w:val="22"/>
          <w:szCs w:val="22"/>
        </w:rPr>
        <w:t xml:space="preserve">For systems instrumented with neither convention, or with in-house attribute and session names, a generic MappingAdapter (tracing/adapters/mapping.py, registered as custom_map) consumes a declarative mapping profile — structural keys, kind-value map, attribute-to-slot map — instead of requiring a new adapter; infer_profile() auto-proposes the profile from a handful of sample spans using name and synonym heuristics, listing anything unmappable for mandatory human review, so onboarding a custom format is reviewed config generation rather than code. Normalization rules the adapters enforce: (i) unknown operation kinds degrade to “other” rather than failing; (ii) token counts are always materialized into attributes.tokens_total so cost accounting is vendor-free; (iii) case linkage for replay evaluation travels in trace metadata (metadata.case_id), populated either by the exporter or by a join step in the skill; (iv) adapters are pure parsers — no network I/O — so exported span dumps (JSON from Phoenix, OTLP-JSON from a collector) evaluate identically to live-captured traces.</w:t>
      </w:r>
    </w:p>
    <w:p>
      <w:pPr>
        <w:pStyle w:val="Heading2"/>
        <w:spacing w:after="160" w:before="280"/>
      </w:pPr>
      <w:r>
        <w:t xml:space="preserve">3.3 Inference subsystem: targets</w:t>
      </w:r>
    </w:p>
    <w:p>
      <w:pPr>
        <w:spacing w:after="160" w:line="276"/>
      </w:pPr>
      <w:r>
        <w:rPr>
          <w:rFonts w:ascii="Calibri" w:cs="Calibri" w:eastAsia="Calibri" w:hAnsi="Calibri"/>
          <w:sz w:val="22"/>
          <w:szCs w:val="22"/>
        </w:rPr>
        <w:t xml:space="preserve">A Target is any callable (EvalCase) → (output, CanonicalTrace | None). Three families cover industrial usage:</w:t>
      </w:r>
    </w:p>
    <w:p>
      <w:pPr>
        <w:pStyle w:val="ListParagraph"/>
        <w:numPr>
          <w:ilvl w:val="0"/>
          <w:numId w:val="2"/>
        </w:numPr>
        <w:spacing w:after="100" w:line="276"/>
      </w:pPr>
      <w:r>
        <w:rPr>
          <w:rFonts w:ascii="Calibri" w:cs="Calibri" w:eastAsia="Calibri" w:hAnsi="Calibri"/>
          <w:b/>
          <w:bCs/>
          <w:sz w:val="22"/>
          <w:szCs w:val="22"/>
        </w:rPr>
        <w:t xml:space="preserve">CallableTarget (live, in-process): </w:t>
      </w:r>
      <w:r>
        <w:rPr>
          <w:rFonts w:ascii="Calibri" w:cs="Calibri" w:eastAsia="Calibri" w:hAnsi="Calibri"/>
          <w:sz w:val="22"/>
          <w:szCs w:val="22"/>
        </w:rPr>
        <w:t xml:space="preserve">wraps a python entrypoint — an app pipeline, an SDK call, an agent loop. Authors instrument with TraceBuilder, a minimal helper that accumulates canonical spans; production apps already instrumented with OTel skip TraceBuilder and let the adapter ingest their exported spans instead.</w:t>
      </w:r>
    </w:p>
    <w:p>
      <w:pPr>
        <w:pStyle w:val="ListParagraph"/>
        <w:numPr>
          <w:ilvl w:val="0"/>
          <w:numId w:val="2"/>
        </w:numPr>
        <w:spacing w:after="100" w:line="276"/>
      </w:pPr>
      <w:r>
        <w:rPr>
          <w:rFonts w:ascii="Calibri" w:cs="Calibri" w:eastAsia="Calibri" w:hAnsi="Calibri"/>
          <w:b/>
          <w:bCs/>
          <w:sz w:val="22"/>
          <w:szCs w:val="22"/>
        </w:rPr>
        <w:t xml:space="preserve">ReplayTarget (offline): </w:t>
      </w:r>
      <w:r>
        <w:rPr>
          <w:rFonts w:ascii="Calibri" w:cs="Calibri" w:eastAsia="Calibri" w:hAnsi="Calibri"/>
          <w:sz w:val="22"/>
          <w:szCs w:val="22"/>
        </w:rPr>
        <w:t xml:space="preserve">no inference at all — evaluates pre-collected traces keyed by case_id. This is how production traffic gets scored: export spans from Phoenix or an OTel backend, adapt, replay. It also makes evaluation deterministic and free for regression comparisons on frozen traces.</w:t>
      </w:r>
    </w:p>
    <w:p>
      <w:pPr>
        <w:pStyle w:val="ListParagraph"/>
        <w:numPr>
          <w:ilvl w:val="0"/>
          <w:numId w:val="2"/>
        </w:numPr>
        <w:spacing w:after="100" w:line="276"/>
      </w:pPr>
      <w:r>
        <w:rPr>
          <w:rFonts w:ascii="Calibri" w:cs="Calibri" w:eastAsia="Calibri" w:hAnsi="Calibri"/>
          <w:b/>
          <w:bCs/>
          <w:sz w:val="22"/>
          <w:szCs w:val="22"/>
        </w:rPr>
        <w:t xml:space="preserve">LiveTarget (remote — roadmap): </w:t>
      </w:r>
      <w:r>
        <w:rPr>
          <w:rFonts w:ascii="Calibri" w:cs="Calibri" w:eastAsia="Calibri" w:hAnsi="Calibri"/>
          <w:sz w:val="22"/>
          <w:szCs w:val="22"/>
        </w:rPr>
        <w:t xml:space="preserve">HTTP/SDK clients with retry, rate limiting, and captured spans; the prototype omits network clients deliberately, but the contract is identical, so skills are unaffected when it lands.</w:t>
      </w:r>
    </w:p>
    <w:p>
      <w:pPr>
        <w:pStyle w:val="Heading2"/>
        <w:spacing w:after="160" w:before="280"/>
      </w:pPr>
      <w:r>
        <w:t xml:space="preserve">3.4 Metrics subsystem</w:t>
      </w:r>
    </w:p>
    <w:p>
      <w:pPr>
        <w:spacing w:after="160" w:line="276"/>
      </w:pPr>
      <w:r>
        <w:rPr>
          <w:rFonts w:ascii="Calibri" w:cs="Calibri" w:eastAsia="Calibri" w:hAnsi="Calibri"/>
          <w:sz w:val="22"/>
          <w:szCs w:val="22"/>
        </w:rPr>
        <w:t xml:space="preserve">Every metric is a factory returning a Scorer closure: (case, output, trace) → MetricResult with a normalized 0–1 score, an optional pass verdict, diagnostic details, and a metric version. Factories take configuration; closures take data — this is the code/criteria boundary in the type system.</w:t>
      </w:r>
    </w:p>
    <w:p>
      <w:pPr>
        <w:pStyle w:val="ListParagraph"/>
        <w:numPr>
          <w:ilvl w:val="0"/>
          <w:numId w:val="2"/>
        </w:numPr>
        <w:spacing w:after="100" w:line="276"/>
      </w:pPr>
      <w:r>
        <w:rPr>
          <w:rFonts w:ascii="Calibri" w:cs="Calibri" w:eastAsia="Calibri" w:hAnsi="Calibri"/>
          <w:b/>
          <w:bCs/>
          <w:sz w:val="22"/>
          <w:szCs w:val="22"/>
        </w:rPr>
        <w:t xml:space="preserve">Deterministic scorers </w:t>
      </w:r>
      <w:r>
        <w:rPr>
          <w:rFonts w:ascii="Calibri" w:cs="Calibri" w:eastAsia="Calibri" w:hAnsi="Calibri"/>
          <w:sz w:val="22"/>
          <w:szCs w:val="22"/>
        </w:rPr>
        <w:t xml:space="preserve">(metrics/deterministic.py): exact_match, regex_rules (required/forbidden), json_schema_lite, tool_correctness (with optional argument checking), trajectory_match in the four standard modes (strict / unordered / subset / superset), step_efficiency, and policy_engine — the declarative rule engine (forbidden_tool, arg_max, require_before) whose policy lists are exactly what domain packs and app overrides supply. Violations return as human-readable strings for audit evidence.</w:t>
      </w:r>
    </w:p>
    <w:p>
      <w:pPr>
        <w:pStyle w:val="ListParagraph"/>
        <w:numPr>
          <w:ilvl w:val="0"/>
          <w:numId w:val="2"/>
        </w:numPr>
        <w:spacing w:after="100" w:line="276"/>
      </w:pPr>
      <w:r>
        <w:rPr>
          <w:rFonts w:ascii="Calibri" w:cs="Calibri" w:eastAsia="Calibri" w:hAnsi="Calibri"/>
          <w:b/>
          <w:bCs/>
          <w:sz w:val="22"/>
          <w:szCs w:val="22"/>
        </w:rPr>
        <w:t xml:space="preserve">Judge scaffolding </w:t>
      </w:r>
      <w:r>
        <w:rPr>
          <w:rFonts w:ascii="Calibri" w:cs="Calibri" w:eastAsia="Calibri" w:hAnsi="Calibri"/>
          <w:sz w:val="22"/>
          <w:szCs w:val="22"/>
        </w:rPr>
        <w:t xml:space="preserve">(metrics/judges.py): one rubric scaffold prompt with slots for task input, response, optional context, and a rendered criteria block; Criterion objects (name, description, per-level anchors, weight) are the parameter. faithfulness_qag implements the claim-decompose-then-verify pattern reused across RAG, summarization, and fan-out synthesis. The judge model is a pluggable str → str callable resolved at runtime (environment binding EVAL_JUDGE_MODEL = module:function), so the same skill runs against a stub in CI and a production judge in staging — and judge-model identity lands in the run manifest.</w:t>
      </w:r>
    </w:p>
    <w:p>
      <w:pPr>
        <w:pStyle w:val="ListParagraph"/>
        <w:numPr>
          <w:ilvl w:val="0"/>
          <w:numId w:val="2"/>
        </w:numPr>
        <w:spacing w:after="100" w:line="276"/>
      </w:pPr>
      <w:r>
        <w:rPr>
          <w:rFonts w:ascii="Calibri" w:cs="Calibri" w:eastAsia="Calibri" w:hAnsi="Calibri"/>
          <w:b/>
          <w:bCs/>
          <w:sz w:val="22"/>
          <w:szCs w:val="22"/>
        </w:rPr>
        <w:t xml:space="preserve">Safety scoring </w:t>
      </w:r>
      <w:r>
        <w:rPr>
          <w:rFonts w:ascii="Calibri" w:cs="Calibri" w:eastAsia="Calibri" w:hAnsi="Calibri"/>
          <w:sz w:val="22"/>
          <w:szCs w:val="22"/>
        </w:rPr>
        <w:t xml:space="preserve">(metrics/safety.py): attack_success wraps a detector callable; the aggregate mean over a probe family is that family’s ASR. Detector bindings are the customization surface — the prototype ships a PII regex stub, production binds Presidio/LLM-Guard or a safety judge.</w:t>
      </w:r>
    </w:p>
    <w:p>
      <w:pPr>
        <w:pStyle w:val="ListParagraph"/>
        <w:numPr>
          <w:ilvl w:val="0"/>
          <w:numId w:val="2"/>
        </w:numPr>
        <w:spacing w:after="100" w:line="276"/>
      </w:pPr>
      <w:r>
        <w:rPr>
          <w:rFonts w:ascii="Calibri" w:cs="Calibri" w:eastAsia="Calibri" w:hAnsi="Calibri"/>
          <w:b/>
          <w:bCs/>
          <w:sz w:val="22"/>
          <w:szCs w:val="22"/>
        </w:rPr>
        <w:t xml:space="preserve">Robustness scoring </w:t>
      </w:r>
      <w:r>
        <w:rPr>
          <w:rFonts w:ascii="Calibri" w:cs="Calibri" w:eastAsia="Calibri" w:hAnsi="Calibri"/>
          <w:sz w:val="22"/>
          <w:szCs w:val="22"/>
        </w:rPr>
        <w:t xml:space="preserve">(metrics/robustness.py): a perturbation engine — pluggable semantics-preserving perturbers (typo swap, case scramble, whitespace noise, distractor suffix) — that re-invokes the live target on perturbed inputs and scores mean output stability (jaccard or exact) against the unperturbed output, with per-perturbation detail for diagnosing targeted weaknesses. Implements the Group A robustness type; requires a live target since perturbed inputs must be re-inferred.</w:t>
      </w:r>
    </w:p>
    <w:p>
      <w:pPr>
        <w:pStyle w:val="ListParagraph"/>
        <w:numPr>
          <w:ilvl w:val="0"/>
          <w:numId w:val="2"/>
        </w:numPr>
        <w:spacing w:after="100" w:line="276"/>
      </w:pPr>
      <w:r>
        <w:rPr>
          <w:rFonts w:ascii="Calibri" w:cs="Calibri" w:eastAsia="Calibri" w:hAnsi="Calibri"/>
          <w:b/>
          <w:bCs/>
          <w:sz w:val="22"/>
          <w:szCs w:val="22"/>
        </w:rPr>
        <w:t xml:space="preserve">Scenario assertions </w:t>
      </w:r>
      <w:r>
        <w:rPr>
          <w:rFonts w:ascii="Calibri" w:cs="Calibri" w:eastAsia="Calibri" w:hAnsi="Calibri"/>
          <w:sz w:val="22"/>
          <w:szCs w:val="22"/>
        </w:rPr>
        <w:t xml:space="preserve">(metrics/scenario.py): declarative given/when/then checks carried in the dataset itself — contains / not_contains / regex / tool_used / tool_not_used / max_tool_calls per case — so scenario suites are pure data and every production incident can become a regression row without code. Implements the Group C scenario-testing type; reports failed assertions by name as concrete broken behaviors.</w:t>
      </w:r>
    </w:p>
    <w:p>
      <w:pPr>
        <w:pStyle w:val="Heading2"/>
        <w:spacing w:after="160" w:before="280"/>
      </w:pPr>
      <w:r>
        <w:t xml:space="preserve">3.5 Runner and statistics</w:t>
      </w:r>
    </w:p>
    <w:p>
      <w:pPr>
        <w:spacing w:after="160" w:line="276"/>
      </w:pPr>
      <w:r>
        <w:rPr>
          <w:rFonts w:ascii="Calibri" w:cs="Calibri" w:eastAsia="Calibri" w:hAnsi="Calibri"/>
          <w:sz w:val="22"/>
          <w:szCs w:val="22"/>
        </w:rPr>
        <w:t xml:space="preserve">run_suite executes cases × n_attempts against the target, applies all scorers per attempt, catches and records per-case errors without aborting the suite, and aggregates: per-metric mean with 95% CI, and — when a pass_metric and repeats are configured — pass@k and pass^k for k ∈ {1, 2, 4}. The stats module implements the standard formulations (pass@k = 1 − C(n−c,k)/C(n,k); pass^k = C(c,k)/C(n,k) averaged over cases) plus cohen_kappa for the judge-calibration gate. Every RunReport carries a manifest (skill id/version, judge binding) so numbers remain attributable, per the reproducibility requirements of the white paper §4.4.</w:t>
      </w:r>
    </w:p>
    <w:p>
      <w:pPr>
        <w:pStyle w:val="Heading2"/>
        <w:spacing w:after="160" w:before="280"/>
      </w:pPr>
      <w:r>
        <w:t xml:space="preserve">3.6 Pattern packs and extension points</w:t>
      </w:r>
    </w:p>
    <w:p>
      <w:pPr>
        <w:spacing w:after="160" w:line="276"/>
      </w:pPr>
      <w:r>
        <w:rPr>
          <w:rFonts w:ascii="Calibri" w:cs="Calibri" w:eastAsia="Calibri" w:hAnsi="Calibri"/>
          <w:sz w:val="22"/>
          <w:szCs w:val="22"/>
        </w:rPr>
        <w:t xml:space="preserve">Pattern packs (evalkit/patterns/*.yaml) declare the default bundle per task pattern: metric list with parameters, reliability configuration (n_attempts, pass_metric), and safety add-ons. Packs are the RUNTIME source of truth, not documentation: skill runners call patterns/loader.build_bundle(pack, …), which registry-resolves every metric entry with its params, deep-merges app overrides over pack params, injects the bound judge model and loaded criteria into judge entries, and returns the reliability config that run_suite consumes (CLI &gt; overrides &gt; pack precedence). Editing a pack or an overrides file therefore changes evaluation behavior with zero code change; mas_eval likewise sources flow-mode and redundancy-budget defaults from its composed MAS packs (budgets summing across packs) when the composition omits them. Extension points, in decreasing order of preference: (1) config — new criteria, policies, thresholds, detector bindings; (2) registry plugins — a new adapter, target, or scorer registered under a name, added as generic L1 code; (3) core changes — rare, reviewed, reserved for new contract fields. If a proposed change contains a domain word, it is by definition not (2) or (3).</w:t>
      </w:r>
    </w:p>
    <w:p>
      <w:pPr>
        <w:pStyle w:val="Heading2"/>
        <w:spacing w:after="160" w:before="280"/>
      </w:pPr>
      <w:r>
        <w:t xml:space="preserve">3.7 Multi-agent composition: one trace, three layers, N patterns</w:t>
      </w:r>
    </w:p>
    <w:p>
      <w:pPr>
        <w:spacing w:after="160" w:line="276"/>
      </w:pPr>
      <w:r>
        <w:rPr>
          <w:rFonts w:ascii="Calibri" w:cs="Calibri" w:eastAsia="Calibri" w:hAnsi="Calibri"/>
          <w:sz w:val="22"/>
          <w:szCs w:val="22"/>
        </w:rPr>
        <w:t xml:space="preserve">A multi-agent use case composes several task patterns under a custom topology, and its evaluation needs the MAS survey’s three layers — outcome (end-to-end), process (trajectory across the whole system), and component (per-agent pattern metrics) — over ONE trace that spans every agent and pattern. evalkit supports this without any new metric code for the component layer:</w:t>
      </w:r>
    </w:p>
    <w:p>
      <w:pPr>
        <w:pStyle w:val="ListParagraph"/>
        <w:numPr>
          <w:ilvl w:val="0"/>
          <w:numId w:val="2"/>
        </w:numPr>
        <w:spacing w:after="100" w:line="276"/>
      </w:pPr>
      <w:r>
        <w:rPr>
          <w:rFonts w:ascii="Calibri" w:cs="Calibri" w:eastAsia="Calibri" w:hAnsi="Calibri"/>
          <w:b/>
          <w:bCs/>
          <w:sz w:val="22"/>
          <w:szCs w:val="22"/>
        </w:rPr>
        <w:t xml:space="preserve">System-wide tracing is already canonical: </w:t>
      </w:r>
      <w:r>
        <w:rPr>
          <w:rFonts w:ascii="Calibri" w:cs="Calibri" w:eastAsia="Calibri" w:hAnsi="Calibri"/>
          <w:sz w:val="22"/>
          <w:szCs w:val="22"/>
        </w:rPr>
        <w:t xml:space="preserve">the schema’s agent and handoff span kinds capture cross-agent structure from either vendor; one CanonicalTrace covers the entire system regardless of how many patterns it contains.</w:t>
      </w:r>
    </w:p>
    <w:p>
      <w:pPr>
        <w:pStyle w:val="ListParagraph"/>
        <w:numPr>
          <w:ilvl w:val="0"/>
          <w:numId w:val="2"/>
        </w:numPr>
        <w:spacing w:after="100" w:line="276"/>
      </w:pPr>
      <w:r>
        <w:rPr>
          <w:rFonts w:ascii="Calibri" w:cs="Calibri" w:eastAsia="Calibri" w:hAnsi="Calibri"/>
          <w:b/>
          <w:bCs/>
          <w:sz w:val="22"/>
          <w:szCs w:val="22"/>
        </w:rPr>
        <w:t xml:space="preserve">Scope projection (tracing/graph.py): </w:t>
      </w:r>
      <w:r>
        <w:rPr>
          <w:rFonts w:ascii="Calibri" w:cs="Calibri" w:eastAsia="Calibri" w:hAnsi="Calibri"/>
          <w:sz w:val="22"/>
          <w:szCs w:val="22"/>
        </w:rPr>
        <w:t xml:space="preserve">agent_scopes() assigns every span to its nearest ancestor agent span, yielding a per-agent sub-trace that looks exactly like a single-agent trace. Any existing L1 scorer then runs unchanged on any agent — the reuse map of the MAS white paper (Table 2) realized mechanically: N patterns inside a MAS reuse the same fifteen primitives.</w:t>
      </w:r>
    </w:p>
    <w:p>
      <w:pPr>
        <w:pStyle w:val="ListParagraph"/>
        <w:numPr>
          <w:ilvl w:val="0"/>
          <w:numId w:val="2"/>
        </w:numPr>
        <w:spacing w:after="100" w:line="276"/>
      </w:pPr>
      <w:r>
        <w:rPr>
          <w:rFonts w:ascii="Calibri" w:cs="Calibri" w:eastAsia="Calibri" w:hAnsi="Calibri"/>
          <w:b/>
          <w:bCs/>
          <w:sz w:val="22"/>
          <w:szCs w:val="22"/>
        </w:rPr>
        <w:t xml:space="preserve">Process metrics (metrics/mas.py): </w:t>
      </w:r>
      <w:r>
        <w:rPr>
          <w:rFonts w:ascii="Calibri" w:cs="Calibri" w:eastAsia="Calibri" w:hAnsi="Calibri"/>
          <w:sz w:val="22"/>
          <w:szCs w:val="22"/>
        </w:rPr>
        <w:t xml:space="preserve">handoff_flow compares the realized handoff sequence to the declared flow (strict/unordered/subset); coordination_efficiency computes graph statistics (agents, handoffs, redundant duplicate tool calls across agents as an unnecessary-work proxy) and gates on redundancy — catching wasteful “silent successes” whose outcome scores look perfect.</w:t>
      </w:r>
    </w:p>
    <w:p>
      <w:pPr>
        <w:pStyle w:val="ListParagraph"/>
        <w:numPr>
          <w:ilvl w:val="0"/>
          <w:numId w:val="2"/>
        </w:numPr>
        <w:spacing w:after="100" w:line="276"/>
      </w:pPr>
      <w:r>
        <w:rPr>
          <w:rFonts w:ascii="Calibri" w:cs="Calibri" w:eastAsia="Calibri" w:hAnsi="Calibri"/>
          <w:b/>
          <w:bCs/>
          <w:sz w:val="22"/>
          <w:szCs w:val="22"/>
        </w:rPr>
        <w:t xml:space="preserve">Outcome metrics are the existing output scorers </w:t>
      </w:r>
      <w:r>
        <w:rPr>
          <w:rFonts w:ascii="Calibri" w:cs="Calibri" w:eastAsia="Calibri" w:hAnsi="Calibri"/>
          <w:sz w:val="22"/>
          <w:szCs w:val="22"/>
        </w:rPr>
        <w:t xml:space="preserve">(scenario assertions, rubric judges, matchers) applied to the system’s final output — no MAS-specific code needed at the outcome layer either.</w:t>
      </w:r>
    </w:p>
    <w:p>
      <w:pPr>
        <w:pStyle w:val="ListParagraph"/>
        <w:numPr>
          <w:ilvl w:val="0"/>
          <w:numId w:val="2"/>
        </w:numPr>
        <w:spacing w:after="100" w:line="276"/>
      </w:pPr>
      <w:r>
        <w:rPr>
          <w:rFonts w:ascii="Calibri" w:cs="Calibri" w:eastAsia="Calibri" w:hAnsi="Calibri"/>
          <w:b/>
          <w:bCs/>
          <w:sz w:val="22"/>
          <w:szCs w:val="22"/>
        </w:rPr>
        <w:t xml:space="preserve">The use-case topology is data: </w:t>
      </w:r>
      <w:r>
        <w:rPr>
          <w:rFonts w:ascii="Calibri" w:cs="Calibri" w:eastAsia="Calibri" w:hAnsi="Calibri"/>
          <w:sz w:val="22"/>
          <w:szCs w:val="22"/>
        </w:rPr>
        <w:t xml:space="preserve">a composition file declares how patterns work together for this use case, keeping two pattern concepts explicitly distinct: a top-level mas_patterns list naming the MAS coordination-pattern packs being composed (recorded in the run manifest for attribution), and a per-agent task_pattern naming the GenAI-survey task pattern that agent runs inside its scope — plus flow, flow mode, redundancy budget, per-agent scorer bindings, and outcome scorers. Each agent entry may carry its own expected block (tools, trajectory, rules) that agent_scope overlays on the case, so agents implementing different patterns are scored against their own expectations from one shared dataset. Custom MAS designs are therefore L4 configuration, following the same code/criteria boundary as everything else.</w:t>
      </w:r>
    </w:p>
    <w:p>
      <w:pPr>
        <w:pStyle w:val="ListParagraph"/>
        <w:numPr>
          <w:ilvl w:val="0"/>
          <w:numId w:val="2"/>
        </w:numPr>
        <w:spacing w:after="100" w:line="276"/>
      </w:pPr>
      <w:r>
        <w:rPr>
          <w:rFonts w:ascii="Calibri" w:cs="Calibri" w:eastAsia="Calibri" w:hAnsi="Calibri"/>
          <w:b/>
          <w:bCs/>
          <w:sz w:val="22"/>
          <w:szCs w:val="22"/>
        </w:rPr>
        <w:t xml:space="preserve">MAS pattern packs: </w:t>
      </w:r>
      <w:r>
        <w:rPr>
          <w:rFonts w:ascii="Calibri" w:cs="Calibri" w:eastAsia="Calibri" w:hAnsi="Calibri"/>
          <w:sz w:val="22"/>
          <w:szCs w:val="22"/>
        </w:rPr>
        <w:t xml:space="preserve">two MAS coordination patterns from the companion MAS survey ship as L2 packs — mas_orchestrator_worker.yaml (fan-out: subset handoff coverage, zero-redundancy budget across workers, per-worker scope scorers, outcome on the merged output) and mas_maker_checker.yaml (review loop: mandatory maker→checker edge, checker scope must emit an explicit verdict, outcome must reflect enforced revisions, one budgeted revision loop). Both compose only existing primitives — the packs are pure declarations.</w:t>
      </w:r>
    </w:p>
    <w:p>
      <w:pPr>
        <w:pStyle w:val="Heading1"/>
        <w:spacing w:after="200" w:before="320"/>
      </w:pPr>
      <w:r>
        <w:t xml:space="preserve">4. evalskills — the Eval Agent Skill Library</w:t>
      </w:r>
    </w:p>
    <w:p>
      <w:pPr>
        <w:pStyle w:val="Heading2"/>
        <w:spacing w:after="160" w:before="280"/>
      </w:pPr>
      <w:r>
        <w:t xml:space="preserve">4.1 What a skill is</w:t>
      </w:r>
    </w:p>
    <w:p>
      <w:pPr>
        <w:spacing w:after="160" w:line="276"/>
      </w:pPr>
      <w:r>
        <w:rPr>
          <w:rFonts w:ascii="Calibri" w:cs="Calibri" w:eastAsia="Calibri" w:hAnsi="Calibri"/>
          <w:sz w:val="22"/>
          <w:szCs w:val="22"/>
        </w:rPr>
        <w:t xml:space="preserve">A skill is a folder an agent can operate from end to end. Its anatomy is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700"/>
        <w:gridCol w:w="3160"/>
      </w:tblGrid>
      <w:tr>
        <w:trPr>
          <w:tblHeader/>
        </w:trPr>
        <w:tc>
          <w:tcPr>
            <w:tcW w:type="dxa" w:w="1500"/>
            <w:shd w:fill="1F3864" w:val="clear"/>
            <w:tcMar>
              <w:top w:type="dxa" w:w="80"/>
              <w:left w:type="dxa" w:w="100"/>
              <w:bottom w:type="dxa" w:w="80"/>
              <w:right w:type="dxa" w:w="100"/>
            </w:tcMar>
          </w:tcPr>
          <w:p>
            <w:pPr>
              <w:spacing w:after="0" w:line="240"/>
            </w:pPr>
            <w:r>
              <w:rPr>
                <w:rFonts w:ascii="Calibri" w:cs="Calibri" w:eastAsia="Calibri" w:hAnsi="Calibri"/>
                <w:b/>
                <w:bCs/>
                <w:color w:val="FFFFFF"/>
                <w:sz w:val="18"/>
                <w:szCs w:val="18"/>
              </w:rPr>
              <w:t xml:space="preserve">File</w:t>
            </w:r>
          </w:p>
        </w:tc>
        <w:tc>
          <w:tcPr>
            <w:tcW w:type="dxa" w:w="4700"/>
            <w:shd w:fill="1F3864" w:val="clear"/>
            <w:tcMar>
              <w:top w:type="dxa" w:w="80"/>
              <w:left w:type="dxa" w:w="100"/>
              <w:bottom w:type="dxa" w:w="80"/>
              <w:right w:type="dxa" w:w="100"/>
            </w:tcMar>
          </w:tcPr>
          <w:p>
            <w:pPr>
              <w:spacing w:after="0" w:line="240"/>
            </w:pPr>
            <w:r>
              <w:rPr>
                <w:rFonts w:ascii="Calibri" w:cs="Calibri" w:eastAsia="Calibri" w:hAnsi="Calibri"/>
                <w:b/>
                <w:bCs/>
                <w:color w:val="FFFFFF"/>
                <w:sz w:val="18"/>
                <w:szCs w:val="18"/>
              </w:rPr>
              <w:t xml:space="preserve">Role</w:t>
            </w:r>
          </w:p>
        </w:tc>
        <w:tc>
          <w:tcPr>
            <w:tcW w:type="dxa" w:w="3160"/>
            <w:shd w:fill="1F3864" w:val="clear"/>
            <w:tcMar>
              <w:top w:type="dxa" w:w="80"/>
              <w:left w:type="dxa" w:w="100"/>
              <w:bottom w:type="dxa" w:w="80"/>
              <w:right w:type="dxa" w:w="100"/>
            </w:tcMar>
          </w:tcPr>
          <w:p>
            <w:pPr>
              <w:spacing w:after="0" w:line="240"/>
            </w:pPr>
            <w:r>
              <w:rPr>
                <w:rFonts w:ascii="Calibri" w:cs="Calibri" w:eastAsia="Calibri" w:hAnsi="Calibri"/>
                <w:b/>
                <w:bCs/>
                <w:color w:val="FFFFFF"/>
                <w:sz w:val="18"/>
                <w:szCs w:val="18"/>
              </w:rPr>
              <w:t xml:space="preserve">Rule</w:t>
            </w:r>
          </w:p>
        </w:tc>
      </w:tr>
      <w:tr>
        <w:trPr>
          <w:tblHeader w:val="false"/>
        </w:trPr>
        <w:tc>
          <w:tcPr>
            <w:tcW w:type="dxa" w:w="15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SKILL.md</w:t>
            </w:r>
          </w:p>
        </w:tc>
        <w:tc>
          <w:tcPr>
            <w:tcW w:type="dxa" w:w="47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Agent-readable procedure: when to use, required inputs, run commands, how to interpret results, customization route</w:t>
            </w:r>
          </w:p>
        </w:tc>
        <w:tc>
          <w:tcPr>
            <w:tcW w:type="dxa" w:w="316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Must be sufficient alone — a skill an agent cannot follow from SKILL.md is not done</w:t>
            </w:r>
          </w:p>
        </w:tc>
      </w:tr>
      <w:tr>
        <w:trPr>
          <w:tblHeader w:val="false"/>
        </w:trPr>
        <w:tc>
          <w:tcPr>
            <w:tcW w:type="dxa" w:w="15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config.yaml</w:t>
            </w:r>
          </w:p>
        </w:tc>
        <w:tc>
          <w:tcPr>
            <w:tcW w:type="dxa" w:w="47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Declarative identity: skill name/version, bound pattern pack, entrypoint, judge binding, merge order, calibrated flag</w:t>
            </w:r>
          </w:p>
        </w:tc>
        <w:tc>
          <w:tcPr>
            <w:tcW w:type="dxa" w:w="316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The only place versioning and calibration status live</w:t>
            </w:r>
          </w:p>
        </w:tc>
      </w:tr>
      <w:tr>
        <w:trPr>
          <w:tblHeader w:val="false"/>
        </w:trPr>
        <w:tc>
          <w:tcPr>
            <w:tcW w:type="dxa" w:w="15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prompts/</w:t>
            </w:r>
          </w:p>
        </w:tc>
        <w:tc>
          <w:tcPr>
            <w:tcW w:type="dxa" w:w="47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Judge criteria files and prompt assets (the criteria-as-parameter payload)</w:t>
            </w:r>
          </w:p>
        </w:tc>
        <w:tc>
          <w:tcPr>
            <w:tcW w:type="dxa" w:w="316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Data, not code; layered by merge order</w:t>
            </w:r>
          </w:p>
        </w:tc>
      </w:tr>
      <w:tr>
        <w:trPr>
          <w:tblHeader w:val="false"/>
        </w:trPr>
        <w:tc>
          <w:tcPr>
            <w:tcW w:type="dxa" w:w="15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run.py</w:t>
            </w:r>
          </w:p>
        </w:tc>
        <w:tc>
          <w:tcPr>
            <w:tcW w:type="dxa" w:w="47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Thin composition: parse args, load cases, resolve target/adapter by registry name, build the scorer bundle FROM the pattern pack via loader.build_bundle (overrides deep-merged), run_suite with pack-sourced reliability, print report</w:t>
            </w:r>
          </w:p>
        </w:tc>
        <w:tc>
          <w:tcPr>
            <w:tcW w:type="dxa" w:w="316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Zero metric logic — if scoring math appears here, it moves down into evalkit</w:t>
            </w:r>
          </w:p>
        </w:tc>
      </w:tr>
    </w:tbl>
    <w:p>
      <w:pPr>
        <w:spacing w:after="240" w:before="80"/>
        <w:jc w:val="center"/>
      </w:pPr>
      <w:r>
        <w:rPr>
          <w:rFonts w:ascii="Calibri" w:cs="Calibri" w:eastAsia="Calibri" w:hAnsi="Calibri"/>
          <w:i/>
          <w:iCs/>
          <w:color w:val="595959"/>
          <w:sz w:val="18"/>
          <w:szCs w:val="18"/>
        </w:rPr>
        <w:t xml:space="preserve">Table 3. Skill anatomy. All prototype skills — the six common skills (including mas_eval) and the template — follow it.</w:t>
      </w:r>
    </w:p>
    <w:p>
      <w:pPr>
        <w:pStyle w:val="Heading2"/>
        <w:spacing w:after="160" w:before="280"/>
      </w:pPr>
      <w:r>
        <w:t xml:space="preserve">4.2 Library layout and hierarchy</w:t>
      </w:r>
    </w:p>
    <w:p>
      <w:pPr>
        <w:shd w:fill="F2F2F2" w:val="clear"/>
        <w:spacing w:after="40" w:line="240"/>
        <w:ind w:left="720"/>
      </w:pPr>
      <w:r>
        <w:rPr>
          <w:rFonts w:ascii="Consolas" w:cs="Consolas" w:eastAsia="Consolas" w:hAnsi="Consolas"/>
          <w:sz w:val="17"/>
          <w:szCs w:val="17"/>
        </w:rPr>
        <w:t xml:space="preserve">evalskills/</w:t>
      </w:r>
    </w:p>
    <w:p>
      <w:pPr>
        <w:shd w:fill="F2F2F2" w:val="clear"/>
        <w:spacing w:after="40" w:line="240"/>
        <w:ind w:left="720"/>
      </w:pPr>
      <w:r>
        <w:rPr>
          <w:rFonts w:ascii="Consolas" w:cs="Consolas" w:eastAsia="Consolas" w:hAnsi="Consolas"/>
          <w:sz w:val="17"/>
          <w:szCs w:val="17"/>
        </w:rPr>
        <w:t xml:space="preserve">├─ INDEX.md                  # catalogue; generate_skill keeps it current</w:t>
      </w:r>
    </w:p>
    <w:p>
      <w:pPr>
        <w:shd w:fill="F2F2F2" w:val="clear"/>
        <w:spacing w:after="40" w:line="240"/>
        <w:ind w:left="720"/>
      </w:pPr>
      <w:r>
        <w:rPr>
          <w:rFonts w:ascii="Consolas" w:cs="Consolas" w:eastAsia="Consolas" w:hAnsi="Consolas"/>
          <w:sz w:val="17"/>
          <w:szCs w:val="17"/>
        </w:rPr>
        <w:t xml:space="preserve">├─ _meta/                    # meta-skills (operate on the library itself)</w:t>
      </w:r>
    </w:p>
    <w:p>
      <w:pPr>
        <w:shd w:fill="F2F2F2" w:val="clear"/>
        <w:spacing w:after="40" w:line="240"/>
        <w:ind w:left="720"/>
      </w:pPr>
      <w:r>
        <w:rPr>
          <w:rFonts w:ascii="Consolas" w:cs="Consolas" w:eastAsia="Consolas" w:hAnsi="Consolas"/>
          <w:sz w:val="17"/>
          <w:szCs w:val="17"/>
        </w:rPr>
        <w:t xml:space="preserve">│   ├─ customize_skill/      # SKILL.md + customize.py</w:t>
      </w:r>
    </w:p>
    <w:p>
      <w:pPr>
        <w:shd w:fill="F2F2F2" w:val="clear"/>
        <w:spacing w:after="40" w:line="240"/>
        <w:ind w:left="720"/>
      </w:pPr>
      <w:r>
        <w:rPr>
          <w:rFonts w:ascii="Consolas" w:cs="Consolas" w:eastAsia="Consolas" w:hAnsi="Consolas"/>
          <w:sz w:val="17"/>
          <w:szCs w:val="17"/>
        </w:rPr>
        <w:t xml:space="preserve">│   └─ generate_skill/       # SKILL.md + generate.py</w:t>
      </w:r>
    </w:p>
    <w:p>
      <w:pPr>
        <w:shd w:fill="F2F2F2" w:val="clear"/>
        <w:spacing w:after="40" w:line="240"/>
        <w:ind w:left="720"/>
      </w:pPr>
      <w:r>
        <w:rPr>
          <w:rFonts w:ascii="Consolas" w:cs="Consolas" w:eastAsia="Consolas" w:hAnsi="Consolas"/>
          <w:sz w:val="17"/>
          <w:szCs w:val="17"/>
        </w:rPr>
        <w:t xml:space="preserve">├─ patterns/                 # common skills, one per task pattern</w:t>
      </w:r>
    </w:p>
    <w:p>
      <w:pPr>
        <w:shd w:fill="F2F2F2" w:val="clear"/>
        <w:spacing w:after="40" w:line="240"/>
        <w:ind w:left="720"/>
      </w:pPr>
      <w:r>
        <w:rPr>
          <w:rFonts w:ascii="Consolas" w:cs="Consolas" w:eastAsia="Consolas" w:hAnsi="Consolas"/>
          <w:sz w:val="17"/>
          <w:szCs w:val="17"/>
        </w:rPr>
        <w:t xml:space="preserve">│   ├─ rag_eval/             # SKILL.md, config.yaml, prompts/, run.py</w:t>
      </w:r>
    </w:p>
    <w:p>
      <w:pPr>
        <w:shd w:fill="F2F2F2" w:val="clear"/>
        <w:spacing w:after="40" w:line="240"/>
        <w:ind w:left="720"/>
      </w:pPr>
      <w:r>
        <w:rPr>
          <w:rFonts w:ascii="Consolas" w:cs="Consolas" w:eastAsia="Consolas" w:hAnsi="Consolas"/>
          <w:sz w:val="17"/>
          <w:szCs w:val="17"/>
        </w:rPr>
        <w:t xml:space="preserve">│   ├─ agent_trajectory_eval/    ├─ safety_scan/</w:t>
      </w:r>
    </w:p>
    <w:p>
      <w:pPr>
        <w:shd w:fill="F2F2F2" w:val="clear"/>
        <w:spacing w:after="40" w:line="240"/>
        <w:ind w:left="720"/>
      </w:pPr>
      <w:r>
        <w:rPr>
          <w:rFonts w:ascii="Consolas" w:cs="Consolas" w:eastAsia="Consolas" w:hAnsi="Consolas"/>
          <w:sz w:val="17"/>
          <w:szCs w:val="17"/>
        </w:rPr>
        <w:t xml:space="preserve">│   ├─ robustness_probe/         ├─ scenario_test/</w:t>
      </w:r>
    </w:p>
    <w:p>
      <w:pPr>
        <w:shd w:fill="F2F2F2" w:val="clear"/>
        <w:spacing w:after="40" w:line="240"/>
        <w:ind w:left="720"/>
      </w:pPr>
      <w:r>
        <w:rPr>
          <w:rFonts w:ascii="Consolas" w:cs="Consolas" w:eastAsia="Consolas" w:hAnsi="Consolas"/>
          <w:sz w:val="17"/>
          <w:szCs w:val="17"/>
        </w:rPr>
        <w:t xml:space="preserve">│   └─ mas_eval/             # generic MAS runner; binds the MAS packs;</w:t>
      </w:r>
    </w:p>
    <w:p>
      <w:pPr>
        <w:shd w:fill="F2F2F2" w:val="clear"/>
        <w:spacing w:after="40" w:line="240"/>
        <w:ind w:left="720"/>
      </w:pPr>
      <w:r>
        <w:rPr>
          <w:rFonts w:ascii="Consolas" w:cs="Consolas" w:eastAsia="Consolas" w:hAnsi="Consolas"/>
          <w:sz w:val="17"/>
          <w:szCs w:val="17"/>
        </w:rPr>
        <w:t xml:space="preserve">│                         #   compositions live at app level (L4) only</w:t>
      </w:r>
    </w:p>
    <w:p>
      <w:pPr>
        <w:shd w:fill="F2F2F2" w:val="clear"/>
        <w:spacing w:after="40" w:line="240"/>
        <w:ind w:left="720"/>
      </w:pPr>
      <w:r>
        <w:rPr>
          <w:rFonts w:ascii="Consolas" w:cs="Consolas" w:eastAsia="Consolas" w:hAnsi="Consolas"/>
          <w:sz w:val="17"/>
          <w:szCs w:val="17"/>
        </w:rPr>
        <w:t xml:space="preserve">├─ domains/                  # L3: policies + criteria per domain</w:t>
      </w:r>
    </w:p>
    <w:p>
      <w:pPr>
        <w:shd w:fill="F2F2F2" w:val="clear"/>
        <w:spacing w:after="40" w:line="240"/>
        <w:ind w:left="720"/>
      </w:pPr>
      <w:r>
        <w:rPr>
          <w:rFonts w:ascii="Consolas" w:cs="Consolas" w:eastAsia="Consolas" w:hAnsi="Consolas"/>
          <w:sz w:val="17"/>
          <w:szCs w:val="17"/>
        </w:rPr>
        <w:t xml:space="preserve">│   └─ finance/{policies,criteria}/</w:t>
      </w:r>
    </w:p>
    <w:p>
      <w:pPr>
        <w:shd w:fill="F2F2F2" w:val="clear"/>
        <w:spacing w:after="40" w:line="240"/>
        <w:ind w:left="720"/>
      </w:pPr>
      <w:r>
        <w:rPr>
          <w:rFonts w:ascii="Consolas" w:cs="Consolas" w:eastAsia="Consolas" w:hAnsi="Consolas"/>
          <w:sz w:val="17"/>
          <w:szCs w:val="17"/>
        </w:rPr>
        <w:t xml:space="preserve">├─ apps/                     # L4: generated by customize_skill; deltas only</w:t>
      </w:r>
    </w:p>
    <w:p>
      <w:pPr>
        <w:shd w:fill="F2F2F2" w:val="clear"/>
        <w:spacing w:after="40" w:line="240"/>
        <w:ind w:left="720"/>
      </w:pPr>
      <w:r>
        <w:rPr>
          <w:rFonts w:ascii="Consolas" w:cs="Consolas" w:eastAsia="Consolas" w:hAnsi="Consolas"/>
          <w:sz w:val="17"/>
          <w:szCs w:val="17"/>
        </w:rPr>
        <w:t xml:space="preserve">│   ├─ &lt;app&gt;/&lt;skill&gt;/{overrides.yaml, run.py, config.yaml, calibration/}</w:t>
      </w:r>
    </w:p>
    <w:p>
      <w:pPr>
        <w:shd w:fill="F2F2F2" w:val="clear"/>
        <w:spacing w:after="40" w:line="240"/>
        <w:ind w:left="720"/>
      </w:pPr>
      <w:r>
        <w:rPr>
          <w:rFonts w:ascii="Consolas" w:cs="Consolas" w:eastAsia="Consolas" w:hAnsi="Consolas"/>
          <w:sz w:val="17"/>
          <w:szCs w:val="17"/>
        </w:rPr>
        <w:t xml:space="preserve">│   └─ research_assistant/mas_eval/   # worked two-pattern MAS example</w:t>
      </w:r>
    </w:p>
    <w:p>
      <w:pPr>
        <w:shd w:fill="F2F2F2" w:val="clear"/>
        <w:spacing w:after="40" w:line="240"/>
        <w:ind w:left="720"/>
      </w:pPr>
      <w:r>
        <w:rPr>
          <w:rFonts w:ascii="Consolas" w:cs="Consolas" w:eastAsia="Consolas" w:hAnsi="Consolas"/>
          <w:sz w:val="17"/>
          <w:szCs w:val="17"/>
        </w:rPr>
        <w:t xml:space="preserve">└─ templates/skill_template/ # consumed by generate_skill</w:t>
      </w:r>
    </w:p>
    <w:p>
      <w:pPr>
        <w:spacing w:after="240" w:before="80"/>
        <w:jc w:val="center"/>
      </w:pPr>
      <w:r>
        <w:rPr>
          <w:rFonts w:ascii="Calibri" w:cs="Calibri" w:eastAsia="Calibri" w:hAnsi="Calibri"/>
          <w:i/>
          <w:iCs/>
          <w:color w:val="595959"/>
          <w:sz w:val="18"/>
          <w:szCs w:val="18"/>
        </w:rPr>
        <w:t xml:space="preserve">Figure 3. evalskills layout. Same parallel-siblings / one-way-dependency discipline as the white paper: apps → domains → patterns → (evalkit).</w:t>
      </w:r>
    </w:p>
    <w:p>
      <w:pPr>
        <w:pStyle w:val="Heading3"/>
        <w:spacing w:after="120" w:before="240"/>
      </w:pPr>
      <w:r>
        <w:t xml:space="preserve">4.2.1 Pack-to-skill correspondence</w:t>
      </w:r>
    </w:p>
    <w:p>
      <w:pPr>
        <w:spacing w:after="160" w:line="276"/>
      </w:pPr>
      <w:r>
        <w:rPr>
          <w:rFonts w:ascii="Calibri" w:cs="Calibri" w:eastAsia="Calibri" w:hAnsi="Calibri"/>
          <w:sz w:val="22"/>
          <w:szCs w:val="22"/>
        </w:rPr>
        <w:t xml:space="preserve">evalkit pattern packs and evalskills skills are deliberately NOT one-to-one across the whole library; the mapping follows three rules by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460"/>
      </w:tblGrid>
      <w:tr>
        <w:trPr>
          <w:tblHeader/>
        </w:trPr>
        <w:tc>
          <w:tcPr>
            <w:tcW w:type="dxa" w:w="2600"/>
            <w:shd w:fill="1F3864" w:val="clear"/>
            <w:tcMar>
              <w:top w:type="dxa" w:w="80"/>
              <w:left w:type="dxa" w:w="100"/>
              <w:bottom w:type="dxa" w:w="80"/>
              <w:right w:type="dxa" w:w="100"/>
            </w:tcMar>
          </w:tcPr>
          <w:p>
            <w:pPr>
              <w:spacing w:after="0" w:line="240"/>
            </w:pPr>
            <w:r>
              <w:rPr>
                <w:rFonts w:ascii="Calibri" w:cs="Calibri" w:eastAsia="Calibri" w:hAnsi="Calibri"/>
                <w:b/>
                <w:bCs/>
                <w:color w:val="FFFFFF"/>
                <w:sz w:val="18"/>
                <w:szCs w:val="18"/>
              </w:rPr>
              <w:t xml:space="preserve">Mapping rule</w:t>
            </w:r>
          </w:p>
        </w:tc>
        <w:tc>
          <w:tcPr>
            <w:tcW w:type="dxa" w:w="3300"/>
            <w:shd w:fill="1F3864" w:val="clear"/>
            <w:tcMar>
              <w:top w:type="dxa" w:w="80"/>
              <w:left w:type="dxa" w:w="100"/>
              <w:bottom w:type="dxa" w:w="80"/>
              <w:right w:type="dxa" w:w="100"/>
            </w:tcMar>
          </w:tcPr>
          <w:p>
            <w:pPr>
              <w:spacing w:after="0" w:line="240"/>
            </w:pPr>
            <w:r>
              <w:rPr>
                <w:rFonts w:ascii="Calibri" w:cs="Calibri" w:eastAsia="Calibri" w:hAnsi="Calibri"/>
                <w:b/>
                <w:bCs/>
                <w:color w:val="FFFFFF"/>
                <w:sz w:val="18"/>
                <w:szCs w:val="18"/>
              </w:rPr>
              <w:t xml:space="preserve">Cases</w:t>
            </w:r>
          </w:p>
        </w:tc>
        <w:tc>
          <w:tcPr>
            <w:tcW w:type="dxa" w:w="3460"/>
            <w:shd w:fill="1F3864" w:val="clear"/>
            <w:tcMar>
              <w:top w:type="dxa" w:w="80"/>
              <w:left w:type="dxa" w:w="100"/>
              <w:bottom w:type="dxa" w:w="80"/>
              <w:right w:type="dxa" w:w="100"/>
            </w:tcMar>
          </w:tcPr>
          <w:p>
            <w:pPr>
              <w:spacing w:after="0" w:line="240"/>
            </w:pPr>
            <w:r>
              <w:rPr>
                <w:rFonts w:ascii="Calibri" w:cs="Calibri" w:eastAsia="Calibri" w:hAnsi="Calibri"/>
                <w:b/>
                <w:bCs/>
                <w:color w:val="FFFFFF"/>
                <w:sz w:val="18"/>
                <w:szCs w:val="18"/>
              </w:rPr>
              <w:t xml:space="preserve">Rationale</w:t>
            </w:r>
          </w:p>
        </w:tc>
      </w:tr>
      <w:tr>
        <w:trPr>
          <w:tblHeader w:val="false"/>
        </w:trPr>
        <w:tc>
          <w:tcPr>
            <w:tcW w:type="dxa" w:w="26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1:1 — task-pattern skills pair with packs</w:t>
            </w:r>
          </w:p>
        </w:tc>
        <w:tc>
          <w:tcPr>
            <w:tcW w:type="dxa" w:w="33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rag_eval ↔ rag.yaml; agent_trajectory_eval ↔ agent_tool_use.yaml; extraction_eval ↔ extraction.yaml</w:t>
            </w:r>
          </w:p>
        </w:tc>
        <w:tc>
          <w:tcPr>
            <w:tcW w:type="dxa" w:w="346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Same L2 split by audience: the pack holds machine-readable measurement defaults, the skill holds the agent-readable procedure. Target state: every task pattern in the survey gets exactly one pack + skill pair.</w:t>
            </w:r>
          </w:p>
        </w:tc>
      </w:tr>
      <w:tr>
        <w:trPr>
          <w:tblHeader w:val="false"/>
        </w:trPr>
        <w:tc>
          <w:tcPr>
            <w:tcW w:type="dxa" w:w="26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1:N — one MAS skill serves many MAS packs</w:t>
            </w:r>
          </w:p>
        </w:tc>
        <w:tc>
          <w:tcPr>
            <w:tcW w:type="dxa" w:w="33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mas_eval ↔ {mas_orchestrator_worker.yaml, mas_maker_checker.yaml, …}</w:t>
            </w:r>
          </w:p>
        </w:tc>
        <w:tc>
          <w:tcPr>
            <w:tcW w:type="dxa" w:w="346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The composition file selects and combines coordination-pattern packs per use case; one skill per MAS pattern would duplicate an identical runner. New MAS patterns add a pack, not a skill.</w:t>
            </w:r>
          </w:p>
        </w:tc>
      </w:tr>
      <w:tr>
        <w:trPr>
          <w:tblHeader w:val="false"/>
        </w:trPr>
        <w:tc>
          <w:tcPr>
            <w:tcW w:type="dxa" w:w="26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0:1 — cross-cutting-type skills own no pack</w:t>
            </w:r>
          </w:p>
        </w:tc>
        <w:tc>
          <w:tcPr>
            <w:tcW w:type="dxa" w:w="33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safety_scan, robustness_probe, scenario_test</w:t>
            </w:r>
          </w:p>
        </w:tc>
        <w:tc>
          <w:tcPr>
            <w:tcW w:type="dxa" w:w="346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These are taxonomy types (Groups B, A, C), not task patterns; they apply to every pattern. Their defaults ride inside task packs as safety_addons and reliability entries rather than owning packs.</w:t>
            </w:r>
          </w:p>
        </w:tc>
      </w:tr>
    </w:tbl>
    <w:p>
      <w:pPr>
        <w:spacing w:after="240" w:before="80"/>
        <w:jc w:val="center"/>
      </w:pPr>
      <w:r>
        <w:rPr>
          <w:rFonts w:ascii="Calibri" w:cs="Calibri" w:eastAsia="Calibri" w:hAnsi="Calibri"/>
          <w:i/>
          <w:iCs/>
          <w:color w:val="595959"/>
          <w:sz w:val="18"/>
          <w:szCs w:val="18"/>
        </w:rPr>
        <w:t xml:space="preserve">Table 3b. Why packs and skills are not one-to-one: two deliberate rules (cross-cutting types; MAS composition) govern the exceptions to the 1:1 task-pattern rule.</w:t>
      </w:r>
    </w:p>
    <w:p>
      <w:pPr>
        <w:pStyle w:val="Heading2"/>
        <w:spacing w:after="160" w:before="280"/>
      </w:pPr>
      <w:r>
        <w:t xml:space="preserve">4.3 Common skills (prototype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3400"/>
        <w:gridCol w:w="2260"/>
      </w:tblGrid>
      <w:tr>
        <w:trPr>
          <w:tblHeader/>
        </w:trPr>
        <w:tc>
          <w:tcPr>
            <w:tcW w:type="dxa" w:w="1800"/>
            <w:shd w:fill="1F3864" w:val="clear"/>
            <w:tcMar>
              <w:top w:type="dxa" w:w="80"/>
              <w:left w:type="dxa" w:w="100"/>
              <w:bottom w:type="dxa" w:w="80"/>
              <w:right w:type="dxa" w:w="100"/>
            </w:tcMar>
          </w:tcPr>
          <w:p>
            <w:pPr>
              <w:spacing w:after="0" w:line="240"/>
            </w:pPr>
            <w:r>
              <w:rPr>
                <w:rFonts w:ascii="Calibri" w:cs="Calibri" w:eastAsia="Calibri" w:hAnsi="Calibri"/>
                <w:b/>
                <w:bCs/>
                <w:color w:val="FFFFFF"/>
                <w:sz w:val="18"/>
                <w:szCs w:val="18"/>
              </w:rPr>
              <w:t xml:space="preserve">Skill</w:t>
            </w:r>
          </w:p>
        </w:tc>
        <w:tc>
          <w:tcPr>
            <w:tcW w:type="dxa" w:w="1900"/>
            <w:shd w:fill="1F3864" w:val="clear"/>
            <w:tcMar>
              <w:top w:type="dxa" w:w="80"/>
              <w:left w:type="dxa" w:w="100"/>
              <w:bottom w:type="dxa" w:w="80"/>
              <w:right w:type="dxa" w:w="100"/>
            </w:tcMar>
          </w:tcPr>
          <w:p>
            <w:pPr>
              <w:spacing w:after="0" w:line="240"/>
            </w:pPr>
            <w:r>
              <w:rPr>
                <w:rFonts w:ascii="Calibri" w:cs="Calibri" w:eastAsia="Calibri" w:hAnsi="Calibri"/>
                <w:b/>
                <w:bCs/>
                <w:color w:val="FFFFFF"/>
                <w:sz w:val="18"/>
                <w:szCs w:val="18"/>
              </w:rPr>
              <w:t xml:space="preserve">Evaluates</w:t>
            </w:r>
          </w:p>
        </w:tc>
        <w:tc>
          <w:tcPr>
            <w:tcW w:type="dxa" w:w="3400"/>
            <w:shd w:fill="1F3864" w:val="clear"/>
            <w:tcMar>
              <w:top w:type="dxa" w:w="80"/>
              <w:left w:type="dxa" w:w="100"/>
              <w:bottom w:type="dxa" w:w="80"/>
              <w:right w:type="dxa" w:w="100"/>
            </w:tcMar>
          </w:tcPr>
          <w:p>
            <w:pPr>
              <w:spacing w:after="0" w:line="240"/>
            </w:pPr>
            <w:r>
              <w:rPr>
                <w:rFonts w:ascii="Calibri" w:cs="Calibri" w:eastAsia="Calibri" w:hAnsi="Calibri"/>
                <w:b/>
                <w:bCs/>
                <w:color w:val="FFFFFF"/>
                <w:sz w:val="18"/>
                <w:szCs w:val="18"/>
              </w:rPr>
              <w:t xml:space="preserve">evalkit modules composed</w:t>
            </w:r>
          </w:p>
        </w:tc>
        <w:tc>
          <w:tcPr>
            <w:tcW w:type="dxa" w:w="2260"/>
            <w:shd w:fill="1F3864" w:val="clear"/>
            <w:tcMar>
              <w:top w:type="dxa" w:w="80"/>
              <w:left w:type="dxa" w:w="100"/>
              <w:bottom w:type="dxa" w:w="80"/>
              <w:right w:type="dxa" w:w="100"/>
            </w:tcMar>
          </w:tcPr>
          <w:p>
            <w:pPr>
              <w:spacing w:after="0" w:line="240"/>
            </w:pPr>
            <w:r>
              <w:rPr>
                <w:rFonts w:ascii="Calibri" w:cs="Calibri" w:eastAsia="Calibri" w:hAnsi="Calibri"/>
                <w:b/>
                <w:bCs/>
                <w:color w:val="FFFFFF"/>
                <w:sz w:val="18"/>
                <w:szCs w:val="18"/>
              </w:rPr>
              <w:t xml:space="preserve">Key report elements</w:t>
            </w:r>
          </w:p>
        </w:tc>
      </w:tr>
      <w:tr>
        <w:trPr>
          <w:tblHeader w:val="false"/>
        </w:trPr>
        <w:tc>
          <w:tcPr>
            <w:tcW w:type="dxa" w:w="18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rag_eval</w:t>
            </w:r>
          </w:p>
        </w:tc>
        <w:tc>
          <w:tcPr>
            <w:tcW w:type="dxa" w:w="19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Grounded Q&amp;A quality</w:t>
            </w:r>
          </w:p>
        </w:tc>
        <w:tc>
          <w:tcPr>
            <w:tcW w:type="dxa" w:w="34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faithfulness_qag, rubric_judge(criteria), regex_rules; replay via either adapter</w:t>
            </w:r>
          </w:p>
        </w:tc>
        <w:tc>
          <w:tcPr>
            <w:tcW w:type="dxa" w:w="226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Faithfulness with unsupported-claim list; rubric per-criterion; pass^k</w:t>
            </w:r>
          </w:p>
        </w:tc>
      </w:tr>
      <w:tr>
        <w:trPr>
          <w:tblHeader w:val="false"/>
        </w:trPr>
        <w:tc>
          <w:tcPr>
            <w:tcW w:type="dxa" w:w="18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agent_trajectory_eval</w:t>
            </w:r>
          </w:p>
        </w:tc>
        <w:tc>
          <w:tcPr>
            <w:tcW w:type="dxa" w:w="19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Single-agent tool use</w:t>
            </w:r>
          </w:p>
        </w:tc>
        <w:tc>
          <w:tcPr>
            <w:tcW w:type="dxa" w:w="34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tool_correctness(args), trajectory_match(mode), step_efficiency, policy_engine(policy file)</w:t>
            </w:r>
          </w:p>
        </w:tc>
        <w:tc>
          <w:tcPr>
            <w:tcW w:type="dxa" w:w="226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pass@k vs pass^k gap; verbatim policy violations as audit strings</w:t>
            </w:r>
          </w:p>
        </w:tc>
      </w:tr>
      <w:tr>
        <w:trPr>
          <w:tblHeader w:val="false"/>
        </w:trPr>
        <w:tc>
          <w:tcPr>
            <w:tcW w:type="dxa" w:w="18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safety_scan</w:t>
            </w:r>
          </w:p>
        </w:tc>
        <w:tc>
          <w:tcPr>
            <w:tcW w:type="dxa" w:w="19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Attack resistance + over-refusal</w:t>
            </w:r>
          </w:p>
        </w:tc>
        <w:tc>
          <w:tcPr>
            <w:tcW w:type="dxa" w:w="34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attack_success(detector) per probe family; refusal detector on benign twins</w:t>
            </w:r>
          </w:p>
        </w:tc>
        <w:tc>
          <w:tcPr>
            <w:tcW w:type="dxa" w:w="226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ASR per attack family, always paired with over-refusal rate</w:t>
            </w:r>
          </w:p>
        </w:tc>
      </w:tr>
      <w:tr>
        <w:trPr>
          <w:tblHeader w:val="false"/>
        </w:trPr>
        <w:tc>
          <w:tcPr>
            <w:tcW w:type="dxa" w:w="18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robustness_probe</w:t>
            </w:r>
          </w:p>
        </w:tc>
        <w:tc>
          <w:tcPr>
            <w:tcW w:type="dxa" w:w="19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Output stability under perturbation</w:t>
            </w:r>
          </w:p>
        </w:tc>
        <w:tc>
          <w:tcPr>
            <w:tcW w:type="dxa" w:w="34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robustness(target, perturbers) over live target</w:t>
            </w:r>
          </w:p>
        </w:tc>
        <w:tc>
          <w:tcPr>
            <w:tcW w:type="dxa" w:w="226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Mean stability + per-perturbation similarity; brittle-family diagnosis</w:t>
            </w:r>
          </w:p>
        </w:tc>
      </w:tr>
      <w:tr>
        <w:trPr>
          <w:tblHeader w:val="false"/>
        </w:trPr>
        <w:tc>
          <w:tcPr>
            <w:tcW w:type="dxa" w:w="18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scenario_test</w:t>
            </w:r>
          </w:p>
        </w:tc>
        <w:tc>
          <w:tcPr>
            <w:tcW w:type="dxa" w:w="19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Enumerated situations / business rules</w:t>
            </w:r>
          </w:p>
        </w:tc>
        <w:tc>
          <w:tcPr>
            <w:tcW w:type="dxa" w:w="34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scenario_assertions on dataset-carried checks</w:t>
            </w:r>
          </w:p>
        </w:tc>
        <w:tc>
          <w:tcPr>
            <w:tcW w:type="dxa" w:w="226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Pass rate per scenario family; failed assertions by name</w:t>
            </w:r>
          </w:p>
        </w:tc>
      </w:tr>
      <w:tr>
        <w:trPr>
          <w:tblHeader w:val="false"/>
        </w:trPr>
        <w:tc>
          <w:tcPr>
            <w:tcW w:type="dxa" w:w="18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mas_eval</w:t>
            </w:r>
          </w:p>
        </w:tc>
        <w:tc>
          <w:tcPr>
            <w:tcW w:type="dxa" w:w="19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Multi-agent use cases (N patterns, custom topology)</w:t>
            </w:r>
          </w:p>
        </w:tc>
        <w:tc>
          <w:tcPr>
            <w:tcW w:type="dxa" w:w="34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app-supplied composition.json → outcome scorers + handoff_flow + coordination_efficiency + agent_scope(pattern scorers)</w:t>
            </w:r>
          </w:p>
        </w:tc>
        <w:tc>
          <w:tcPr>
            <w:tcW w:type="dxa" w:w="226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Three layers in one report: outcome, process (flow + redundancy stats), per-agent component metrics</w:t>
            </w:r>
          </w:p>
        </w:tc>
      </w:tr>
      <w:tr>
        <w:trPr>
          <w:tblHeader w:val="false"/>
        </w:trPr>
        <w:tc>
          <w:tcPr>
            <w:tcW w:type="dxa" w:w="18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extraction_eval (generated)</w:t>
            </w:r>
          </w:p>
        </w:tc>
        <w:tc>
          <w:tcPr>
            <w:tcW w:type="dxa" w:w="19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Structured output</w:t>
            </w:r>
          </w:p>
        </w:tc>
        <w:tc>
          <w:tcPr>
            <w:tcW w:type="dxa" w:w="34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json_schema_lite, exact_match</w:t>
            </w:r>
          </w:p>
        </w:tc>
        <w:tc>
          <w:tcPr>
            <w:tcW w:type="dxa" w:w="226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Schema gate + field accuracy — demonstrates generate_skill output</w:t>
            </w:r>
          </w:p>
        </w:tc>
      </w:tr>
    </w:tbl>
    <w:p>
      <w:pPr>
        <w:spacing w:after="240" w:before="80"/>
        <w:jc w:val="center"/>
      </w:pPr>
      <w:r>
        <w:rPr>
          <w:rFonts w:ascii="Calibri" w:cs="Calibri" w:eastAsia="Calibri" w:hAnsi="Calibri"/>
          <w:i/>
          <w:iCs/>
          <w:color w:val="595959"/>
          <w:sz w:val="18"/>
          <w:szCs w:val="18"/>
        </w:rPr>
        <w:t xml:space="preserve">Table 4. Common skills shipped in the prototype. Growth path: one skill per white-paper pattern via generate_skill.</w:t>
      </w:r>
    </w:p>
    <w:p>
      <w:pPr>
        <w:pStyle w:val="Heading2"/>
        <w:spacing w:after="160" w:before="280"/>
      </w:pPr>
      <w:r>
        <w:t xml:space="preserve">4.4 Meta-skill: customize_skill</w:t>
      </w:r>
    </w:p>
    <w:p>
      <w:pPr>
        <w:spacing w:after="160" w:line="276"/>
      </w:pPr>
      <w:r>
        <w:rPr>
          <w:rFonts w:ascii="Calibri" w:cs="Calibri" w:eastAsia="Calibri" w:hAnsi="Calibri"/>
          <w:sz w:val="22"/>
          <w:szCs w:val="22"/>
        </w:rPr>
        <w:t xml:space="preserve">The customization mechanism from white paper §6.2, made executable. Given a base skill, an app name, and use-case context, the meta-skill (an agent following _meta/customize_skill/SKILL.md, invoking customize.py) materializes apps/&lt;app&gt;/&lt;skill&gt;/ containing only deltas:</w:t>
      </w:r>
    </w:p>
    <w:p>
      <w:pPr>
        <w:pStyle w:val="ListParagraph"/>
        <w:numPr>
          <w:ilvl w:val="0"/>
          <w:numId w:val="2"/>
        </w:numPr>
        <w:spacing w:after="100" w:line="276"/>
      </w:pPr>
      <w:r>
        <w:rPr>
          <w:rFonts w:ascii="Calibri" w:cs="Calibri" w:eastAsia="Calibri" w:hAnsi="Calibri"/>
          <w:sz w:val="22"/>
          <w:szCs w:val="22"/>
        </w:rPr>
        <w:t xml:space="preserve">overrides.yaml — app criteria (name/description/anchors/weight), policy selections, thresholds, detector bindings. The agent converts free-text use-case context into criteria following explicit rules in the SKILL.md: 3–6 criteria, behavioral anchors, and — critically — every hard requirement becomes a deterministic rule, not a judge criterion.</w:t>
      </w:r>
    </w:p>
    <w:p>
      <w:pPr>
        <w:pStyle w:val="ListParagraph"/>
        <w:numPr>
          <w:ilvl w:val="0"/>
          <w:numId w:val="2"/>
        </w:numPr>
        <w:spacing w:after="100" w:line="276"/>
      </w:pPr>
      <w:r>
        <w:rPr>
          <w:rFonts w:ascii="Calibri" w:cs="Calibri" w:eastAsia="Calibri" w:hAnsi="Calibri"/>
          <w:sz w:val="22"/>
          <w:szCs w:val="22"/>
        </w:rPr>
        <w:t xml:space="preserve">run.py — a wrapper that invokes the common skill’s runner with --overrides; the common skill stays shared, so scaffold improvements propagate to every app on upgrade.</w:t>
      </w:r>
    </w:p>
    <w:p>
      <w:pPr>
        <w:pStyle w:val="ListParagraph"/>
        <w:numPr>
          <w:ilvl w:val="0"/>
          <w:numId w:val="2"/>
        </w:numPr>
        <w:spacing w:after="100" w:line="276"/>
      </w:pPr>
      <w:r>
        <w:rPr>
          <w:rFonts w:ascii="Calibri" w:cs="Calibri" w:eastAsia="Calibri" w:hAnsi="Calibri"/>
          <w:sz w:val="22"/>
          <w:szCs w:val="22"/>
        </w:rPr>
        <w:t xml:space="preserve">config.yaml with calibrated: false, and calibration/README.md specifying the gate: 30–50 human-labeled items, cohen_kappa ≥ 0.7 against the judge, recorded before the flag may flip. The SKILL.md instructs agents to refuse judge-gated release decisions while uncalibrated — governance encoded in the skill itself.</w:t>
      </w:r>
    </w:p>
    <w:p>
      <w:pPr>
        <w:spacing w:after="160" w:line="276"/>
      </w:pPr>
      <w:r>
        <w:rPr>
          <w:rFonts w:ascii="Calibri" w:cs="Calibri" w:eastAsia="Calibri" w:hAnsi="Calibri"/>
          <w:sz w:val="22"/>
          <w:szCs w:val="22"/>
        </w:rPr>
        <w:t xml:space="preserve">Promotion path: when an app’s overrides prove broadly useful, the meta-skill’s procedure directs a review to move them into domains/&lt;domain&gt;/ — the compounding mechanism, never silent copy-paste.</w:t>
      </w:r>
    </w:p>
    <w:p>
      <w:pPr>
        <w:pStyle w:val="Heading2"/>
        <w:spacing w:after="160" w:before="280"/>
      </w:pPr>
      <w:r>
        <w:t xml:space="preserve">4.5 Meta-skill: generate_skill</w:t>
      </w:r>
    </w:p>
    <w:p>
      <w:pPr>
        <w:spacing w:after="160" w:line="276"/>
      </w:pPr>
      <w:r>
        <w:rPr>
          <w:rFonts w:ascii="Calibri" w:cs="Calibri" w:eastAsia="Calibri" w:hAnsi="Calibri"/>
          <w:sz w:val="22"/>
          <w:szCs w:val="22"/>
        </w:rPr>
        <w:t xml:space="preserve">For patterns or use cases with no existing common skill. The agent gathers four inputs (pattern, target shape and tracing vendor, applicable scorers discovered via evalkit.available(), dataset schema), runs generate.py to instantiate templates/skill_template with substitutions, then completes the TODO sections of the generated SKILL.md and registers the skill in INDEX.md. Rules enforced by the meta-skill’s instructions: skills contain composition only (new scoring math goes into evalkit L1 as generic code); every generated skill declares its pattern pack and merge order; judge-using skills pass the calibration gate before first real use. Together the two meta-skills make the library self-extending under governance: common assets stay shared, customization is generated and gated, and everything an agent produces is reviewable text.</w:t>
      </w:r>
    </w:p>
    <w:p>
      <w:pPr>
        <w:pStyle w:val="Heading2"/>
        <w:spacing w:after="160" w:before="280"/>
      </w:pPr>
      <w:r>
        <w:t xml:space="preserve">4.6 Worked L4 example: research_assistant (two MAS patterns composed)</w:t>
      </w:r>
    </w:p>
    <w:p>
      <w:pPr>
        <w:spacing w:after="160" w:line="276"/>
      </w:pPr>
      <w:r>
        <w:rPr>
          <w:rFonts w:ascii="Calibri" w:cs="Calibri" w:eastAsia="Calibri" w:hAnsi="Calibri"/>
          <w:sz w:val="22"/>
          <w:szCs w:val="22"/>
        </w:rPr>
        <w:t xml:space="preserve">apps/research_assistant/mas_eval is a complete application example for a MAS use case composing two MAS patterns: orchestrator-worker fan-out (researcher_web and researcher_kb, each running the single-agent tool-use pattern inside its scope) followed by maker-checker (writer drafts, checker issues an explicit verdict, rejected drafts loop back for one revision). The folder carries only use-case data — composition.json declaring mas_patterns: [mas_orchestrator_worker, mas_maker_checker], per-agent task_patterns (agent_tool_use for both researchers, classification for the checker) with per-agent expected tools, and a redundancy budget of one (paying for the revision loop), the app dataset whose outcome assertions include not_contains “TBD” so a caught-and-revised flaw still ends clean, and a thin wrapper — while all logic remains in patterns/mas_eval and evalkit. Because compositions are L4 artifacts, the common mas_eval skill ships no composition of its own and names this app as its canonical example. Its SKILL.md documents app-specific interpretation: a coordination score below budget means checker thrashing; a missing maker→checker edge is a topology bug even when the outcome passes.</w:t>
      </w:r>
    </w:p>
    <w:p>
      <w:pPr>
        <w:pStyle w:val="Heading1"/>
        <w:spacing w:after="200" w:before="320"/>
      </w:pPr>
      <w:r>
        <w:t xml:space="preserve">5. End-to-End Interaction Flows</w:t>
      </w:r>
    </w:p>
    <w:p>
      <w:pPr>
        <w:pStyle w:val="Heading3"/>
        <w:spacing w:after="120" w:before="240"/>
      </w:pPr>
      <w:r>
        <w:t xml:space="preserve">Flow A — live evaluation in CI</w:t>
      </w:r>
    </w:p>
    <w:p>
      <w:pPr>
        <w:spacing w:after="160" w:line="276"/>
      </w:pPr>
      <w:r>
        <w:rPr>
          <w:rFonts w:ascii="Calibri" w:cs="Calibri" w:eastAsia="Calibri" w:hAnsi="Calibri"/>
          <w:sz w:val="22"/>
          <w:szCs w:val="22"/>
        </w:rPr>
        <w:t xml:space="preserve">1. CI job sets EVAL_JUDGE_MODEL to the pinned judge client and calls the app skill’s run.py with the smoke dataset. 2. The wrapper merges pattern defaults + domain pack + app overrides. 3. run_suite invokes the CallableTarget (the app pipeline), collecting TraceBuilder or OTel spans per case. 4. Scorers run per attempt; the report prints means, CIs, pass^k, and failing-check details; thresholds from overrides gate the pipeline.</w:t>
      </w:r>
    </w:p>
    <w:p>
      <w:pPr>
        <w:pStyle w:val="Heading3"/>
        <w:spacing w:after="120" w:before="240"/>
      </w:pPr>
      <w:r>
        <w:t xml:space="preserve">Flow B — scoring production traffic (replay)</w:t>
      </w:r>
    </w:p>
    <w:p>
      <w:pPr>
        <w:spacing w:after="160" w:line="276"/>
      </w:pPr>
      <w:r>
        <w:rPr>
          <w:rFonts w:ascii="Calibri" w:cs="Calibri" w:eastAsia="Calibri" w:hAnsi="Calibri"/>
          <w:sz w:val="22"/>
          <w:szCs w:val="22"/>
        </w:rPr>
        <w:t xml:space="preserve">1. Export spans from Phoenix (OpenInference JSON) or an OTel collector (OTLP JSON) for sampled sessions. 2. The skill resolves the matching adapter (--adapter phoenix|otel_genai) → CanonicalTraces, joined to cases by case_id metadata. 3. ReplayTarget serves (final_output, trace) with zero inference cost. 4. Identical scorers and reports as Flow A — online and offline evaluation share one metric implementation, eliminating offline/online metric drift.</w:t>
      </w:r>
    </w:p>
    <w:p>
      <w:pPr>
        <w:pStyle w:val="Heading3"/>
        <w:spacing w:after="120" w:before="240"/>
      </w:pPr>
      <w:r>
        <w:t xml:space="preserve">Flow C — standing up a new application’s evals</w:t>
      </w:r>
    </w:p>
    <w:p>
      <w:pPr>
        <w:spacing w:after="160" w:line="276"/>
      </w:pPr>
      <w:r>
        <w:rPr>
          <w:rFonts w:ascii="Calibri" w:cs="Calibri" w:eastAsia="Calibri" w:hAnsi="Calibri"/>
          <w:sz w:val="22"/>
          <w:szCs w:val="22"/>
        </w:rPr>
        <w:t xml:space="preserve">1. Agent identifies the app’s task pattern and picks the common skill (or generate_skill if none). 2. Agent runs customize_skill with use-case context → app skill folder with overrides + calibration scaffold. 3. Team supplies golden data; agent runs the suite; human labels the calibration subset; kappa checked; calibrated flips true. 4. App skill wired into CI (Flow A) and production replay (Flow B). Elapsed platform work: zero — all new artifacts are data and thin wrappers.</w:t>
      </w:r>
    </w:p>
    <w:p>
      <w:pPr>
        <w:pStyle w:val="Heading1"/>
        <w:spacing w:after="200" w:before="320"/>
      </w:pPr>
      <w:r>
        <w:t xml:space="preserve">6. Prototype: Code Map and Verified Behavior</w:t>
      </w:r>
    </w:p>
    <w:p>
      <w:pPr>
        <w:spacing w:after="160" w:line="276"/>
      </w:pPr>
      <w:r>
        <w:rPr>
          <w:rFonts w:ascii="Calibri" w:cs="Calibri" w:eastAsia="Calibri" w:hAnsi="Calibri"/>
          <w:sz w:val="22"/>
          <w:szCs w:val="22"/>
        </w:rPr>
        <w:t xml:space="preserve">The delivered prototype (eval_libraries_prototype.zip) is stdlib-only Python (PyYAML optional, used by the RAG skill’s criteria files) and was executed end to end during authoring. Verified behaviors, with actual outputs:</w:t>
      </w:r>
    </w:p>
    <w:p>
      <w:pPr>
        <w:pStyle w:val="ListParagraph"/>
        <w:numPr>
          <w:ilvl w:val="0"/>
          <w:numId w:val="2"/>
        </w:numPr>
        <w:spacing w:after="100" w:line="276"/>
      </w:pPr>
      <w:r>
        <w:rPr>
          <w:rFonts w:ascii="Calibri" w:cs="Calibri" w:eastAsia="Calibri" w:hAnsi="Calibri"/>
          <w:b/>
          <w:bCs/>
          <w:sz w:val="22"/>
          <w:szCs w:val="22"/>
        </w:rPr>
        <w:t xml:space="preserve">Adapters standardize: </w:t>
      </w:r>
      <w:r>
        <w:rPr>
          <w:rFonts w:ascii="Calibri" w:cs="Calibri" w:eastAsia="Calibri" w:hAnsi="Calibri"/>
          <w:sz w:val="22"/>
          <w:szCs w:val="22"/>
        </w:rPr>
        <w:t xml:space="preserve">the same test emitted OTel GenAI spans and Phoenix spans through their adapters and asserted both yield CanonicalTrace with correct kinds, tool_calls(), and token totals (“SAME canonical type: True”).</w:t>
      </w:r>
    </w:p>
    <w:p>
      <w:pPr>
        <w:pStyle w:val="ListParagraph"/>
        <w:numPr>
          <w:ilvl w:val="0"/>
          <w:numId w:val="2"/>
        </w:numPr>
        <w:spacing w:after="100" w:line="276"/>
      </w:pPr>
      <w:r>
        <w:rPr>
          <w:rFonts w:ascii="Calibri" w:cs="Calibri" w:eastAsia="Calibri" w:hAnsi="Calibri"/>
          <w:b/>
          <w:bCs/>
          <w:sz w:val="22"/>
          <w:szCs w:val="22"/>
        </w:rPr>
        <w:t xml:space="preserve">rag_eval catches hallucination: </w:t>
      </w:r>
      <w:r>
        <w:rPr>
          <w:rFonts w:ascii="Calibri" w:cs="Calibri" w:eastAsia="Calibri" w:hAnsi="Calibri"/>
          <w:sz w:val="22"/>
          <w:szCs w:val="22"/>
        </w:rPr>
        <w:t xml:space="preserve">the mock app plants “The moon is made of cheese” in one answer; faithfulness_qag reports it verbatim in unsupported claims and the case fails while the grounded case passes.</w:t>
      </w:r>
    </w:p>
    <w:p>
      <w:pPr>
        <w:pStyle w:val="ListParagraph"/>
        <w:numPr>
          <w:ilvl w:val="0"/>
          <w:numId w:val="2"/>
        </w:numPr>
        <w:spacing w:after="100" w:line="276"/>
      </w:pPr>
      <w:r>
        <w:rPr>
          <w:rFonts w:ascii="Calibri" w:cs="Calibri" w:eastAsia="Calibri" w:hAnsi="Calibri"/>
          <w:b/>
          <w:bCs/>
          <w:sz w:val="22"/>
          <w:szCs w:val="22"/>
        </w:rPr>
        <w:t xml:space="preserve">agent_trajectory_eval exposes the reliability gap: </w:t>
      </w:r>
      <w:r>
        <w:rPr>
          <w:rFonts w:ascii="Calibri" w:cs="Calibri" w:eastAsia="Calibri" w:hAnsi="Calibri"/>
          <w:sz w:val="22"/>
          <w:szCs w:val="22"/>
        </w:rPr>
        <w:t xml:space="preserve">a mock agent that intermittently skips identity verification produced pass@4 = 1.0 vs pass^4 = 0.5 — the exact pattern the white paper warns single-run scores hide — and the finance policy pack surfaced violations verbatim (“update_address without prior verify_identity”, “refund.amount exceeds 500”).</w:t>
      </w:r>
    </w:p>
    <w:p>
      <w:pPr>
        <w:pStyle w:val="ListParagraph"/>
        <w:numPr>
          <w:ilvl w:val="0"/>
          <w:numId w:val="2"/>
        </w:numPr>
        <w:spacing w:after="100" w:line="276"/>
      </w:pPr>
      <w:r>
        <w:rPr>
          <w:rFonts w:ascii="Calibri" w:cs="Calibri" w:eastAsia="Calibri" w:hAnsi="Calibri"/>
          <w:b/>
          <w:bCs/>
          <w:sz w:val="22"/>
          <w:szCs w:val="22"/>
        </w:rPr>
        <w:t xml:space="preserve">safety_scan pairs ASR with over-refusal: </w:t>
      </w:r>
      <w:r>
        <w:rPr>
          <w:rFonts w:ascii="Calibri" w:cs="Calibri" w:eastAsia="Calibri" w:hAnsi="Calibri"/>
          <w:sz w:val="22"/>
          <w:szCs w:val="22"/>
        </w:rPr>
        <w:t xml:space="preserve">ASR[pii_extraction] = 100% (stub detector catching the leaked SSN), ASR[prompt_leak] = 0%, over-refusal on benign twins = 50% — demonstrating the both-sides reporting rule.</w:t>
      </w:r>
    </w:p>
    <w:p>
      <w:pPr>
        <w:pStyle w:val="ListParagraph"/>
        <w:numPr>
          <w:ilvl w:val="0"/>
          <w:numId w:val="2"/>
        </w:numPr>
        <w:spacing w:after="100" w:line="276"/>
      </w:pPr>
      <w:r>
        <w:rPr>
          <w:rFonts w:ascii="Calibri" w:cs="Calibri" w:eastAsia="Calibri" w:hAnsi="Calibri"/>
          <w:b/>
          <w:bCs/>
          <w:sz w:val="22"/>
          <w:szCs w:val="22"/>
        </w:rPr>
        <w:t xml:space="preserve">robustness_probe discriminates: </w:t>
      </w:r>
      <w:r>
        <w:rPr>
          <w:rFonts w:ascii="Calibri" w:cs="Calibri" w:eastAsia="Calibri" w:hAnsi="Calibri"/>
          <w:sz w:val="22"/>
          <w:szCs w:val="22"/>
        </w:rPr>
        <w:t xml:space="preserve">against the mock RAG app, typo perturbation of the keyword the mock routes on dropped similarity on one case while the other stayed stable (mean 0.88), demonstrating per-perturbation weakness diagnosis.</w:t>
      </w:r>
    </w:p>
    <w:p>
      <w:pPr>
        <w:pStyle w:val="ListParagraph"/>
        <w:numPr>
          <w:ilvl w:val="0"/>
          <w:numId w:val="2"/>
        </w:numPr>
        <w:spacing w:after="100" w:line="276"/>
      </w:pPr>
      <w:r>
        <w:rPr>
          <w:rFonts w:ascii="Calibri" w:cs="Calibri" w:eastAsia="Calibri" w:hAnsi="Calibri"/>
          <w:b/>
          <w:bCs/>
          <w:sz w:val="22"/>
          <w:szCs w:val="22"/>
        </w:rPr>
        <w:t xml:space="preserve">scenario_test verifies business rules: </w:t>
      </w:r>
      <w:r>
        <w:rPr>
          <w:rFonts w:ascii="Calibri" w:cs="Calibri" w:eastAsia="Calibri" w:hAnsi="Calibri"/>
          <w:sz w:val="22"/>
          <w:szCs w:val="22"/>
        </w:rPr>
        <w:t xml:space="preserve">address-change and refund-flow scenarios asserted required/forbidden tools and response content against the mock agent, reporting pass counts per scenario family.</w:t>
      </w:r>
    </w:p>
    <w:p>
      <w:pPr>
        <w:pStyle w:val="ListParagraph"/>
        <w:numPr>
          <w:ilvl w:val="0"/>
          <w:numId w:val="2"/>
        </w:numPr>
        <w:spacing w:after="100" w:line="276"/>
      </w:pPr>
      <w:r>
        <w:rPr>
          <w:rFonts w:ascii="Calibri" w:cs="Calibri" w:eastAsia="Calibri" w:hAnsi="Calibri"/>
          <w:b/>
          <w:bCs/>
          <w:sz w:val="22"/>
          <w:szCs w:val="22"/>
        </w:rPr>
        <w:t xml:space="preserve">research_assistant app example (two MAS patterns): </w:t>
      </w:r>
      <w:r>
        <w:rPr>
          <w:rFonts w:ascii="Calibri" w:cs="Calibri" w:eastAsia="Calibri" w:hAnsi="Calibri"/>
          <w:sz w:val="22"/>
          <w:szCs w:val="22"/>
        </w:rPr>
        <w:t xml:space="preserve">over four attempts the mock alternated clean drafts and planted “TBD” flaws; the checker verdict fired, the revision loop executed within its budgeted redundancy, and all three layers scored 1.0 — outcome assertions (including not_contains TBD), subset handoff flow across both patterns, and per-agent component metrics (researcher_web/researcher_kb tool_correctness against their own composition-declared tools, checker verdict regex).</w:t>
      </w:r>
    </w:p>
    <w:p>
      <w:pPr>
        <w:pStyle w:val="ListParagraph"/>
        <w:numPr>
          <w:ilvl w:val="0"/>
          <w:numId w:val="2"/>
        </w:numPr>
        <w:spacing w:after="100" w:line="276"/>
      </w:pPr>
      <w:r>
        <w:rPr>
          <w:rFonts w:ascii="Calibri" w:cs="Calibri" w:eastAsia="Calibri" w:hAnsi="Calibri"/>
          <w:b/>
          <w:bCs/>
          <w:sz w:val="22"/>
          <w:szCs w:val="22"/>
        </w:rPr>
        <w:t xml:space="preserve">Runners are pack-driven: </w:t>
      </w:r>
      <w:r>
        <w:rPr>
          <w:rFonts w:ascii="Calibri" w:cs="Calibri" w:eastAsia="Calibri" w:hAnsi="Calibri"/>
          <w:sz w:val="22"/>
          <w:szCs w:val="22"/>
        </w:rPr>
        <w:t xml:space="preserve">after wiring loader.build_bundle into the skills, rag_eval executed 3 attempts and agent_trajectory_eval 4 attempts sourced from their packs’ reliability sections with no CLI flags; the generated extraction_eval resolved its bundle from extraction.yaml; mas_eval pulled flow-mode and budget defaults from its composed MAS packs; and the customized support_bot app wrapper ran unchanged — confirming pack edits and overrides, not code, steer behavior.</w:t>
      </w:r>
    </w:p>
    <w:p>
      <w:pPr>
        <w:pStyle w:val="ListParagraph"/>
        <w:numPr>
          <w:ilvl w:val="0"/>
          <w:numId w:val="2"/>
        </w:numPr>
        <w:spacing w:after="100" w:line="276"/>
      </w:pPr>
      <w:r>
        <w:rPr>
          <w:rFonts w:ascii="Calibri" w:cs="Calibri" w:eastAsia="Calibri" w:hAnsi="Calibri"/>
          <w:b/>
          <w:bCs/>
          <w:sz w:val="22"/>
          <w:szCs w:val="22"/>
        </w:rPr>
        <w:t xml:space="preserve">Meta-skills materialize and run: </w:t>
      </w:r>
      <w:r>
        <w:rPr>
          <w:rFonts w:ascii="Calibri" w:cs="Calibri" w:eastAsia="Calibri" w:hAnsi="Calibri"/>
          <w:sz w:val="22"/>
          <w:szCs w:val="22"/>
        </w:rPr>
        <w:t xml:space="preserve">customize_skill generated apps/support_bot/rag_eval (overrides, wrapper, calibration gate, calibrated:false) whose wrapper executed successfully against the base skill; generate_skill scaffolded extraction_eval from the template, which ran a schema+match suite unmodified.</w:t>
      </w:r>
    </w:p>
    <w:p>
      <w:pPr>
        <w:spacing w:after="160" w:line="276"/>
      </w:pPr>
      <w:r>
        <w:rPr>
          <w:rFonts w:ascii="Calibri" w:cs="Calibri" w:eastAsia="Calibri" w:hAnsi="Calibri"/>
          <w:sz w:val="22"/>
          <w:szCs w:val="22"/>
        </w:rPr>
        <w:t xml:space="preserve">Demo entry points and datasets live under examples/ with a README walkthrough; the stub judge (deterministic, dependency-free) binds automatically when EVAL_JUDGE_MODEL is unset, so the whole demo runs in CI.</w:t>
      </w:r>
    </w:p>
    <w:p>
      <w:pPr>
        <w:pStyle w:val="Heading1"/>
        <w:spacing w:after="200" w:before="320"/>
      </w:pPr>
      <w:r>
        <w:t xml:space="preserve">8. Model Developer Guidance and Standards</w:t>
      </w:r>
    </w:p>
    <w:p>
      <w:pPr>
        <w:spacing w:after="160" w:line="276"/>
      </w:pPr>
      <w:r>
        <w:rPr>
          <w:rFonts w:ascii="Calibri" w:cs="Calibri" w:eastAsia="Calibri" w:hAnsi="Calibri"/>
          <w:sz w:val="22"/>
          <w:szCs w:val="22"/>
        </w:rPr>
        <w:t xml:space="preserve">The library serves many model/application developers; two obligations make a system evaluable. The full normative text is published twice, kept in sync: as the standalone Model Developer Guide (Word, with the instrumentation decision ladder, per-vendor specifics, worked composition, onboarding/per-release checklists, and a symptom→cause→fix troubleshooting table) for circulation to developers, and as docs/DEVELOPER_GUIDE.md in the repository. This section states the standard.</w:t>
      </w:r>
    </w:p>
    <w:p>
      <w:pPr>
        <w:pStyle w:val="Heading2"/>
        <w:spacing w:after="160" w:before="280"/>
      </w:pPr>
      <w:r>
        <w:t xml:space="preserve">8.1 Tracing standard</w:t>
      </w:r>
    </w:p>
    <w:p>
      <w:pPr>
        <w:spacing w:after="160" w:line="276"/>
      </w:pPr>
      <w:r>
        <w:rPr>
          <w:rFonts w:ascii="Calibri" w:cs="Calibri" w:eastAsia="Calibri" w:hAnsi="Calibri"/>
          <w:sz w:val="22"/>
          <w:szCs w:val="22"/>
        </w:rPr>
        <w:t xml:space="preserve">General rules: instrument with exactly one supported convention per trace (OTel GenAI semantic conventions or OpenInference/Phoenix); set the kind attribute on every span — unlabeled spans degrade to “other” and become invisible to metrics; record token usage on every LLM span; carry tool arguments verbatim and structured (never summarized or truncated) plus raw results; place case_id in trace metadata for replay joins; redact secrets and PII from attributes before export. Developers on instrumented frameworks (LangChain/LangGraph, LlamaIndex, CrewAI, vendor SDKs) typically write no tracing code — auto-instrumentation packages emit conforming spans; auto-instrumentation stops, however, at tool internals, semantic session/agent grouping, and handoffs. Three library mechanisms keep the remaining developer effort minimal: (1) a vendor-neutral instrumentation facade (tracing/instrument.py) — @tool decorator capturing verbatim arguments and results, with agent(name) scopes, handoff(from, to), llm(...) inside trace_run(id) — instruments a full hand-rolled MAS in roughly ten lines, auto-propagating final outputs to the root; (2) eval-time trace transforms (tracing/transforms.py) declaratively repair grouping without re-instrumentation — promote_agent_attr wraps spans carrying an agent attribute into synthetic agent scopes and infer_handoffs synthesizes handoff edges from activation order; (3) trace linting (tracing/lint.py) preflights any trace against the per-pattern requirements of Table 5 and names exactly which evaluators are blocked and why, replacing silent zero scores with diagnosis. Systems with proprietary event shapes or in-house names additionally skip re-instrumentation via the mapping-profile mechanism of §3.2 (auto-inferred, human-reviewed, versioned as config). Beyond the general rules, each task pattern has a minimum-emission requirement, because each evaluator reads specific canonical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3860"/>
      </w:tblGrid>
      <w:tr>
        <w:trPr>
          <w:tblHeader/>
        </w:trPr>
        <w:tc>
          <w:tcPr>
            <w:tcW w:type="dxa" w:w="1700"/>
            <w:shd w:fill="1F3864" w:val="clear"/>
            <w:tcMar>
              <w:top w:type="dxa" w:w="80"/>
              <w:left w:type="dxa" w:w="100"/>
              <w:bottom w:type="dxa" w:w="80"/>
              <w:right w:type="dxa" w:w="100"/>
            </w:tcMar>
          </w:tcPr>
          <w:p>
            <w:pPr>
              <w:spacing w:after="0" w:line="240"/>
            </w:pPr>
            <w:r>
              <w:rPr>
                <w:rFonts w:ascii="Calibri" w:cs="Calibri" w:eastAsia="Calibri" w:hAnsi="Calibri"/>
                <w:b/>
                <w:bCs/>
                <w:color w:val="FFFFFF"/>
                <w:sz w:val="18"/>
                <w:szCs w:val="18"/>
              </w:rPr>
              <w:t xml:space="preserve">Task pattern</w:t>
            </w:r>
          </w:p>
        </w:tc>
        <w:tc>
          <w:tcPr>
            <w:tcW w:type="dxa" w:w="3800"/>
            <w:shd w:fill="1F3864" w:val="clear"/>
            <w:tcMar>
              <w:top w:type="dxa" w:w="80"/>
              <w:left w:type="dxa" w:w="100"/>
              <w:bottom w:type="dxa" w:w="80"/>
              <w:right w:type="dxa" w:w="100"/>
            </w:tcMar>
          </w:tcPr>
          <w:p>
            <w:pPr>
              <w:spacing w:after="0" w:line="240"/>
            </w:pPr>
            <w:r>
              <w:rPr>
                <w:rFonts w:ascii="Calibri" w:cs="Calibri" w:eastAsia="Calibri" w:hAnsi="Calibri"/>
                <w:b/>
                <w:bCs/>
                <w:color w:val="FFFFFF"/>
                <w:sz w:val="18"/>
                <w:szCs w:val="18"/>
              </w:rPr>
              <w:t xml:space="preserve">Must emit</w:t>
            </w:r>
          </w:p>
        </w:tc>
        <w:tc>
          <w:tcPr>
            <w:tcW w:type="dxa" w:w="3860"/>
            <w:shd w:fill="1F3864" w:val="clear"/>
            <w:tcMar>
              <w:top w:type="dxa" w:w="80"/>
              <w:left w:type="dxa" w:w="100"/>
              <w:bottom w:type="dxa" w:w="80"/>
              <w:right w:type="dxa" w:w="100"/>
            </w:tcMar>
          </w:tcPr>
          <w:p>
            <w:pPr>
              <w:spacing w:after="0" w:line="240"/>
            </w:pPr>
            <w:r>
              <w:rPr>
                <w:rFonts w:ascii="Calibri" w:cs="Calibri" w:eastAsia="Calibri" w:hAnsi="Calibri"/>
                <w:b/>
                <w:bCs/>
                <w:color w:val="FFFFFF"/>
                <w:sz w:val="18"/>
                <w:szCs w:val="18"/>
              </w:rPr>
              <w:t xml:space="preserve">Evals unlocked / lost without it</w:t>
            </w:r>
          </w:p>
        </w:tc>
      </w:tr>
      <w:tr>
        <w:trPr>
          <w:tblHeader w:val="false"/>
        </w:trPr>
        <w:tc>
          <w:tcPr>
            <w:tcW w:type="dxa" w:w="17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RAG</w:t>
            </w:r>
          </w:p>
        </w:tc>
        <w:tc>
          <w:tcPr>
            <w:tcW w:type="dxa" w:w="38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Retriever span with query + returned documents; LLM span with completion</w:t>
            </w:r>
          </w:p>
        </w:tc>
        <w:tc>
          <w:tcPr>
            <w:tcW w:type="dxa" w:w="386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faithfulness_qag consumes documents as context; without them faithfulness cannot run</w:t>
            </w:r>
          </w:p>
        </w:tc>
      </w:tr>
      <w:tr>
        <w:trPr>
          <w:tblHeader w:val="false"/>
        </w:trPr>
        <w:tc>
          <w:tcPr>
            <w:tcW w:type="dxa" w:w="17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Tool use</w:t>
            </w:r>
          </w:p>
        </w:tc>
        <w:tc>
          <w:tcPr>
            <w:tcW w:type="dxa" w:w="38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One tool span per call: name + verbatim args + result, true order</w:t>
            </w:r>
          </w:p>
        </w:tc>
        <w:tc>
          <w:tcPr>
            <w:tcW w:type="dxa" w:w="386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tool_correctness(check_args), trajectory_match, step_efficiency, policy_engine arg rules</w:t>
            </w:r>
          </w:p>
        </w:tc>
      </w:tr>
      <w:tr>
        <w:trPr>
          <w:tblHeader w:val="false"/>
        </w:trPr>
        <w:tc>
          <w:tcPr>
            <w:tcW w:type="dxa" w:w="17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Extraction / SQL</w:t>
            </w:r>
          </w:p>
        </w:tc>
        <w:tc>
          <w:tcPr>
            <w:tcW w:type="dxa" w:w="38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LLM completion as the RAW model string (pre-parsing)</w:t>
            </w:r>
          </w:p>
        </w:tc>
        <w:tc>
          <w:tcPr>
            <w:tcW w:type="dxa" w:w="386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json_schema_lite scores actual output, not a parsed copy</w:t>
            </w:r>
          </w:p>
        </w:tc>
      </w:tr>
      <w:tr>
        <w:trPr>
          <w:tblHeader w:val="false"/>
        </w:trPr>
        <w:tc>
          <w:tcPr>
            <w:tcW w:type="dxa" w:w="17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Code generation</w:t>
            </w:r>
          </w:p>
        </w:tc>
        <w:tc>
          <w:tcPr>
            <w:tcW w:type="dxa" w:w="38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Sandbox/tool spans with execution results and test verdicts</w:t>
            </w:r>
          </w:p>
        </w:tc>
        <w:tc>
          <w:tcPr>
            <w:tcW w:type="dxa" w:w="386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Execution-based scoring, pass@k</w:t>
            </w:r>
          </w:p>
        </w:tc>
      </w:tr>
      <w:tr>
        <w:trPr>
          <w:tblHeader w:val="false"/>
        </w:trPr>
        <w:tc>
          <w:tcPr>
            <w:tcW w:type="dxa" w:w="17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Conversational</w:t>
            </w:r>
          </w:p>
        </w:tc>
        <w:tc>
          <w:tcPr>
            <w:tcW w:type="dxa" w:w="38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One subtree per turn under a session root; turn index attribute</w:t>
            </w:r>
          </w:p>
        </w:tc>
        <w:tc>
          <w:tcPr>
            <w:tcW w:type="dxa" w:w="386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Per-turn judging, cross-turn scenario assertions</w:t>
            </w:r>
          </w:p>
        </w:tc>
      </w:tr>
      <w:tr>
        <w:trPr>
          <w:tblHeader w:val="false"/>
        </w:trPr>
        <w:tc>
          <w:tcPr>
            <w:tcW w:type="dxa" w:w="17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Agent inside a MAS</w:t>
            </w:r>
          </w:p>
        </w:tc>
        <w:tc>
          <w:tcPr>
            <w:tcW w:type="dxa" w:w="38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ALL of an agent’s work parented under its correctly-named AGENT span</w:t>
            </w:r>
          </w:p>
        </w:tc>
        <w:tc>
          <w:tcPr>
            <w:tcW w:type="dxa" w:w="386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agent_scope projection; wrong parentage silently credits spans to another agent</w:t>
            </w:r>
          </w:p>
        </w:tc>
      </w:tr>
      <w:tr>
        <w:trPr>
          <w:tblHeader w:val="false"/>
        </w:trPr>
        <w:tc>
          <w:tcPr>
            <w:tcW w:type="dxa" w:w="17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MAS coordination</w:t>
            </w:r>
          </w:p>
        </w:tc>
        <w:tc>
          <w:tcPr>
            <w:tcW w:type="dxa" w:w="38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AGENT span per agent; HANDOFF spans with from/to; final output on root</w:t>
            </w:r>
          </w:p>
        </w:tc>
        <w:tc>
          <w:tcPr>
            <w:tcW w:type="dxa" w:w="386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handoff_flow, coordination_efficiency, final_output()</w:t>
            </w:r>
          </w:p>
        </w:tc>
      </w:tr>
      <w:tr>
        <w:trPr>
          <w:tblHeader w:val="false"/>
        </w:trPr>
        <w:tc>
          <w:tcPr>
            <w:tcW w:type="dxa" w:w="17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Robustness (any)</w:t>
            </w:r>
          </w:p>
        </w:tc>
        <w:tc>
          <w:tcPr>
            <w:tcW w:type="dxa" w:w="380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A LIVE entrypoint — replay is impossible</w:t>
            </w:r>
          </w:p>
        </w:tc>
        <w:tc>
          <w:tcPr>
            <w:tcW w:type="dxa" w:w="3860"/>
            <w:tcMar>
              <w:top w:type="dxa" w:w="80"/>
              <w:left w:type="dxa" w:w="100"/>
              <w:bottom w:type="dxa" w:w="80"/>
              <w:right w:type="dxa" w:w="100"/>
            </w:tcMar>
          </w:tcPr>
          <w:p>
            <w:pPr>
              <w:spacing w:after="0" w:line="240"/>
            </w:pPr>
            <w:r>
              <w:rPr>
                <w:rFonts w:ascii="Calibri" w:cs="Calibri" w:eastAsia="Calibri" w:hAnsi="Calibri"/>
                <w:b w:val="false"/>
                <w:bCs w:val="false"/>
                <w:color w:val="000000"/>
                <w:sz w:val="18"/>
                <w:szCs w:val="18"/>
              </w:rPr>
              <w:t xml:space="preserve">robustness_probe must re-infer perturbed inputs</w:t>
            </w:r>
          </w:p>
        </w:tc>
      </w:tr>
    </w:tbl>
    <w:p>
      <w:pPr>
        <w:spacing w:after="240" w:before="80"/>
        <w:jc w:val="center"/>
      </w:pPr>
      <w:r>
        <w:rPr>
          <w:rFonts w:ascii="Calibri" w:cs="Calibri" w:eastAsia="Calibri" w:hAnsi="Calibri"/>
          <w:i/>
          <w:iCs/>
          <w:color w:val="595959"/>
          <w:sz w:val="18"/>
          <w:szCs w:val="18"/>
        </w:rPr>
        <w:t xml:space="preserve">Table 5. Per-pattern minimum tracing requirements (developer-side view of the Table 2 mapping; the guide includes the per-vendor attribute quick reference).</w:t>
      </w:r>
    </w:p>
    <w:p>
      <w:pPr>
        <w:pStyle w:val="Heading2"/>
        <w:spacing w:after="160" w:before="280"/>
      </w:pPr>
      <w:r>
        <w:t xml:space="preserve">8.2 composition.json standard</w:t>
      </w:r>
    </w:p>
    <w:p>
      <w:pPr>
        <w:spacing w:after="160" w:line="276"/>
      </w:pPr>
      <w:r>
        <w:rPr>
          <w:rFonts w:ascii="Calibri" w:cs="Calibri" w:eastAsia="Calibri" w:hAnsi="Calibri"/>
          <w:sz w:val="22"/>
          <w:szCs w:val="22"/>
        </w:rPr>
        <w:t xml:space="preserve">One composition per application per workflow variant, versioned with the app. The mas_eval runner validates every composition at load — required fields, existence of each named MAS pack, edge syntax, flow_mode, per-agent task_pattern, and registry resolvability of every scorer — failing fast with the complete violation list; the same rules are published as the machine-checkable JSON Schema at evalskills/patterns/mas_eval/composition.schema.json. Field standard: mas_patterns (required, non-empty) names only existing evalkit MAS packs, and composing N patterns obliges the flow to include EVERY composed pack’s mandatory edges (maker→checker; orchestrator→each worker); flow edge names must match emitted AGENT span names character-exact; flow_mode is strict for a single fixed pipeline, unordered for order-free equality, and subset — recommended whenever multiple MAS patterns compose — when interleavings vary; redundancy budgets ADD across composed packs (orchestrator_worker contributes 0, maker_checker contributes 1 per allowed revision loop); each agent entry requires a task_pattern from the survey plus optional scorers and a per-agent expected overlay; outcome is required. Developer obligations: checkers emit an explicit machine-readable verdict token; agent names are unique per workflow; outcome assertions are revision-aware (assert the FINAL output is clean of the flaw class, not that no flaw occurred mid-loop).</w:t>
      </w:r>
    </w:p>
    <w:p>
      <w:pPr>
        <w:pStyle w:val="Heading1"/>
        <w:spacing w:after="200" w:before="320"/>
      </w:pPr>
      <w:r>
        <w:t xml:space="preserve">7. Productionization Roadmap</w:t>
      </w:r>
    </w:p>
    <w:p>
      <w:pPr>
        <w:pStyle w:val="ListParagraph"/>
        <w:numPr>
          <w:ilvl w:val="0"/>
          <w:numId w:val="2"/>
        </w:numPr>
        <w:spacing w:after="100" w:line="276"/>
      </w:pPr>
      <w:r>
        <w:rPr>
          <w:rFonts w:ascii="Calibri" w:cs="Calibri" w:eastAsia="Calibri" w:hAnsi="Calibri"/>
          <w:sz w:val="22"/>
          <w:szCs w:val="22"/>
        </w:rPr>
        <w:t xml:space="preserve">Typing and validation: migrate dataclasses to pydantic; JSON-Schema for datasets, overrides, pattern packs; schema-validate at load.</w:t>
      </w:r>
    </w:p>
    <w:p>
      <w:pPr>
        <w:pStyle w:val="ListParagraph"/>
        <w:numPr>
          <w:ilvl w:val="0"/>
          <w:numId w:val="2"/>
        </w:numPr>
        <w:spacing w:after="100" w:line="276"/>
      </w:pPr>
      <w:r>
        <w:rPr>
          <w:rFonts w:ascii="Calibri" w:cs="Calibri" w:eastAsia="Calibri" w:hAnsi="Calibri"/>
          <w:sz w:val="22"/>
          <w:szCs w:val="22"/>
        </w:rPr>
        <w:t xml:space="preserve">Inference: LiveTarget clients (Anthropic/OpenAI SDKs, HTTP agents) with retries, rate limits, caching keyed by (case, target-version); parallel runner with worker pools.</w:t>
      </w:r>
    </w:p>
    <w:p>
      <w:pPr>
        <w:pStyle w:val="ListParagraph"/>
        <w:numPr>
          <w:ilvl w:val="0"/>
          <w:numId w:val="2"/>
        </w:numPr>
        <w:spacing w:after="100" w:line="276"/>
      </w:pPr>
      <w:r>
        <w:rPr>
          <w:rFonts w:ascii="Calibri" w:cs="Calibri" w:eastAsia="Calibri" w:hAnsi="Calibri"/>
          <w:sz w:val="22"/>
          <w:szCs w:val="22"/>
        </w:rPr>
        <w:t xml:space="preserve">Tracing: streaming ingestion from OTel collectors and Phoenix APIs (prototype parses exports); LangSmith adapter; span-selector DSL for component-level metrics on sub-spans.</w:t>
      </w:r>
    </w:p>
    <w:p>
      <w:pPr>
        <w:pStyle w:val="ListParagraph"/>
        <w:numPr>
          <w:ilvl w:val="0"/>
          <w:numId w:val="2"/>
        </w:numPr>
        <w:spacing w:after="100" w:line="276"/>
      </w:pPr>
      <w:r>
        <w:rPr>
          <w:rFonts w:ascii="Calibri" w:cs="Calibri" w:eastAsia="Calibri" w:hAnsi="Calibri"/>
          <w:sz w:val="22"/>
          <w:szCs w:val="22"/>
        </w:rPr>
        <w:t xml:space="preserve">Metrics: port remaining white-paper families as generic L1 modules — retrieval P/R@k-nDCG, fairness disaggregation, privacy probes (Presidio binding, canary exposure, MIA harness), pairwise/DAG judges, ECE calibration.</w:t>
      </w:r>
    </w:p>
    <w:p>
      <w:pPr>
        <w:pStyle w:val="ListParagraph"/>
        <w:numPr>
          <w:ilvl w:val="0"/>
          <w:numId w:val="2"/>
        </w:numPr>
        <w:spacing w:after="100" w:line="276"/>
      </w:pPr>
      <w:r>
        <w:rPr>
          <w:rFonts w:ascii="Calibri" w:cs="Calibri" w:eastAsia="Calibri" w:hAnsi="Calibri"/>
          <w:sz w:val="22"/>
          <w:szCs w:val="22"/>
        </w:rPr>
        <w:t xml:space="preserve">Skills: one common skill per white-paper pattern; a calibrate_judge meta-skill automating the kappa workflow; a promote_customization meta-skill preparing domain-pack review PRs.</w:t>
      </w:r>
    </w:p>
    <w:p>
      <w:pPr>
        <w:pStyle w:val="ListParagraph"/>
        <w:numPr>
          <w:ilvl w:val="0"/>
          <w:numId w:val="2"/>
        </w:numPr>
        <w:spacing w:after="100" w:line="276"/>
      </w:pPr>
      <w:r>
        <w:rPr>
          <w:rFonts w:ascii="Calibri" w:cs="Calibri" w:eastAsia="Calibri" w:hAnsi="Calibri"/>
          <w:sz w:val="22"/>
          <w:szCs w:val="22"/>
        </w:rPr>
        <w:t xml:space="preserve">Operations: JSON/HTML reports and scorecards; run store with manifests for longitudinal comparison; CI templates (smoke/nightly/red-team cadence per white paper §7.4); import-linter contracts enforcing the layer rule.</w:t>
      </w:r>
    </w:p>
    <w:p>
      <w:pPr>
        <w:spacing w:after="160" w:line="276"/>
      </w:pPr>
      <w:r>
        <w:rPr>
          <w:rFonts w:ascii="Calibri" w:cs="Calibri" w:eastAsia="Calibri" w:hAnsi="Calibri"/>
          <w:sz w:val="22"/>
          <w:szCs w:val="22"/>
        </w:rPr>
        <w:t xml:space="preserve">Adoption note: evalkit’s L1 can progressively delegate to open-source engines (DeepEval, Ragas, promptfoo) behind the same registry names — the contracts in this design are the stable surface; implementations beneath them are swappable, preserving the white paper’s build-vs-adopt guidance.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evalkit &amp; evalskills — Design Document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20"/>
    </w:pPr>
    <w:rPr>
      <w:rFonts w:ascii="Calibri" w:cs="Calibri" w:eastAsia="Calibri" w:hAnsi="Calibri"/>
      <w:b/>
      <w:bCs/>
      <w:color w:val="1F3864"/>
      <w:sz w:val="32"/>
      <w:szCs w:val="32"/>
    </w:rPr>
  </w:style>
  <w:style w:type="paragraph" w:styleId="Heading2">
    <w:name w:val="Heading 2"/>
    <w:basedOn w:val="Normal"/>
    <w:next w:val="Normal"/>
    <w:qFormat/>
    <w:pPr>
      <w:spacing w:after="160" w:before="280"/>
    </w:pPr>
    <w:rPr>
      <w:rFonts w:ascii="Calibri" w:cs="Calibri" w:eastAsia="Calibri" w:hAnsi="Calibri"/>
      <w:b/>
      <w:bCs/>
      <w:color w:val="2E5395"/>
      <w:sz w:val="26"/>
      <w:szCs w:val="26"/>
    </w:rPr>
  </w:style>
  <w:style w:type="paragraph" w:styleId="Heading3">
    <w:name w:val="Heading 3"/>
    <w:basedOn w:val="Normal"/>
    <w:next w:val="Normal"/>
    <w:qFormat/>
    <w:pPr>
      <w:spacing w:after="120" w:before="240"/>
    </w:pPr>
    <w:rPr>
      <w:rFonts w:ascii="Calibri" w:cs="Calibri" w:eastAsia="Calibri" w:hAnsi="Calibri"/>
      <w:b/>
      <w:bCs/>
      <w:color w:val="40404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2026-07-17T03:43:56.523Z</dcterms:created>
  <dcterms:modified xsi:type="dcterms:W3CDTF">2026-07-17T03:43:56.536Z</dcterms:modified>
</cp:coreProperties>
</file>

<file path=docProps/custom.xml><?xml version="1.0" encoding="utf-8"?>
<Properties xmlns="http://schemas.openxmlformats.org/officeDocument/2006/custom-properties" xmlns:vt="http://schemas.openxmlformats.org/officeDocument/2006/docPropsVTypes"/>
</file>