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9AC6" w14:textId="2CDB7F57" w:rsidR="008F7B59" w:rsidRDefault="009B10E4">
      <w:pPr>
        <w:rPr>
          <w:lang w:val="en-US"/>
        </w:rPr>
      </w:pPr>
      <w:r>
        <w:rPr>
          <w:lang w:val="en-US"/>
        </w:rPr>
        <w:t>The PS:</w:t>
      </w:r>
    </w:p>
    <w:p w14:paraId="4E62D6D7" w14:textId="4936C417" w:rsidR="009B10E4" w:rsidRDefault="009B10E4">
      <w:r w:rsidRPr="009B10E4">
        <w:t>Rare diseases—defined as conditions affecting fewer than 1 in 2,000 people—collectively impact more than 300</w:t>
      </w:r>
      <w:r w:rsidRPr="009B10E4">
        <w:rPr>
          <w:rFonts w:ascii="Arial" w:hAnsi="Arial" w:cs="Arial"/>
        </w:rPr>
        <w:t> </w:t>
      </w:r>
      <w:r w:rsidRPr="009B10E4">
        <w:t>million people worldwide, with more than 7,000 distinct disorders identified to date, approximately 80% of which are genetic in origin</w:t>
      </w:r>
      <w:hyperlink r:id="rId4" w:anchor="ref-CR1" w:tooltip="Valdez, R., Ouyang, L. &amp; Bolen, J. Public health and rare diseases: oxymoron no more. Prev. Chronic Dis. 13, E05 (2016)." w:history="1">
        <w:r w:rsidRPr="009B10E4">
          <w:rPr>
            <w:rStyle w:val="Hyperlink"/>
            <w:vertAlign w:val="superscript"/>
          </w:rPr>
          <w:t>1</w:t>
        </w:r>
      </w:hyperlink>
      <w:r w:rsidRPr="009B10E4">
        <w:rPr>
          <w:vertAlign w:val="superscript"/>
        </w:rPr>
        <w:t>,</w:t>
      </w:r>
      <w:hyperlink r:id="rId5" w:anchor="ref-CR2" w:tooltip="Nguengang Wakap, S. et al. Estimating cumulative point prevalence of rare diseases: analysis of the Orphanet database. Eur. J. Human Genet. 28, 165–173 (2020)." w:history="1">
        <w:r w:rsidRPr="009B10E4">
          <w:rPr>
            <w:rStyle w:val="Hyperlink"/>
            <w:vertAlign w:val="superscript"/>
          </w:rPr>
          <w:t>2</w:t>
        </w:r>
      </w:hyperlink>
      <w:r w:rsidRPr="009B10E4">
        <w:rPr>
          <w:vertAlign w:val="superscript"/>
        </w:rPr>
        <w:t>,</w:t>
      </w:r>
      <w:hyperlink r:id="rId6" w:anchor="ref-CR3" w:tooltip="The Lancet Global Health. The landscape for rare diseases in 2024. Lancet Glob. Health 12, e341 (2024)." w:history="1">
        <w:r w:rsidRPr="009B10E4">
          <w:rPr>
            <w:rStyle w:val="Hyperlink"/>
            <w:vertAlign w:val="superscript"/>
          </w:rPr>
          <w:t>3</w:t>
        </w:r>
      </w:hyperlink>
      <w:r w:rsidRPr="009B10E4">
        <w:rPr>
          <w:vertAlign w:val="superscript"/>
        </w:rPr>
        <w:t>,</w:t>
      </w:r>
      <w:hyperlink r:id="rId7" w:anchor="ref-CR9" w:tooltip="The Lancet Hope for rare diseases. Lancet 404, 1701 (2024)." w:history="1">
        <w:r w:rsidRPr="009B10E4">
          <w:rPr>
            <w:rStyle w:val="Hyperlink"/>
            <w:vertAlign w:val="superscript"/>
          </w:rPr>
          <w:t>9</w:t>
        </w:r>
      </w:hyperlink>
      <w:r w:rsidRPr="009B10E4">
        <w:t>. Despite their cumulative burden, rare diseases remain notoriously difficult to diagnose due to their clinical heterogeneity, low individual prevalence and limited clinician familiarity</w:t>
      </w:r>
      <w:hyperlink r:id="rId8" w:anchor="ref-CR1" w:tooltip="Valdez, R., Ouyang, L. &amp; Bolen, J. Public health and rare diseases: oxymoron no more. Prev. Chronic Dis. 13, E05 (2016)." w:history="1">
        <w:r w:rsidRPr="009B10E4">
          <w:rPr>
            <w:rStyle w:val="Hyperlink"/>
            <w:vertAlign w:val="superscript"/>
          </w:rPr>
          <w:t>1</w:t>
        </w:r>
      </w:hyperlink>
      <w:r w:rsidRPr="009B10E4">
        <w:rPr>
          <w:vertAlign w:val="superscript"/>
        </w:rPr>
        <w:t>,</w:t>
      </w:r>
      <w:hyperlink r:id="rId9" w:anchor="ref-CR2" w:tooltip="Nguengang Wakap, S. et al. Estimating cumulative point prevalence of rare diseases: analysis of the Orphanet database. Eur. J. Human Genet. 28, 165–173 (2020)." w:history="1">
        <w:r w:rsidRPr="009B10E4">
          <w:rPr>
            <w:rStyle w:val="Hyperlink"/>
            <w:vertAlign w:val="superscript"/>
          </w:rPr>
          <w:t>2</w:t>
        </w:r>
      </w:hyperlink>
      <w:r w:rsidRPr="009B10E4">
        <w:rPr>
          <w:vertAlign w:val="superscript"/>
        </w:rPr>
        <w:t>,</w:t>
      </w:r>
      <w:hyperlink r:id="rId10" w:anchor="ref-CR4" w:tooltip="Schieppati, A., Henter, J. I., Daina, E. &amp; Aperia, A. Why rare diseases are an important medical and social issue. Lancet 371, 2039–2041 (2008)." w:history="1">
        <w:r w:rsidRPr="009B10E4">
          <w:rPr>
            <w:rStyle w:val="Hyperlink"/>
            <w:vertAlign w:val="superscript"/>
          </w:rPr>
          <w:t>4</w:t>
        </w:r>
      </w:hyperlink>
      <w:r w:rsidRPr="009B10E4">
        <w:rPr>
          <w:vertAlign w:val="superscript"/>
        </w:rPr>
        <w:t>,</w:t>
      </w:r>
      <w:hyperlink r:id="rId11" w:anchor="ref-CR6" w:tooltip="Chen, X. et al. RareAgents: autonomous multi-disciplinary team for rare disease diagnosis and treatment. Preprint at &#10;                  https://arxiv.org/abs/2412.12475v3&#10;                  &#10;                 (2024)." w:history="1">
        <w:r w:rsidRPr="009B10E4">
          <w:rPr>
            <w:rStyle w:val="Hyperlink"/>
            <w:vertAlign w:val="superscript"/>
          </w:rPr>
          <w:t>6</w:t>
        </w:r>
      </w:hyperlink>
      <w:r w:rsidRPr="009B10E4">
        <w:rPr>
          <w:vertAlign w:val="superscript"/>
        </w:rPr>
        <w:t>,</w:t>
      </w:r>
      <w:hyperlink r:id="rId12" w:anchor="ref-CR10" w:tooltip="Liu, X. et al. A generalist medical language model for disease diagnosis assistance. Nat. Med. 31, 932–942 (2025)." w:history="1">
        <w:r w:rsidRPr="009B10E4">
          <w:rPr>
            <w:rStyle w:val="Hyperlink"/>
            <w:vertAlign w:val="superscript"/>
          </w:rPr>
          <w:t>10</w:t>
        </w:r>
      </w:hyperlink>
      <w:r w:rsidRPr="009B10E4">
        <w:rPr>
          <w:vertAlign w:val="superscript"/>
        </w:rPr>
        <w:t>,</w:t>
      </w:r>
      <w:hyperlink r:id="rId13" w:anchor="ref-CR11" w:tooltip="Chen, X. et al. Rarebench: can LLMs serve as rare diseases specialists? In Proc. 30th ACM SIGKDD Conference on Knowledge Discovery and Data Mining 4850–4861 (2024; &#10;                  https://doi.org/10.1145/3637528.3671576&#10;                  &#10;                )." w:history="1">
        <w:r w:rsidRPr="009B10E4">
          <w:rPr>
            <w:rStyle w:val="Hyperlink"/>
            <w:vertAlign w:val="superscript"/>
          </w:rPr>
          <w:t>11</w:t>
        </w:r>
      </w:hyperlink>
      <w:r w:rsidRPr="009B10E4">
        <w:rPr>
          <w:vertAlign w:val="superscript"/>
        </w:rPr>
        <w:t>,</w:t>
      </w:r>
      <w:hyperlink r:id="rId14" w:anchor="ref-CR12" w:tooltip="McDuff, D. et al. Towards accurate differential diagnosis with large language models. Nature 642, 451–457 (2025)." w:history="1">
        <w:r w:rsidRPr="009B10E4">
          <w:rPr>
            <w:rStyle w:val="Hyperlink"/>
            <w:vertAlign w:val="superscript"/>
          </w:rPr>
          <w:t>12</w:t>
        </w:r>
      </w:hyperlink>
      <w:r w:rsidRPr="009B10E4">
        <w:rPr>
          <w:vertAlign w:val="superscript"/>
        </w:rPr>
        <w:t>,</w:t>
      </w:r>
      <w:hyperlink r:id="rId15" w:anchor="ref-CR13" w:tooltip="Lunke, S. et al. Integrated multi-omics for rapid rare disease diagnosis on a national scale. Nat. Med. 29, 1681–1691 (2023)." w:history="1">
        <w:r w:rsidRPr="009B10E4">
          <w:rPr>
            <w:rStyle w:val="Hyperlink"/>
            <w:vertAlign w:val="superscript"/>
          </w:rPr>
          <w:t>13</w:t>
        </w:r>
      </w:hyperlink>
      <w:r w:rsidRPr="009B10E4">
        <w:rPr>
          <w:vertAlign w:val="superscript"/>
        </w:rPr>
        <w:t>,</w:t>
      </w:r>
      <w:hyperlink r:id="rId16" w:anchor="ref-CR14" w:tooltip="Kernohan, K. D. &amp; Boycott, K. M. The expanding diagnostic toolbox for rare genetic diseases. Nat. Rev. Genet. 25, 401–415 (2024)." w:history="1">
        <w:r w:rsidRPr="009B10E4">
          <w:rPr>
            <w:rStyle w:val="Hyperlink"/>
            <w:vertAlign w:val="superscript"/>
          </w:rPr>
          <w:t>14</w:t>
        </w:r>
      </w:hyperlink>
      <w:r w:rsidRPr="009B10E4">
        <w:rPr>
          <w:vertAlign w:val="superscript"/>
        </w:rPr>
        <w:t>,</w:t>
      </w:r>
      <w:hyperlink r:id="rId17" w:anchor="ref-CR15" w:tooltip="The Lancet Digital Health Exploring electronic health records to study rare diseases. Lancet 7, e103 (2025)." w:history="1">
        <w:r w:rsidRPr="009B10E4">
          <w:rPr>
            <w:rStyle w:val="Hyperlink"/>
            <w:vertAlign w:val="superscript"/>
          </w:rPr>
          <w:t>15</w:t>
        </w:r>
      </w:hyperlink>
      <w:r w:rsidRPr="009B10E4">
        <w:t>. Patients often experience a prolonged ‘diagnostic odyssey’ averaging more than 5</w:t>
      </w:r>
      <w:r w:rsidRPr="009B10E4">
        <w:rPr>
          <w:rFonts w:ascii="Arial" w:hAnsi="Arial" w:cs="Arial"/>
        </w:rPr>
        <w:t> </w:t>
      </w:r>
      <w:r w:rsidRPr="009B10E4">
        <w:t>years, marked by repeated referrals, misdiagnoses and unnecessary interventions, all of which contribute to delayed treatment and adverse outcomes</w:t>
      </w:r>
      <w:hyperlink r:id="rId18" w:anchor="ref-CR4" w:tooltip="Schieppati, A., Henter, J. I., Daina, E. &amp; Aperia, A. Why rare diseases are an important medical and social issue. Lancet 371, 2039–2041 (2008)." w:history="1">
        <w:r w:rsidRPr="009B10E4">
          <w:rPr>
            <w:rStyle w:val="Hyperlink"/>
            <w:vertAlign w:val="superscript"/>
          </w:rPr>
          <w:t>4</w:t>
        </w:r>
      </w:hyperlink>
      <w:r w:rsidRPr="009B10E4">
        <w:rPr>
          <w:vertAlign w:val="superscript"/>
        </w:rPr>
        <w:t>,</w:t>
      </w:r>
      <w:hyperlink r:id="rId19" w:anchor="ref-CR5" w:tooltip="The Diagnostic Odyssey in Rare Disease—Knowledge Hub. Genomics Education Programme &#10;                  https://www.genomicseducation.hee.nhs.uk/genotes/knowledge-hub/the-diagnos tic-odyssey-in-rare-disease/&#10;                  &#10;                 (2024)." w:history="1">
        <w:r w:rsidRPr="009B10E4">
          <w:rPr>
            <w:rStyle w:val="Hyperlink"/>
            <w:vertAlign w:val="superscript"/>
          </w:rPr>
          <w:t>5</w:t>
        </w:r>
      </w:hyperlink>
      <w:r w:rsidRPr="009B10E4">
        <w:t>. These challenges highlight the urgent need for scalable, accurate and interpretable diagnostic tools—an area where recent advances in multi-agent systems offer transformative potential</w:t>
      </w:r>
      <w:r>
        <w:t>.</w:t>
      </w:r>
    </w:p>
    <w:p w14:paraId="00BF9E11" w14:textId="77777777" w:rsidR="009B10E4" w:rsidRDefault="009B10E4"/>
    <w:p w14:paraId="39E69B8A" w14:textId="05AFE55D" w:rsidR="009B10E4" w:rsidRDefault="009B10E4">
      <w:r>
        <w:t>Our Solution:</w:t>
      </w:r>
    </w:p>
    <w:p w14:paraId="146A2ACC" w14:textId="185710F4" w:rsidR="009B10E4" w:rsidRDefault="009B10E4">
      <w:pPr>
        <w:rPr>
          <w:b/>
          <w:bCs/>
        </w:rPr>
      </w:pPr>
      <w:r w:rsidRPr="009B10E4">
        <w:rPr>
          <w:b/>
          <w:bCs/>
        </w:rPr>
        <w:t>MediNova is a production-ready, hybrid RAG (Retrieval-Augmented Generation) system that accelerates rare disease diagnosis by combining semantic search, keyword-based retrieval, and medical image analysis into a unified, intelligent platform. Built upon the comprehensive Orphanet rare disease database containing over 10,000 conditions, MediNova processes clinical queries in natural language—whether patients describe symptoms colloquially ("drooping eyelids," "salty sweat") or clinicians use formal terminology (HPO IDs, biochemical markers)—and delivers ranked, evidence-based disease candidates in under 300 milliseconds. The system employs a dual-path retrieval architecture that simultaneously searches via dense semantic embeddings (ncbi/MedCPT) and sparse keyword matching (custom BM25), then intelligently fuses these scores while incorporating contextual factors like gender, inheritance patterns, age of onset, and distinguishing clinical features to prioritize the most relevant diagnoses. Beyond text-based search, MediNova uniquely integrates medical image analysis through AI-powered interpretation of X-rays, CT scans, MRIs, and ultrasounds, automatically translating visual findings into diagnostic queries and generating differential diagnoses based on imaging patterns. Wrapped in an intuitive Streamlit interface with comprehensive evaluation frameworks, performance benchmarks, and full open-source transparency, MediNova represents a paradigm shift in clinical decision support—transforming the traditional 5-7 year "diagnostic odyssey" for rare disease patients into a rapid, evidence-based, and accessible experience.</w:t>
      </w:r>
    </w:p>
    <w:p w14:paraId="3B795DBB" w14:textId="77777777" w:rsidR="009B10E4" w:rsidRDefault="009B10E4">
      <w:pPr>
        <w:rPr>
          <w:b/>
          <w:bCs/>
        </w:rPr>
      </w:pPr>
    </w:p>
    <w:p w14:paraId="2AEEF39F" w14:textId="77777777" w:rsidR="009B10E4" w:rsidRDefault="009B10E4">
      <w:pPr>
        <w:rPr>
          <w:b/>
          <w:bCs/>
        </w:rPr>
      </w:pPr>
    </w:p>
    <w:p w14:paraId="4351690C" w14:textId="1005637B" w:rsidR="00105A07" w:rsidRDefault="00105A07">
      <w:pPr>
        <w:rPr>
          <w:b/>
          <w:bCs/>
        </w:rPr>
      </w:pPr>
      <w:r>
        <w:rPr>
          <w:b/>
          <w:bCs/>
        </w:rPr>
        <w:lastRenderedPageBreak/>
        <w:t>Technical Architecture:</w:t>
      </w:r>
    </w:p>
    <w:p w14:paraId="7F6F8F2F" w14:textId="77777777" w:rsidR="00105A07" w:rsidRDefault="00105A07">
      <w:pPr>
        <w:rPr>
          <w:b/>
          <w:bCs/>
        </w:rPr>
      </w:pPr>
    </w:p>
    <w:p w14:paraId="02DC9755" w14:textId="77777777" w:rsidR="00105A07" w:rsidRDefault="00105A07">
      <w:pPr>
        <w:rPr>
          <w:b/>
          <w:bCs/>
        </w:rPr>
      </w:pPr>
    </w:p>
    <w:p w14:paraId="7C1BE572" w14:textId="77777777" w:rsidR="00105A07" w:rsidRDefault="00105A07">
      <w:pPr>
        <w:rPr>
          <w:b/>
          <w:bCs/>
        </w:rPr>
      </w:pPr>
    </w:p>
    <w:p w14:paraId="52E858F8" w14:textId="77777777" w:rsidR="00105A07" w:rsidRDefault="00105A07">
      <w:pPr>
        <w:rPr>
          <w:b/>
          <w:bCs/>
        </w:rPr>
      </w:pPr>
    </w:p>
    <w:p w14:paraId="34915636" w14:textId="77777777" w:rsidR="00105A07" w:rsidRDefault="00105A07">
      <w:pPr>
        <w:rPr>
          <w:b/>
          <w:bCs/>
        </w:rPr>
      </w:pPr>
    </w:p>
    <w:p w14:paraId="4634FA0D" w14:textId="77777777" w:rsidR="00105A07" w:rsidRDefault="00105A07">
      <w:pPr>
        <w:rPr>
          <w:b/>
          <w:bCs/>
        </w:rPr>
      </w:pPr>
    </w:p>
    <w:p w14:paraId="6578DA86" w14:textId="77777777" w:rsidR="00105A07" w:rsidRDefault="00105A07">
      <w:pPr>
        <w:rPr>
          <w:b/>
          <w:bCs/>
        </w:rPr>
      </w:pPr>
    </w:p>
    <w:p w14:paraId="670EFFA8" w14:textId="77777777" w:rsidR="00105A07" w:rsidRDefault="00105A07">
      <w:pPr>
        <w:rPr>
          <w:b/>
          <w:bCs/>
        </w:rPr>
      </w:pPr>
    </w:p>
    <w:p w14:paraId="5BAF18E3" w14:textId="77777777" w:rsidR="00105A07" w:rsidRDefault="00105A07">
      <w:pPr>
        <w:rPr>
          <w:b/>
          <w:bCs/>
        </w:rPr>
      </w:pPr>
    </w:p>
    <w:p w14:paraId="1D3312BF" w14:textId="77777777" w:rsidR="00105A07" w:rsidRDefault="00105A07">
      <w:pPr>
        <w:rPr>
          <w:b/>
          <w:bCs/>
        </w:rPr>
      </w:pPr>
    </w:p>
    <w:p w14:paraId="2CFEC218" w14:textId="77777777" w:rsidR="00105A07" w:rsidRDefault="00105A07">
      <w:pPr>
        <w:rPr>
          <w:b/>
          <w:bCs/>
        </w:rPr>
      </w:pPr>
    </w:p>
    <w:p w14:paraId="056DDC79" w14:textId="77777777" w:rsidR="00105A07" w:rsidRDefault="00105A07">
      <w:pPr>
        <w:rPr>
          <w:b/>
          <w:bCs/>
        </w:rPr>
      </w:pPr>
    </w:p>
    <w:p w14:paraId="0D2EFEE5" w14:textId="77777777" w:rsidR="00105A07" w:rsidRDefault="00105A07">
      <w:pPr>
        <w:rPr>
          <w:b/>
          <w:bCs/>
        </w:rPr>
      </w:pPr>
    </w:p>
    <w:p w14:paraId="02F39729" w14:textId="77777777" w:rsidR="00105A07" w:rsidRDefault="00105A07">
      <w:pPr>
        <w:rPr>
          <w:b/>
          <w:bCs/>
        </w:rPr>
      </w:pPr>
    </w:p>
    <w:p w14:paraId="0C7E23AD" w14:textId="77777777" w:rsidR="00105A07" w:rsidRDefault="00105A07">
      <w:pPr>
        <w:rPr>
          <w:b/>
          <w:bCs/>
        </w:rPr>
      </w:pPr>
    </w:p>
    <w:p w14:paraId="3D91560B" w14:textId="77777777" w:rsidR="00105A07" w:rsidRDefault="00105A07">
      <w:pPr>
        <w:rPr>
          <w:b/>
          <w:bCs/>
        </w:rPr>
      </w:pPr>
    </w:p>
    <w:p w14:paraId="6386B0AE" w14:textId="77777777" w:rsidR="00105A07" w:rsidRDefault="00105A07">
      <w:pPr>
        <w:rPr>
          <w:b/>
          <w:bCs/>
        </w:rPr>
      </w:pPr>
    </w:p>
    <w:p w14:paraId="2721CA17" w14:textId="77777777" w:rsidR="00105A07" w:rsidRDefault="00105A07">
      <w:pPr>
        <w:rPr>
          <w:b/>
          <w:bCs/>
        </w:rPr>
      </w:pPr>
    </w:p>
    <w:p w14:paraId="3B003C36" w14:textId="77777777" w:rsidR="00105A07" w:rsidRDefault="00105A07">
      <w:pPr>
        <w:rPr>
          <w:b/>
          <w:bCs/>
        </w:rPr>
      </w:pPr>
    </w:p>
    <w:p w14:paraId="4E857F7F" w14:textId="77777777" w:rsidR="00105A07" w:rsidRDefault="00105A07">
      <w:pPr>
        <w:rPr>
          <w:b/>
          <w:bCs/>
        </w:rPr>
      </w:pPr>
    </w:p>
    <w:p w14:paraId="2AB4BA7B" w14:textId="77777777" w:rsidR="00105A07" w:rsidRDefault="00105A07">
      <w:pPr>
        <w:rPr>
          <w:b/>
          <w:bCs/>
        </w:rPr>
      </w:pPr>
    </w:p>
    <w:p w14:paraId="53E4E9AE" w14:textId="77777777" w:rsidR="00105A07" w:rsidRDefault="00105A07">
      <w:pPr>
        <w:rPr>
          <w:b/>
          <w:bCs/>
        </w:rPr>
      </w:pPr>
    </w:p>
    <w:p w14:paraId="7754350B" w14:textId="77777777" w:rsidR="00105A07" w:rsidRDefault="00105A07">
      <w:pPr>
        <w:rPr>
          <w:b/>
          <w:bCs/>
        </w:rPr>
      </w:pPr>
    </w:p>
    <w:p w14:paraId="02E7A5AD" w14:textId="77777777" w:rsidR="00105A07" w:rsidRDefault="00105A07">
      <w:pPr>
        <w:rPr>
          <w:b/>
          <w:bCs/>
        </w:rPr>
      </w:pPr>
    </w:p>
    <w:p w14:paraId="1A903A78" w14:textId="77777777" w:rsidR="00105A07" w:rsidRDefault="00105A07">
      <w:pPr>
        <w:rPr>
          <w:b/>
          <w:bCs/>
        </w:rPr>
      </w:pPr>
    </w:p>
    <w:p w14:paraId="20B6D44C" w14:textId="77777777" w:rsidR="00105A07" w:rsidRDefault="00105A07">
      <w:pPr>
        <w:rPr>
          <w:b/>
          <w:bCs/>
        </w:rPr>
      </w:pPr>
    </w:p>
    <w:p w14:paraId="5EE45EB9" w14:textId="77777777" w:rsidR="00105A07" w:rsidRDefault="00105A07">
      <w:pPr>
        <w:rPr>
          <w:b/>
          <w:bCs/>
        </w:rPr>
      </w:pPr>
    </w:p>
    <w:p w14:paraId="3EE27A02" w14:textId="77777777" w:rsidR="00105A07" w:rsidRDefault="00105A07">
      <w:pPr>
        <w:rPr>
          <w:b/>
          <w:bCs/>
        </w:rPr>
      </w:pPr>
    </w:p>
    <w:p w14:paraId="5248AAB9" w14:textId="0CBAE731" w:rsidR="009B10E4" w:rsidRDefault="009B10E4">
      <w:pPr>
        <w:rPr>
          <w:b/>
          <w:bCs/>
        </w:rPr>
      </w:pPr>
      <w:r>
        <w:rPr>
          <w:b/>
          <w:bCs/>
        </w:rPr>
        <w:t>What makes us Unique</w:t>
      </w:r>
    </w:p>
    <w:p w14:paraId="6DE5B69A" w14:textId="07CA1708" w:rsidR="009B10E4" w:rsidRDefault="009B10E4">
      <w:pPr>
        <w:rPr>
          <w:b/>
          <w:bCs/>
        </w:rPr>
      </w:pPr>
      <w:r w:rsidRPr="009B10E4">
        <w:rPr>
          <w:b/>
          <w:bCs/>
        </w:rPr>
        <w:t>What sets MediNova apart from every other diagnostic AI system is our proprietary hybrid retrieval architecture that simultaneously leverages dense semantic embeddings and sparse keyword matching—a dual-path approach that ensures no query goes unanswered, whether a patient says "drooping eyelids," a clinician searches "ptosis," or a geneticist queries HPO IDs like "HP:0001638" for hypertelorism. While other systems rely on a single retrieval method and miss critical connections, MediNova intelligently fuses both search paths with contextual awareness, dynamically boosting diseases that match the patient's gender, inheritance pattern, age of onset, and distinguishing biochemical markers—factors that other AI models completely ignore. No other system integrates medical image analysis directly into the diagnostic workflow, translating visual findings from X-rays, CTs, and MRIs into actionable symptom queries that auto-populate the search engine, creating an end-to-end multi-modal experience that bridges the gap between radiology and clinical diagnosis. Beyond the architecture, MediNova's commitment to production readiness sets us apart—we deliver sub-300 millisecond latency with 82.1% accuracy on realistic clinical queries (and a remarkable 91.7% accuracy when including HPO IDs, demonstrating our system's comprehensive understanding of both patient language and clinical terminology), validated through a comprehensive evaluation framework of 47 test cases across 10 different categories, including challenging vague symptoms and gender-based negative testing that ensures our system doesn't make dangerous false-positive diagnoses. And unlike black-box commercial solutions, MediNova is fully open-source with a modular, extensible design—meaning healthcare institutions can audit every component, customize it for their specific needs, and deploy it on their own infrastructure without licensing fees or vendor lock-in. This combination of hybrid retrieval, contextual intelligence, multi-modal integration, production performance, rigorous evaluation, and open transparency makes MediNova not just another AI tool, but the first comprehensive, trustworthy, and deployable solution purpose-built for the unique challenges of rare disease diagnosis.</w:t>
      </w:r>
    </w:p>
    <w:p w14:paraId="527050A7" w14:textId="77777777" w:rsidR="009B10E4" w:rsidRDefault="009B10E4">
      <w:pPr>
        <w:rPr>
          <w:b/>
          <w:bCs/>
        </w:rPr>
      </w:pPr>
    </w:p>
    <w:p w14:paraId="6E97C36B" w14:textId="77777777" w:rsidR="009B10E4" w:rsidRDefault="009B10E4">
      <w:pPr>
        <w:rPr>
          <w:b/>
          <w:bCs/>
        </w:rPr>
      </w:pPr>
    </w:p>
    <w:p w14:paraId="2011363C" w14:textId="77777777" w:rsidR="009B10E4" w:rsidRDefault="009B10E4">
      <w:pPr>
        <w:rPr>
          <w:b/>
          <w:bCs/>
        </w:rPr>
      </w:pPr>
    </w:p>
    <w:p w14:paraId="5BDE65B4" w14:textId="77777777" w:rsidR="009B10E4" w:rsidRDefault="009B10E4">
      <w:pPr>
        <w:rPr>
          <w:b/>
          <w:bCs/>
        </w:rPr>
      </w:pPr>
    </w:p>
    <w:p w14:paraId="13C7C6AA" w14:textId="77777777" w:rsidR="009B10E4" w:rsidRDefault="009B10E4">
      <w:pPr>
        <w:rPr>
          <w:b/>
          <w:bCs/>
        </w:rPr>
      </w:pPr>
    </w:p>
    <w:p w14:paraId="37BF7F2F" w14:textId="77777777" w:rsidR="009B10E4" w:rsidRDefault="009B10E4">
      <w:pPr>
        <w:rPr>
          <w:b/>
          <w:bCs/>
        </w:rPr>
      </w:pPr>
    </w:p>
    <w:p w14:paraId="4D2E645E" w14:textId="03AD86D4" w:rsidR="009B10E4" w:rsidRDefault="009B10E4">
      <w:pPr>
        <w:rPr>
          <w:b/>
          <w:bCs/>
        </w:rPr>
      </w:pPr>
      <w:r>
        <w:rPr>
          <w:b/>
          <w:bCs/>
        </w:rPr>
        <w:t>Our Hybrid Approach:</w:t>
      </w:r>
    </w:p>
    <w:p w14:paraId="0C54EC2F" w14:textId="20C708C1" w:rsidR="009B10E4" w:rsidRDefault="009B10E4" w:rsidP="009B10E4">
      <w:pPr>
        <w:rPr>
          <w:b/>
          <w:bCs/>
        </w:rPr>
      </w:pPr>
      <w:r w:rsidRPr="009B10E4">
        <w:rPr>
          <w:b/>
          <w:bCs/>
        </w:rPr>
        <w:t>MediNova is classified as a Hybrid RAG (Retrieval-Augmented Generation) system because it combines two fundamentally different retrieval paradigms—dense semantic search and sparse keyword search—within a unified architecture, then intelligently fuses their results with contextual awareness to deliver superior diagnostic accuracy. Traditional RAG systems rely on a single retrieval method: either dense retrieval using neural embeddings (like MedCPT, BioBERT, or Sentence-BERT) that understand semantic meaning but struggle with rare or out-of-vocabulary terms, or sparse retrieval using traditional information retrieval techniques (like BM25 or TF-IDF) that excel at exact keyword matching but miss conceptual relationships between terms. MediNova's hybrid approach harnesses the strengths of both paradigms simultaneously: the dense retriever captures semantic relationships—understanding that "drooping eyelids" relates to "ptosis" and "myasthenia gravis"—while the sparse retriever ensures we never miss diseases where the exact clinical terminology appears in the text, such as when geneticists search with precise HPO IDs like "HP:0001638." This dual-path retrieval is then fused through weighted scoring (controllable via parameter α, typically set to 0.6 for the dense component and 0.4 for sparse) or Reciprocal Rank Fusion (RRF), ensuring comprehensive coverage that neither method alone can achieve. Beyond retrieval, MediNova enhances the RAG pipeline with sophisticated query processing—expanding colloquial terms, extracting gender and inheritance context, and applying targeted boosts for distinguishing features—before delivering ranked, evidence-based results. This combination of dual retrieval, contextual augmentation, and intelligent fusion represents the evolution from simple RAG to contextually-aware Hybrid RAG designed specifically for the complex, high-stakes domain of rare disease diagnosis.</w:t>
      </w:r>
    </w:p>
    <w:p w14:paraId="16BE2359" w14:textId="77777777" w:rsidR="009B10E4" w:rsidRPr="009B10E4" w:rsidRDefault="009B10E4" w:rsidP="009B10E4">
      <w:pPr>
        <w:rPr>
          <w:lang w:val="en-US"/>
        </w:rPr>
      </w:pPr>
    </w:p>
    <w:p w14:paraId="2C78CFF2" w14:textId="77777777" w:rsidR="009B10E4" w:rsidRDefault="009B10E4" w:rsidP="009B10E4">
      <w:pPr>
        <w:rPr>
          <w:b/>
          <w:bCs/>
        </w:rPr>
      </w:pPr>
    </w:p>
    <w:p w14:paraId="510004AD" w14:textId="77777777" w:rsidR="009B10E4" w:rsidRDefault="009B10E4" w:rsidP="009B10E4">
      <w:pPr>
        <w:rPr>
          <w:lang w:val="en-US"/>
        </w:rPr>
      </w:pPr>
    </w:p>
    <w:p w14:paraId="519B237B" w14:textId="77777777" w:rsidR="009B10E4" w:rsidRDefault="009B10E4" w:rsidP="009B10E4">
      <w:pPr>
        <w:rPr>
          <w:lang w:val="en-US"/>
        </w:rPr>
      </w:pPr>
    </w:p>
    <w:p w14:paraId="5224313D" w14:textId="77777777" w:rsidR="009B10E4" w:rsidRDefault="009B10E4" w:rsidP="009B10E4">
      <w:pPr>
        <w:rPr>
          <w:lang w:val="en-US"/>
        </w:rPr>
      </w:pPr>
    </w:p>
    <w:p w14:paraId="7E71CCD8" w14:textId="77777777" w:rsidR="009B10E4" w:rsidRDefault="009B10E4" w:rsidP="009B10E4">
      <w:pPr>
        <w:rPr>
          <w:lang w:val="en-US"/>
        </w:rPr>
      </w:pPr>
    </w:p>
    <w:p w14:paraId="36E0FAEB" w14:textId="77777777" w:rsidR="009B10E4" w:rsidRDefault="009B10E4" w:rsidP="009B10E4">
      <w:pPr>
        <w:rPr>
          <w:lang w:val="en-US"/>
        </w:rPr>
      </w:pPr>
    </w:p>
    <w:p w14:paraId="50CEFCBD" w14:textId="77777777" w:rsidR="009B10E4" w:rsidRDefault="009B10E4" w:rsidP="009B10E4">
      <w:pPr>
        <w:rPr>
          <w:lang w:val="en-US"/>
        </w:rPr>
      </w:pPr>
    </w:p>
    <w:p w14:paraId="5FC4AEC9" w14:textId="77777777" w:rsidR="009B10E4" w:rsidRDefault="009B10E4" w:rsidP="009B10E4">
      <w:pPr>
        <w:rPr>
          <w:lang w:val="en-US"/>
        </w:rPr>
      </w:pPr>
    </w:p>
    <w:p w14:paraId="6F70F75F" w14:textId="77777777" w:rsidR="009B10E4" w:rsidRDefault="009B10E4" w:rsidP="009B10E4">
      <w:pPr>
        <w:rPr>
          <w:lang w:val="en-US"/>
        </w:rPr>
      </w:pPr>
    </w:p>
    <w:p w14:paraId="2C446D33" w14:textId="78622BE9" w:rsidR="009B10E4" w:rsidRDefault="009B10E4" w:rsidP="009B10E4">
      <w:pPr>
        <w:rPr>
          <w:lang w:val="en-US"/>
        </w:rPr>
      </w:pPr>
      <w:r>
        <w:rPr>
          <w:lang w:val="en-US"/>
        </w:rPr>
        <w:t>The Evaluation Report:</w:t>
      </w:r>
    </w:p>
    <w:p w14:paraId="549372EC" w14:textId="7DA1D36E" w:rsidR="009B10E4" w:rsidRDefault="00131B15" w:rsidP="009B10E4">
      <w:pPr>
        <w:rPr>
          <w:b/>
          <w:bCs/>
        </w:rPr>
      </w:pPr>
      <w:r w:rsidRPr="00131B15">
        <w:rPr>
          <w:b/>
          <w:bCs/>
        </w:rPr>
        <w:t>MediNova's 91.7% accuracy with HPO IDs and 82.1% accuracy with realistic clinical queries demonstrates a fundamental truth: we're the first system that truly understands both worlds. When geneticists search with precise clinical ontologies, we deliver near-perfect precision. When patients and clinicians search with everyday language, we maintain robust accuracy. This dual mastery—combined with our hybrid retrieval, contextual awareness, multi-modal integration, and open transparency—makes MediNova the most versatile and trustworthy rare disease diagnostic system available today."</w:t>
      </w:r>
    </w:p>
    <w:p w14:paraId="68858DFC" w14:textId="77777777" w:rsidR="00131B15" w:rsidRDefault="00131B15" w:rsidP="009B10E4">
      <w:pPr>
        <w:rPr>
          <w:b/>
          <w:bCs/>
        </w:rPr>
      </w:pPr>
    </w:p>
    <w:p w14:paraId="5F1FEA59" w14:textId="77777777" w:rsidR="00131B15" w:rsidRDefault="00131B15" w:rsidP="009B10E4">
      <w:pPr>
        <w:rPr>
          <w:b/>
          <w:bCs/>
        </w:rPr>
      </w:pPr>
    </w:p>
    <w:p w14:paraId="0E0CB740" w14:textId="48F3DA57" w:rsidR="00131B15" w:rsidRDefault="00131B15" w:rsidP="009B10E4">
      <w:pPr>
        <w:rPr>
          <w:lang w:val="en-US"/>
        </w:rPr>
      </w:pPr>
    </w:p>
    <w:p w14:paraId="5EB56E19" w14:textId="77777777" w:rsidR="0027610E" w:rsidRDefault="0027610E" w:rsidP="009B10E4">
      <w:pPr>
        <w:rPr>
          <w:lang w:val="en-US"/>
        </w:rPr>
      </w:pPr>
    </w:p>
    <w:p w14:paraId="4A70D5E1" w14:textId="1779C9D1" w:rsidR="0027610E" w:rsidRPr="009B10E4" w:rsidRDefault="0027610E" w:rsidP="009B10E4">
      <w:pPr>
        <w:rPr>
          <w:lang w:val="en-US"/>
        </w:rPr>
      </w:pPr>
      <w:r w:rsidRPr="0027610E">
        <w:rPr>
          <w:lang w:val="en-US"/>
        </w:rPr>
        <w:drawing>
          <wp:inline distT="0" distB="0" distL="0" distR="0" wp14:anchorId="36401737" wp14:editId="3399EB5D">
            <wp:extent cx="5731510" cy="3352800"/>
            <wp:effectExtent l="0" t="0" r="2540" b="0"/>
            <wp:docPr id="17464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6892" name=""/>
                    <pic:cNvPicPr/>
                  </pic:nvPicPr>
                  <pic:blipFill>
                    <a:blip r:embed="rId20"/>
                    <a:stretch>
                      <a:fillRect/>
                    </a:stretch>
                  </pic:blipFill>
                  <pic:spPr>
                    <a:xfrm>
                      <a:off x="0" y="0"/>
                      <a:ext cx="5731510" cy="3352800"/>
                    </a:xfrm>
                    <a:prstGeom prst="rect">
                      <a:avLst/>
                    </a:prstGeom>
                  </pic:spPr>
                </pic:pic>
              </a:graphicData>
            </a:graphic>
          </wp:inline>
        </w:drawing>
      </w:r>
    </w:p>
    <w:sectPr w:rsidR="0027610E" w:rsidRPr="009B10E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59"/>
    <w:rsid w:val="00105A07"/>
    <w:rsid w:val="00131B15"/>
    <w:rsid w:val="00230030"/>
    <w:rsid w:val="0027610E"/>
    <w:rsid w:val="003041B2"/>
    <w:rsid w:val="008F7B59"/>
    <w:rsid w:val="009B10E4"/>
    <w:rsid w:val="00BA7AA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18CC"/>
  <w15:chartTrackingRefBased/>
  <w15:docId w15:val="{ECCA705E-17CC-4EE6-830A-70E50C5D9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B5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F7B5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F7B5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F7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B5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F7B5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F7B5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F7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B59"/>
    <w:rPr>
      <w:rFonts w:eastAsiaTheme="majorEastAsia" w:cstheme="majorBidi"/>
      <w:color w:val="272727" w:themeColor="text1" w:themeTint="D8"/>
    </w:rPr>
  </w:style>
  <w:style w:type="paragraph" w:styleId="Title">
    <w:name w:val="Title"/>
    <w:basedOn w:val="Normal"/>
    <w:next w:val="Normal"/>
    <w:link w:val="TitleChar"/>
    <w:uiPriority w:val="10"/>
    <w:qFormat/>
    <w:rsid w:val="008F7B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F7B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F7B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F7B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F7B59"/>
    <w:pPr>
      <w:spacing w:before="160"/>
      <w:jc w:val="center"/>
    </w:pPr>
    <w:rPr>
      <w:i/>
      <w:iCs/>
      <w:color w:val="404040" w:themeColor="text1" w:themeTint="BF"/>
    </w:rPr>
  </w:style>
  <w:style w:type="character" w:customStyle="1" w:styleId="QuoteChar">
    <w:name w:val="Quote Char"/>
    <w:basedOn w:val="DefaultParagraphFont"/>
    <w:link w:val="Quote"/>
    <w:uiPriority w:val="29"/>
    <w:rsid w:val="008F7B59"/>
    <w:rPr>
      <w:i/>
      <w:iCs/>
      <w:color w:val="404040" w:themeColor="text1" w:themeTint="BF"/>
    </w:rPr>
  </w:style>
  <w:style w:type="paragraph" w:styleId="ListParagraph">
    <w:name w:val="List Paragraph"/>
    <w:basedOn w:val="Normal"/>
    <w:uiPriority w:val="34"/>
    <w:qFormat/>
    <w:rsid w:val="008F7B59"/>
    <w:pPr>
      <w:ind w:left="720"/>
      <w:contextualSpacing/>
    </w:pPr>
  </w:style>
  <w:style w:type="character" w:styleId="IntenseEmphasis">
    <w:name w:val="Intense Emphasis"/>
    <w:basedOn w:val="DefaultParagraphFont"/>
    <w:uiPriority w:val="21"/>
    <w:qFormat/>
    <w:rsid w:val="008F7B59"/>
    <w:rPr>
      <w:i/>
      <w:iCs/>
      <w:color w:val="0F4761" w:themeColor="accent1" w:themeShade="BF"/>
    </w:rPr>
  </w:style>
  <w:style w:type="paragraph" w:styleId="IntenseQuote">
    <w:name w:val="Intense Quote"/>
    <w:basedOn w:val="Normal"/>
    <w:next w:val="Normal"/>
    <w:link w:val="IntenseQuoteChar"/>
    <w:uiPriority w:val="30"/>
    <w:qFormat/>
    <w:rsid w:val="008F7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B59"/>
    <w:rPr>
      <w:i/>
      <w:iCs/>
      <w:color w:val="0F4761" w:themeColor="accent1" w:themeShade="BF"/>
    </w:rPr>
  </w:style>
  <w:style w:type="character" w:styleId="IntenseReference">
    <w:name w:val="Intense Reference"/>
    <w:basedOn w:val="DefaultParagraphFont"/>
    <w:uiPriority w:val="32"/>
    <w:qFormat/>
    <w:rsid w:val="008F7B59"/>
    <w:rPr>
      <w:b/>
      <w:bCs/>
      <w:smallCaps/>
      <w:color w:val="0F4761" w:themeColor="accent1" w:themeShade="BF"/>
      <w:spacing w:val="5"/>
    </w:rPr>
  </w:style>
  <w:style w:type="character" w:styleId="Hyperlink">
    <w:name w:val="Hyperlink"/>
    <w:basedOn w:val="DefaultParagraphFont"/>
    <w:uiPriority w:val="99"/>
    <w:unhideWhenUsed/>
    <w:rsid w:val="009B10E4"/>
    <w:rPr>
      <w:color w:val="467886" w:themeColor="hyperlink"/>
      <w:u w:val="single"/>
    </w:rPr>
  </w:style>
  <w:style w:type="character" w:styleId="UnresolvedMention">
    <w:name w:val="Unresolved Mention"/>
    <w:basedOn w:val="DefaultParagraphFont"/>
    <w:uiPriority w:val="99"/>
    <w:semiHidden/>
    <w:unhideWhenUsed/>
    <w:rsid w:val="009B10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86-025-10097-9" TargetMode="External"/><Relationship Id="rId13" Type="http://schemas.openxmlformats.org/officeDocument/2006/relationships/hyperlink" Target="https://www.nature.com/articles/s41586-025-10097-9" TargetMode="External"/><Relationship Id="rId18" Type="http://schemas.openxmlformats.org/officeDocument/2006/relationships/hyperlink" Target="https://www.nature.com/articles/s41586-025-10097-9"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nature.com/articles/s41586-025-10097-9" TargetMode="External"/><Relationship Id="rId12" Type="http://schemas.openxmlformats.org/officeDocument/2006/relationships/hyperlink" Target="https://www.nature.com/articles/s41586-025-10097-9" TargetMode="External"/><Relationship Id="rId17" Type="http://schemas.openxmlformats.org/officeDocument/2006/relationships/hyperlink" Target="https://www.nature.com/articles/s41586-025-10097-9" TargetMode="External"/><Relationship Id="rId2" Type="http://schemas.openxmlformats.org/officeDocument/2006/relationships/settings" Target="settings.xml"/><Relationship Id="rId16" Type="http://schemas.openxmlformats.org/officeDocument/2006/relationships/hyperlink" Target="https://www.nature.com/articles/s41586-025-10097-9" TargetMode="External"/><Relationship Id="rId20" Type="http://schemas.openxmlformats.org/officeDocument/2006/relationships/image" Target="media/image1.png"/><Relationship Id="rId1" Type="http://schemas.openxmlformats.org/officeDocument/2006/relationships/styles" Target="styles.xml"/><Relationship Id="rId6" Type="http://schemas.openxmlformats.org/officeDocument/2006/relationships/hyperlink" Target="https://www.nature.com/articles/s41586-025-10097-9" TargetMode="External"/><Relationship Id="rId11" Type="http://schemas.openxmlformats.org/officeDocument/2006/relationships/hyperlink" Target="https://www.nature.com/articles/s41586-025-10097-9" TargetMode="External"/><Relationship Id="rId5" Type="http://schemas.openxmlformats.org/officeDocument/2006/relationships/hyperlink" Target="https://www.nature.com/articles/s41586-025-10097-9" TargetMode="External"/><Relationship Id="rId15" Type="http://schemas.openxmlformats.org/officeDocument/2006/relationships/hyperlink" Target="https://www.nature.com/articles/s41586-025-10097-9" TargetMode="External"/><Relationship Id="rId10" Type="http://schemas.openxmlformats.org/officeDocument/2006/relationships/hyperlink" Target="https://www.nature.com/articles/s41586-025-10097-9" TargetMode="External"/><Relationship Id="rId19" Type="http://schemas.openxmlformats.org/officeDocument/2006/relationships/hyperlink" Target="https://www.nature.com/articles/s41586-025-10097-9" TargetMode="External"/><Relationship Id="rId4" Type="http://schemas.openxmlformats.org/officeDocument/2006/relationships/hyperlink" Target="https://www.nature.com/articles/s41586-025-10097-9" TargetMode="External"/><Relationship Id="rId9" Type="http://schemas.openxmlformats.org/officeDocument/2006/relationships/hyperlink" Target="https://www.nature.com/articles/s41586-025-10097-9" TargetMode="External"/><Relationship Id="rId14" Type="http://schemas.openxmlformats.org/officeDocument/2006/relationships/hyperlink" Target="https://www.nature.com/articles/s41586-025-10097-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5</Pages>
  <Words>1664</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Ghosh</dc:creator>
  <cp:keywords/>
  <dc:description/>
  <cp:lastModifiedBy>Ankur Ghosh</cp:lastModifiedBy>
  <cp:revision>4</cp:revision>
  <dcterms:created xsi:type="dcterms:W3CDTF">2026-06-20T15:24:00Z</dcterms:created>
  <dcterms:modified xsi:type="dcterms:W3CDTF">2026-06-21T05:41:00Z</dcterms:modified>
</cp:coreProperties>
</file>