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5e58a9fb069f4218" /><Relationship Type="http://schemas.openxmlformats.org/package/2006/relationships/metadata/core-properties" Target="/docProps/core.xml" Id="R7c016d340c4842da" /><Relationship Type="http://schemas.openxmlformats.org/officeDocument/2006/relationships/extended-properties" Target="/docProps/app.xml" Id="Rd01409498cbb4c3d" /><Relationship Type="http://schemas.openxmlformats.org/officeDocument/2006/relationships/custom-properties" Target="/docProps/custom.xml" Id="R774090b96a394c0d"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60"/>
        <w:jc w:val="center"/>
      </w:pPr>
      <w:r>
        <w:rPr>
          <w:b/>
          <w:color w:val="1E3A5F"/>
          <w:sz w:val="56"/>
        </w:rPr>
        <w:t xml:space="preserve">LOAN APPROVAL PREDICTION &amp; ANALYTICS</w:t>
      </w:r>
    </w:p>
    <w:p w14:paraId="00100002" w14:textId="00100003">
      <w:pPr>
        <w:pStyle w:val="Normal"/>
        <w:spacing w:after="120"/>
        <w:jc w:val="center"/>
      </w:pPr>
      <w:r>
        <w:rPr>
          <w:color w:val="57606A"/>
          <w:sz w:val="26"/>
        </w:rPr>
        <w:t xml:space="preserve">A Machine Learning–Driven Web Application for Credit Risk Assessment</w:t>
      </w:r>
    </w:p>
    <w:p w14:paraId="00100004" w14:textId="00100005">
      <w:pPr>
        <w:pStyle w:val="Normal"/>
        <w:spacing w:after="600"/>
        <w:jc w:val="center"/>
      </w:pPr>
      <w:r>
        <w:rPr>
          <w:color w:val="57606A"/>
          <w:sz w:val="22"/>
        </w:rPr>
        <w:t xml:space="preserve">Built with Python · Streamlit · scikit-learn</w:t>
      </w:r>
    </w:p>
    <w:p w14:paraId="00100006" w14:textId="00100007">
      <w:pPr>
        <w:pStyle w:val="Normal"/>
        <w:spacing w:after="80"/>
        <w:jc w:val="center"/>
      </w:pPr>
      <w:r>
        <w:rPr>
          <w:color w:val="1E3A5F"/>
          <w:sz w:val="22"/>
        </w:rPr>
        <w:t xml:space="preserve">Prepared by: Data Science Team</w:t>
      </w:r>
    </w:p>
    <w:p w14:paraId="00100008" w14:textId="00100009">
      <w:pPr>
        <w:pStyle w:val="Normal"/>
        <w:spacing w:after="1000"/>
        <w:jc w:val="center"/>
      </w:pPr>
      <w:r>
        <w:rPr>
          <w:color w:val="57606A"/>
          <w:sz w:val="20"/>
        </w:rPr>
        <w:t xml:space="preserve">Dataset: loan_approval_prediction_cleaned.csv  |  Records: 500  |  Features: 13</w:t>
      </w:r>
    </w:p>
    <w:p w14:paraId="0010000A" w14:textId="0010000B">
      <w:pPr>
        <w:pStyle w:val="Heading1"/>
        <w:spacing w:before="0" w:after="160"/>
      </w:pPr>
      <w:r>
        <w:rPr>
          <w:b/>
          <w:color w:val="1E3A5F"/>
          <w:sz w:val="32"/>
        </w:rPr>
        <w:t xml:space="preserve">Table of Contents</w:t>
      </w:r>
    </w:p>
    <w:p w14:paraId="0010000C" w14:textId="0010000D">
      <w:pPr>
        <w:pStyle w:val="Normal"/>
        <w:spacing w:after="80"/>
      </w:pPr>
      <w:r>
        <w:rPr>
          <w:sz w:val="22"/>
        </w:rPr>
        <w:t xml:space="preserve">1.  Executive Summary</w:t>
      </w:r>
    </w:p>
    <w:p w14:paraId="0010000E" w14:textId="0010000F">
      <w:pPr>
        <w:pStyle w:val="Normal"/>
        <w:spacing w:after="80"/>
      </w:pPr>
      <w:r>
        <w:rPr>
          <w:sz w:val="22"/>
        </w:rPr>
        <w:t xml:space="preserve">2.  Introduction &amp; Objectives</w:t>
      </w:r>
    </w:p>
    <w:p w14:paraId="00100010" w14:textId="00100011">
      <w:pPr>
        <w:pStyle w:val="Normal"/>
        <w:spacing w:after="80"/>
      </w:pPr>
      <w:r>
        <w:rPr>
          <w:sz w:val="22"/>
        </w:rPr>
        <w:t xml:space="preserve">3.  Dataset Description</w:t>
      </w:r>
    </w:p>
    <w:p w14:paraId="00100012" w14:textId="00100013">
      <w:pPr>
        <w:pStyle w:val="Normal"/>
        <w:spacing w:after="80"/>
      </w:pPr>
      <w:r>
        <w:rPr>
          <w:sz w:val="22"/>
        </w:rPr>
        <w:t xml:space="preserve">4.  Data Cleaning &amp; Preprocessing</w:t>
      </w:r>
    </w:p>
    <w:p w14:paraId="00100014" w14:textId="00100015">
      <w:pPr>
        <w:pStyle w:val="Normal"/>
        <w:spacing w:after="80"/>
      </w:pPr>
      <w:r>
        <w:rPr>
          <w:sz w:val="22"/>
        </w:rPr>
        <w:t xml:space="preserve">5.  Exploratory Data Analysis</w:t>
      </w:r>
    </w:p>
    <w:p w14:paraId="00100016" w14:textId="00100017">
      <w:pPr>
        <w:pStyle w:val="Normal"/>
        <w:spacing w:after="80"/>
      </w:pPr>
      <w:r>
        <w:rPr>
          <w:sz w:val="22"/>
        </w:rPr>
        <w:t xml:space="preserve">6.  Machine Learning Models</w:t>
      </w:r>
    </w:p>
    <w:p w14:paraId="00100018" w14:textId="00100019">
      <w:pPr>
        <w:pStyle w:val="Normal"/>
        <w:spacing w:after="80"/>
      </w:pPr>
      <w:r>
        <w:rPr>
          <w:sz w:val="22"/>
        </w:rPr>
        <w:t xml:space="preserve">7.  Model Evaluation &amp; Results</w:t>
      </w:r>
    </w:p>
    <w:p w14:paraId="0010001A" w14:textId="0010001B">
      <w:pPr>
        <w:pStyle w:val="Normal"/>
        <w:spacing w:after="80"/>
      </w:pPr>
      <w:r>
        <w:rPr>
          <w:sz w:val="22"/>
        </w:rPr>
        <w:t xml:space="preserve">8.  Web Application Architecture</w:t>
      </w:r>
    </w:p>
    <w:p w14:paraId="0010001C" w14:textId="0010001D">
      <w:pPr>
        <w:pStyle w:val="Normal"/>
        <w:spacing w:after="80"/>
      </w:pPr>
      <w:r>
        <w:rPr>
          <w:sz w:val="22"/>
        </w:rPr>
        <w:t xml:space="preserve">9.  Conclusions &amp; Recommendations</w:t>
      </w:r>
    </w:p>
    <w:p w14:paraId="0010001E" w14:textId="0010001F">
      <w:pPr>
        <w:pStyle w:val="Normal"/>
        <w:spacing w:after="600"/>
      </w:pPr>
      <w:r>
        <w:rPr>
          <w:sz w:val="22"/>
        </w:rPr>
        <w:t xml:space="preserve">10. References &amp; Tools</w:t>
      </w:r>
    </w:p>
    <w:p w14:paraId="00100020" w14:textId="00100021">
      <w:pPr>
        <w:pStyle w:val="Heading1"/>
        <w:spacing w:before="200" w:after="160"/>
      </w:pPr>
      <w:r>
        <w:rPr>
          <w:b/>
          <w:color w:val="1E3A5F"/>
          <w:sz w:val="32"/>
        </w:rPr>
        <w:t xml:space="preserve">1. Executive Summary</w:t>
      </w:r>
    </w:p>
    <w:p w14:paraId="00100022" w14:textId="00100023">
      <w:pPr>
        <w:pStyle w:val="Normal"/>
        <w:spacing w:after="160"/>
      </w:pPr>
      <w:r>
        <w:rPr>
          <w:sz w:val="22"/>
        </w:rPr>
        <w:t xml:space="preserve">This report documents the end-to-end development of a Loan Approval Prediction and Analytics web application. The system ingests a cleaned dataset of 500 loan applications and applies three machine learning classifiers — Random Forest, Gradient Boosting, and Logistic Regression — to predict whether a loan application will be approved or rejected.</w:t>
      </w:r>
    </w:p>
    <w:p w14:paraId="00100024" w14:textId="00100025">
      <w:pPr>
        <w:pStyle w:val="Normal"/>
        <w:spacing w:after="160"/>
      </w:pPr>
      <w:r>
        <w:rPr>
          <w:sz w:val="22"/>
        </w:rPr>
        <w:t xml:space="preserve">The best-performing model, Random Forest, achieved a ROC-AUC score of 0.9444 and an accuracy of 85.0% on the held-out test set. The application is deployed as a four-page interactive Streamlit dashboard, providing dataset overviews, exploratory visualisations, model diagnostics, and a real-time prediction interface for individual loan applicants.</w:t>
      </w:r>
    </w:p>
    <w:p w14:paraId="00100026" w14:textId="00100027">
      <w:pPr>
        <w:pStyle w:val="Normal"/>
        <w:spacing w:after="320"/>
      </w:pPr>
      <w:r>
        <w:rPr>
          <w:sz w:val="22"/>
        </w:rPr>
        <w:t xml:space="preserve">Key findings include that Credit Score, Annual Income, and Existing Debt are the most predictive features. The dataset exhibits a 74:26 class imbalance (Rejected vs Approved), which was addressed through balanced class weighting during training.</w:t>
      </w:r>
    </w:p>
    <w:p w14:paraId="00100028" w14:textId="00100029">
      <w:pPr>
        <w:spacing w:line="240" w:lineRule="auto"/>
      </w:pPr>
      <w:r>
        <w:drawing>
          <wp:inline distT="0" distB="0" distL="0" distR="0">
            <wp:extent cx="2880000" cy="2340000"/>
            <wp:effectExtent l="0" t="0" r="0" b="0"/>
            <wp:docPr id="1" name="chart1_loan_status.png" descr=""/>
            <wp:cNvGraphicFramePr>
              <a:graphicFrameLocks noChangeAspect="1"/>
            </wp:cNvGraphicFramePr>
            <a:graphic>
              <a:graphicData uri="http://schemas.openxmlformats.org/drawingml/2006/picture">
                <pic:pic>
                  <pic:nvPicPr>
                    <pic:cNvPr id="1" name="chart1_loan_status.png"/>
                    <pic:cNvPicPr/>
                  </pic:nvPicPr>
                  <pic:blipFill>
                    <a:blip r:embed="Rb13fb9b42fb542b9" cstate="print"/>
                    <a:stretch>
                      <a:fillRect/>
                    </a:stretch>
                  </pic:blipFill>
                  <pic:spPr>
                    <a:xfrm>
                      <a:off x="0" y="0"/>
                      <a:ext cx="2880000" cy="2340000"/>
                    </a:xfrm>
                    <a:prstGeom prst="rect">
                      <a:avLst/>
                    </a:prstGeom>
                  </pic:spPr>
                </pic:pic>
              </a:graphicData>
            </a:graphic>
          </wp:inline>
        </w:drawing>
      </w:r>
    </w:p>
    <w:p w14:paraId="0010002A" w14:textId="0010002B">
      <w:pPr>
        <w:pStyle w:val="Normal"/>
        <w:spacing w:after="320"/>
        <w:jc w:val="center"/>
      </w:pPr>
      <w:r>
        <w:rPr>
          <w:color w:val="57606A"/>
          <w:sz w:val="18"/>
        </w:rPr>
        <w:t xml:space="preserve">Figure 1: Loan Status Distribution — 74% Rejected, 26% Approved</w:t>
      </w:r>
    </w:p>
    <w:p w14:paraId="0010002C" w14:textId="0010002D">
      <w:pPr>
        <w:pStyle w:val="Heading1"/>
        <w:spacing w:before="200" w:after="160"/>
      </w:pPr>
      <w:r>
        <w:rPr>
          <w:b/>
          <w:color w:val="1E3A5F"/>
          <w:sz w:val="32"/>
        </w:rPr>
        <w:t xml:space="preserve">2. Introduction &amp; Objectives</w:t>
      </w:r>
    </w:p>
    <w:p w14:paraId="0010002E" w14:textId="0010002F">
      <w:pPr>
        <w:pStyle w:val="Normal"/>
        <w:spacing w:after="160"/>
      </w:pPr>
      <w:r>
        <w:rPr>
          <w:sz w:val="22"/>
        </w:rPr>
        <w:t xml:space="preserve">Loan approval is a critical process in the financial services industry. Traditionally assessed by loan officers using manual criteria, modern credit risk assessment increasingly leverages statistical models and machine learning to improve consistency, speed, and predictive accuracy.</w:t>
      </w:r>
    </w:p>
    <w:p w14:paraId="00100030" w14:textId="00100031">
      <w:pPr>
        <w:pStyle w:val="Normal"/>
        <w:spacing w:after="320"/>
      </w:pPr>
      <w:r>
        <w:rPr>
          <w:sz w:val="22"/>
        </w:rPr>
        <w:t xml:space="preserve">This project aims to: (1) Build and evaluate machine learning classifiers to predict loan approval outcomes; (2) Perform comprehensive exploratory data analysis on applicant demographics and financial attributes; (3) Develop an interactive Streamlit web application for business users and data scientists; (4) Identify the most important predictors of loan approval to support data-driven decision making.</w:t>
      </w:r>
    </w:p>
    <w:p w14:paraId="00100032" w14:textId="00100033">
      <w:pPr>
        <w:pStyle w:val="Heading1"/>
        <w:spacing w:before="200" w:after="160"/>
      </w:pPr>
      <w:r>
        <w:rPr>
          <w:b/>
          <w:color w:val="1E3A5F"/>
          <w:sz w:val="32"/>
        </w:rPr>
        <w:t xml:space="preserve">3. Dataset Description</w:t>
      </w:r>
    </w:p>
    <w:p w14:paraId="00100034" w14:textId="00100035">
      <w:pPr>
        <w:pStyle w:val="Normal"/>
        <w:spacing w:after="200"/>
      </w:pPr>
      <w:r>
        <w:rPr>
          <w:sz w:val="22"/>
        </w:rPr>
        <w:t xml:space="preserve">The dataset contains 500 loan application records with 12 original features and 1 engineered feature. Each record represents a unique applicant with their personal, financial, and property details, along with a binary loan decision outcome. The table below describes all columns.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36" w14:textId="00100037">
            <w:r>
              <w:t xml:space="preserve">Column</w:t>
            </w:r>
          </w:p>
        </w:tc>
        <w:tc>
          <w:p w14:paraId="00100038" w14:textId="00100039">
            <w:r>
              <w:t xml:space="preserve">Type</w:t>
            </w:r>
          </w:p>
        </w:tc>
        <w:tc>
          <w:p w14:paraId="0010003A" w14:textId="0010003B">
            <w:r>
              <w:t xml:space="preserve">Description</w:t>
            </w:r>
          </w:p>
        </w:tc>
      </w:tr>
      <w:tr>
        <w:trPr/>
        <w:tc>
          <w:p w14:paraId="0010003C" w14:textId="0010003D">
            <w:r>
              <w:t xml:space="preserve">Age</w:t>
            </w:r>
          </w:p>
        </w:tc>
        <w:tc>
          <w:p w14:paraId="0010003E" w14:textId="0010003F">
            <w:r>
              <w:t xml:space="preserve">Integer</w:t>
            </w:r>
          </w:p>
        </w:tc>
        <w:tc>
          <w:p w14:paraId="00100040" w14:textId="00100041">
            <w:r>
              <w:t xml:space="preserve">Applicant age in years (range: 21-60)</w:t>
            </w:r>
          </w:p>
        </w:tc>
      </w:tr>
      <w:tr>
        <w:trPr/>
        <w:tc>
          <w:p w14:paraId="00100042" w14:textId="00100043">
            <w:r>
              <w:t xml:space="preserve">Annual_Income</w:t>
            </w:r>
          </w:p>
        </w:tc>
        <w:tc>
          <w:p w14:paraId="00100044" w14:textId="00100045">
            <w:r>
              <w:t xml:space="preserve">Float</w:t>
            </w:r>
          </w:p>
        </w:tc>
        <w:tc>
          <w:p w14:paraId="00100046" w14:textId="00100047">
            <w:r>
              <w:t xml:space="preserve">Yearly income in USD (range: $18,235 - $179,595)</w:t>
            </w:r>
          </w:p>
        </w:tc>
      </w:tr>
      <w:tr>
        <w:trPr/>
        <w:tc>
          <w:p w14:paraId="00100048" w14:textId="00100049">
            <w:r>
              <w:t xml:space="preserve">Loan_Amount</w:t>
            </w:r>
          </w:p>
        </w:tc>
        <w:tc>
          <w:p w14:paraId="0010004A" w14:textId="0010004B">
            <w:r>
              <w:t xml:space="preserve">Float</w:t>
            </w:r>
          </w:p>
        </w:tc>
        <w:tc>
          <w:p w14:paraId="0010004C" w14:textId="0010004D">
            <w:r>
              <w:t xml:space="preserve">Requested loan amount in USD (range: $50,126 - $999,491)</w:t>
            </w:r>
          </w:p>
        </w:tc>
      </w:tr>
      <w:tr>
        <w:trPr/>
        <w:tc>
          <w:p w14:paraId="0010004E" w14:textId="0010004F">
            <w:r>
              <w:t xml:space="preserve">Loan_Term_Months</w:t>
            </w:r>
          </w:p>
        </w:tc>
        <w:tc>
          <w:p w14:paraId="00100050" w14:textId="00100051">
            <w:r>
              <w:t xml:space="preserve">Integer</w:t>
            </w:r>
          </w:p>
        </w:tc>
        <w:tc>
          <w:p w14:paraId="00100052" w14:textId="00100053">
            <w:r>
              <w:t xml:space="preserve">Duration: 12, 24, 36, 48, or 60 months</w:t>
            </w:r>
          </w:p>
        </w:tc>
      </w:tr>
      <w:tr>
        <w:trPr/>
        <w:tc>
          <w:p w14:paraId="00100054" w14:textId="00100055">
            <w:r>
              <w:t xml:space="preserve">Credit_Score</w:t>
            </w:r>
          </w:p>
        </w:tc>
        <w:tc>
          <w:p w14:paraId="00100056" w14:textId="00100057">
            <w:r>
              <w:t xml:space="preserve">Float</w:t>
            </w:r>
          </w:p>
        </w:tc>
        <w:tc>
          <w:p w14:paraId="00100058" w14:textId="00100059">
            <w:r>
              <w:t xml:space="preserve">FICO credit score (range: 501-850; mean: 674)</w:t>
            </w:r>
          </w:p>
        </w:tc>
      </w:tr>
      <w:tr>
        <w:trPr/>
        <w:tc>
          <w:p w14:paraId="0010005A" w14:textId="0010005B">
            <w:r>
              <w:t xml:space="preserve">Employment_Years</w:t>
            </w:r>
          </w:p>
        </w:tc>
        <w:tc>
          <w:p w14:paraId="0010005C" w14:textId="0010005D">
            <w:r>
              <w:t xml:space="preserve">Integer</w:t>
            </w:r>
          </w:p>
        </w:tc>
        <w:tc>
          <w:p w14:paraId="0010005E" w14:textId="0010005F">
            <w:r>
              <w:t xml:space="preserve">Years of continuous employment (range: 0-20)</w:t>
            </w:r>
          </w:p>
        </w:tc>
      </w:tr>
      <w:tr>
        <w:trPr/>
        <w:tc>
          <w:p w14:paraId="00100060" w14:textId="00100061">
            <w:r>
              <w:t xml:space="preserve">Existing_Debt</w:t>
            </w:r>
          </w:p>
        </w:tc>
        <w:tc>
          <w:p w14:paraId="00100062" w14:textId="00100063">
            <w:r>
              <w:t xml:space="preserve">Float</w:t>
            </w:r>
          </w:p>
        </w:tc>
        <w:tc>
          <w:p w14:paraId="00100064" w14:textId="00100065">
            <w:r>
              <w:t xml:space="preserve">Current outstanding debt in USD (range: $138 - $498,500)</w:t>
            </w:r>
          </w:p>
        </w:tc>
      </w:tr>
      <w:tr>
        <w:trPr/>
        <w:tc>
          <w:p w14:paraId="00100066" w14:textId="00100067">
            <w:r>
              <w:t xml:space="preserve">Dependents</w:t>
            </w:r>
          </w:p>
        </w:tc>
        <w:tc>
          <w:p w14:paraId="00100068" w14:textId="00100069">
            <w:r>
              <w:t xml:space="preserve">Integer</w:t>
            </w:r>
          </w:p>
        </w:tc>
        <w:tc>
          <w:p w14:paraId="0010006A" w14:textId="0010006B">
            <w:r>
              <w:t xml:space="preserve">Number of financial dependents (range: 0-4)</w:t>
            </w:r>
          </w:p>
        </w:tc>
      </w:tr>
      <w:tr>
        <w:trPr/>
        <w:tc>
          <w:p w14:paraId="0010006C" w14:textId="0010006D">
            <w:r>
              <w:t xml:space="preserve">Education</w:t>
            </w:r>
          </w:p>
        </w:tc>
        <w:tc>
          <w:p w14:paraId="0010006E" w14:textId="0010006F">
            <w:r>
              <w:t xml:space="preserve">Categorical</w:t>
            </w:r>
          </w:p>
        </w:tc>
        <w:tc>
          <w:p w14:paraId="00100070" w14:textId="00100071">
            <w:r>
              <w:t xml:space="preserve">Graduate (69.6%) / Not Graduate (30.4%)</w:t>
            </w:r>
          </w:p>
        </w:tc>
      </w:tr>
      <w:tr>
        <w:trPr/>
        <w:tc>
          <w:p w14:paraId="00100072" w14:textId="00100073">
            <w:r>
              <w:t xml:space="preserve">Self_Employed</w:t>
            </w:r>
          </w:p>
        </w:tc>
        <w:tc>
          <w:p w14:paraId="00100074" w14:textId="00100075">
            <w:r>
              <w:t xml:space="preserve">Categorical</w:t>
            </w:r>
          </w:p>
        </w:tc>
        <w:tc>
          <w:p w14:paraId="00100076" w14:textId="00100077">
            <w:r>
              <w:t xml:space="preserve">No (81.2%) / Yes (18.8%)</w:t>
            </w:r>
          </w:p>
        </w:tc>
      </w:tr>
      <w:tr>
        <w:trPr/>
        <w:tc>
          <w:p w14:paraId="00100078" w14:textId="00100079">
            <w:r>
              <w:t xml:space="preserve">Property_Area</w:t>
            </w:r>
          </w:p>
        </w:tc>
        <w:tc>
          <w:p w14:paraId="0010007A" w14:textId="0010007B">
            <w:r>
              <w:t xml:space="preserve">Categorical</w:t>
            </w:r>
          </w:p>
        </w:tc>
        <w:tc>
          <w:p w14:paraId="0010007C" w14:textId="0010007D">
            <w:r>
              <w:t xml:space="preserve">Urban (44.6%) / Semiurban (31.0%) / Rural (24.4%)</w:t>
            </w:r>
          </w:p>
        </w:tc>
      </w:tr>
      <w:tr>
        <w:trPr/>
        <w:tc>
          <w:p w14:paraId="0010007E" w14:textId="0010007F">
            <w:r>
              <w:t xml:space="preserve">High_LTI_Flag</w:t>
            </w:r>
          </w:p>
        </w:tc>
        <w:tc>
          <w:p w14:paraId="00100080" w14:textId="00100081">
            <w:r>
              <w:t xml:space="preserve">Integer (derived)</w:t>
            </w:r>
          </w:p>
        </w:tc>
        <w:tc>
          <w:p w14:paraId="00100082" w14:textId="00100083">
            <w:r>
              <w:t xml:space="preserve">1 if Loan-to-Income ratio &gt; 33.11x (14 records flagged)</w:t>
            </w:r>
          </w:p>
        </w:tc>
      </w:tr>
      <w:tr>
        <w:trPr/>
        <w:tc>
          <w:p w14:paraId="00100084" w14:textId="00100085">
            <w:r>
              <w:t xml:space="preserve">Loan_Status</w:t>
            </w:r>
          </w:p>
        </w:tc>
        <w:tc>
          <w:p w14:paraId="00100086" w14:textId="00100087">
            <w:r>
              <w:t xml:space="preserve">Categorical (Target)</w:t>
            </w:r>
          </w:p>
        </w:tc>
        <w:tc>
          <w:p w14:paraId="00100088" w14:textId="00100089">
            <w:r>
              <w:t xml:space="preserve">Approved (26%) / Rejected (74%)</w:t>
            </w:r>
          </w:p>
        </w:tc>
      </w:tr>
    </w:tbl>
    <w:p w14:paraId="0010008A" w14:textId="0010008B">
      <w:pPr>
        <w:pStyle w:val="Normal"/>
        <w:spacing w:after="320"/>
        <w:jc w:val="center"/>
      </w:pPr>
      <w:r>
        <w:rPr>
          <w:color w:val="57606A"/>
          <w:sz w:val="18"/>
        </w:rPr>
        <w:t xml:space="preserve">Table 1: Dataset Feature Reference</w:t>
      </w:r>
    </w:p>
    <w:p w14:paraId="0010008C" w14:textId="0010008D">
      <w:pPr>
        <w:pStyle w:val="Heading1"/>
        <w:spacing w:before="200" w:after="160"/>
      </w:pPr>
      <w:r>
        <w:rPr>
          <w:b/>
          <w:color w:val="1E3A5F"/>
          <w:sz w:val="32"/>
        </w:rPr>
        <w:t xml:space="preserve">4. Data Cleaning &amp; Preprocessing</w:t>
      </w:r>
    </w:p>
    <w:p w14:paraId="0010008E" w14:textId="0010008F">
      <w:pPr>
        <w:pStyle w:val="Normal"/>
        <w:spacing w:after="120"/>
      </w:pPr>
      <w:r>
        <w:rPr>
          <w:sz w:val="22"/>
        </w:rPr>
        <w:t xml:space="preserve">The raw dataset was rigorously cleaned prior to model training. The following steps were applied in sequence:</w:t>
      </w:r>
    </w:p>
    <w:p w14:paraId="00100090" w14:textId="00100091">
      <w:pPr>
        <w:pStyle w:val="Normal"/>
        <w:spacing w:after="80"/>
      </w:pPr>
      <w:r>
        <w:rPr>
          <w:sz w:val="22"/>
        </w:rPr>
        <w:t xml:space="preserve">Step 1 — Whitespace Normalisation: All cells were stripped of leading and trailing whitespace to eliminate invisible characters that can corrupt downstream processing.</w:t>
      </w:r>
    </w:p>
    <w:p w14:paraId="00100092" w14:textId="00100093">
      <w:pPr>
        <w:pStyle w:val="Normal"/>
        <w:spacing w:after="80"/>
      </w:pPr>
      <w:r>
        <w:rPr>
          <w:sz w:val="22"/>
        </w:rPr>
        <w:t xml:space="preserve">Step 2 — Categorical Standardisation: Columns Education, Self_Employed, Property_Area, and Loan_Status were normalised to consistent casing (e.g., 'graduate' -&gt; 'Graduate').</w:t>
      </w:r>
    </w:p>
    <w:p w14:paraId="00100094" w14:textId="00100095">
      <w:pPr>
        <w:pStyle w:val="Normal"/>
        <w:spacing w:after="80"/>
      </w:pPr>
      <w:r>
        <w:rPr>
          <w:sz w:val="22"/>
        </w:rPr>
        <w:t xml:space="preserve">Step 3 — Duplicate Removal: Row-level exact deduplication was performed. Result: 0 duplicate records removed.</w:t>
      </w:r>
    </w:p>
    <w:p w14:paraId="00100096" w14:textId="00100097">
      <w:pPr>
        <w:pStyle w:val="Normal"/>
        <w:spacing w:after="80"/>
      </w:pPr>
      <w:r>
        <w:rPr>
          <w:sz w:val="22"/>
        </w:rPr>
        <w:t xml:space="preserve">Step 4 — Missing Value Handling: Rows with any empty or null-equivalent cell were dropped. Result: 0 rows removed (dataset was complete).</w:t>
      </w:r>
    </w:p>
    <w:p w14:paraId="00100098" w14:textId="00100099">
      <w:pPr>
        <w:pStyle w:val="Normal"/>
        <w:spacing w:after="80"/>
      </w:pPr>
      <w:r>
        <w:rPr>
          <w:sz w:val="22"/>
        </w:rPr>
        <w:t xml:space="preserve">Step 5 — Type Casting: Integer columns (Age, Loan_Term_Months, Dependents, Employment_Years) and float columns (Annual_Income, Loan_Amount, Credit_Score, Existing_Debt) were cast to their correct Python types.</w:t>
      </w:r>
    </w:p>
    <w:p w14:paraId="0010009A" w14:textId="0010009B">
      <w:pPr>
        <w:pStyle w:val="Normal"/>
        <w:spacing w:after="80"/>
      </w:pPr>
      <w:r>
        <w:rPr>
          <w:sz w:val="22"/>
        </w:rPr>
        <w:t xml:space="preserve">Step 6 — Domain Validation: Each numeric column was checked against defined valid ranges (e.g., Age: 18-100, Credit_Score: 300-850). Result: 0 out-of-range values detected.</w:t>
      </w:r>
    </w:p>
    <w:p w14:paraId="0010009C" w14:textId="0010009D">
      <w:pPr>
        <w:pStyle w:val="Normal"/>
        <w:spacing w:after="200"/>
      </w:pPr>
      <w:r>
        <w:rPr>
          <w:sz w:val="22"/>
        </w:rPr>
        <w:t xml:space="preserve">Step 7 — Outlier Flagging (High_LTI_Flag): A derived binary flag was added for records where the Loan-to-Income ratio exceeded mean + 3 standard deviations (threshold = 33.11x). This flagged 14 records without removing them, preserving data for the model while enabling sensitivity analysis.</w:t>
      </w:r>
    </w:p>
    <w:p w14:paraId="0010009E" w14:textId="0010009F">
      <w:pPr>
        <w:pStyle w:val="Normal"/>
        <w:spacing w:after="320"/>
      </w:pPr>
      <w:r>
        <w:rPr>
          <w:b/>
          <w:sz w:val="22"/>
        </w:rPr>
        <w:t xml:space="preserve">Final result: 500 rows retained, 0 rows dropped, 14 rows flagged. The cleaned file was saved as loan_approval_prediction_cleaned.csv.</w:t>
      </w:r>
    </w:p>
    <w:p w14:paraId="001000A0" w14:textId="001000A1">
      <w:pPr>
        <w:pStyle w:val="Heading1"/>
        <w:spacing w:before="200" w:after="160"/>
      </w:pPr>
      <w:r>
        <w:rPr>
          <w:b/>
          <w:color w:val="1E3A5F"/>
          <w:sz w:val="32"/>
        </w:rPr>
        <w:t xml:space="preserve">5. Exploratory Data Analysis</w:t>
      </w:r>
    </w:p>
    <w:p w14:paraId="001000A2" w14:textId="001000A3">
      <w:pPr>
        <w:pStyle w:val="Heading2"/>
        <w:spacing w:before="120" w:after="120"/>
      </w:pPr>
      <w:r>
        <w:rPr>
          <w:b/>
          <w:color w:val="2E86DE"/>
          <w:sz w:val="26"/>
        </w:rPr>
        <w:t xml:space="preserve">5.1 Approval Rate by Property Area</w:t>
      </w:r>
    </w:p>
    <w:p w14:paraId="001000A4" w14:textId="001000A5">
      <w:pPr>
        <w:pStyle w:val="Normal"/>
        <w:spacing w:after="160"/>
      </w:pPr>
      <w:r>
        <w:rPr>
          <w:sz w:val="22"/>
        </w:rPr>
        <w:t xml:space="preserve">Applicants from Rural areas have the highest approval rate at approximately 28%, while Urban applicants have the lowest at around 24%. However, the differences are modest, suggesting property area alone is not a dominant predictor.</w:t>
      </w:r>
    </w:p>
    <w:p w14:paraId="001000A6" w14:textId="001000A7">
      <w:pPr>
        <w:spacing w:line="240" w:lineRule="auto"/>
      </w:pPr>
      <w:r>
        <w:drawing>
          <wp:inline distT="0" distB="0" distL="0" distR="0">
            <wp:extent cx="3960000" cy="2880000"/>
            <wp:effectExtent l="0" t="0" r="0" b="0"/>
            <wp:docPr id="2" name="chart2_area_approval.png" descr=""/>
            <wp:cNvGraphicFramePr>
              <a:graphicFrameLocks noChangeAspect="1"/>
            </wp:cNvGraphicFramePr>
            <a:graphic>
              <a:graphicData uri="http://schemas.openxmlformats.org/drawingml/2006/picture">
                <pic:pic>
                  <pic:nvPicPr>
                    <pic:cNvPr id="2" name="chart2_area_approval.png"/>
                    <pic:cNvPicPr/>
                  </pic:nvPicPr>
                  <pic:blipFill>
                    <a:blip r:embed="R8931df86d2a04bd0" cstate="print"/>
                    <a:stretch>
                      <a:fillRect/>
                    </a:stretch>
                  </pic:blipFill>
                  <pic:spPr>
                    <a:xfrm>
                      <a:off x="0" y="0"/>
                      <a:ext cx="3960000" cy="2880000"/>
                    </a:xfrm>
                    <a:prstGeom prst="rect">
                      <a:avLst/>
                    </a:prstGeom>
                  </pic:spPr>
                </pic:pic>
              </a:graphicData>
            </a:graphic>
          </wp:inline>
        </w:drawing>
      </w:r>
    </w:p>
    <w:p w14:paraId="001000A8" w14:textId="001000A9">
      <w:pPr>
        <w:pStyle w:val="Normal"/>
        <w:spacing w:after="240"/>
        <w:jc w:val="center"/>
      </w:pPr>
      <w:r>
        <w:rPr>
          <w:color w:val="57606A"/>
          <w:sz w:val="18"/>
        </w:rPr>
        <w:t xml:space="preserve">Figure 2: Approval Rate by Property Area</w:t>
      </w:r>
    </w:p>
    <w:p w14:paraId="001000AA" w14:textId="001000AB">
      <w:pPr>
        <w:pStyle w:val="Heading2"/>
        <w:spacing w:before="120" w:after="120"/>
      </w:pPr>
      <w:r>
        <w:rPr>
          <w:b/>
          <w:color w:val="2E86DE"/>
          <w:sz w:val="26"/>
        </w:rPr>
        <w:t xml:space="preserve">5.2 Feature Distributions by Loan Status</w:t>
      </w:r>
    </w:p>
    <w:p w14:paraId="001000AC" w14:textId="001000AD">
      <w:pPr>
        <w:pStyle w:val="Normal"/>
        <w:spacing w:after="160"/>
      </w:pPr>
      <w:r>
        <w:rPr>
          <w:sz w:val="22"/>
        </w:rPr>
        <w:t xml:space="preserve">Overlaid histograms comparing approved and rejected applicants reveal key separation patterns. Approved applicants tend to have higher credit scores, higher incomes, and lower loan amounts relative to income. Employment years show a slight positive trend for approvals.</w:t>
      </w:r>
    </w:p>
    <w:p w14:paraId="001000AE" w14:textId="001000AF">
      <w:pPr>
        <w:spacing w:line="240" w:lineRule="auto"/>
      </w:pPr>
      <w:r>
        <w:drawing>
          <wp:inline distT="0" distB="0" distL="0" distR="0">
            <wp:extent cx="5400000" cy="2340000"/>
            <wp:effectExtent l="0" t="0" r="0" b="0"/>
            <wp:docPr id="3" name="chart3_distributions.png" descr=""/>
            <wp:cNvGraphicFramePr>
              <a:graphicFrameLocks noChangeAspect="1"/>
            </wp:cNvGraphicFramePr>
            <a:graphic>
              <a:graphicData uri="http://schemas.openxmlformats.org/drawingml/2006/picture">
                <pic:pic>
                  <pic:nvPicPr>
                    <pic:cNvPr id="3" name="chart3_distributions.png"/>
                    <pic:cNvPicPr/>
                  </pic:nvPicPr>
                  <pic:blipFill>
                    <a:blip r:embed="Rd823e2c7f78c4228" cstate="print"/>
                    <a:stretch>
                      <a:fillRect/>
                    </a:stretch>
                  </pic:blipFill>
                  <pic:spPr>
                    <a:xfrm>
                      <a:off x="0" y="0"/>
                      <a:ext cx="5400000" cy="2340000"/>
                    </a:xfrm>
                    <a:prstGeom prst="rect">
                      <a:avLst/>
                    </a:prstGeom>
                  </pic:spPr>
                </pic:pic>
              </a:graphicData>
            </a:graphic>
          </wp:inline>
        </w:drawing>
      </w:r>
    </w:p>
    <w:p w14:paraId="001000B0" w14:textId="001000B1">
      <w:pPr>
        <w:pStyle w:val="Normal"/>
        <w:spacing w:after="240"/>
        <w:jc w:val="center"/>
      </w:pPr>
      <w:r>
        <w:rPr>
          <w:color w:val="57606A"/>
          <w:sz w:val="18"/>
        </w:rPr>
        <w:t xml:space="preserve">Figure 3: Feature Distributions — Approved (blue) vs Rejected (red)</w:t>
      </w:r>
    </w:p>
    <w:p w14:paraId="001000B2" w14:textId="001000B3">
      <w:pPr>
        <w:pStyle w:val="Heading2"/>
        <w:spacing w:before="120" w:after="120"/>
      </w:pPr>
      <w:r>
        <w:rPr>
          <w:b/>
          <w:color w:val="2E86DE"/>
          <w:sz w:val="26"/>
        </w:rPr>
        <w:t xml:space="preserve">5.3 Correlation Analysis</w:t>
      </w:r>
    </w:p>
    <w:p w14:paraId="001000B4" w14:textId="001000B5">
      <w:pPr>
        <w:pStyle w:val="Normal"/>
        <w:spacing w:after="160"/>
      </w:pPr>
      <w:r>
        <w:rPr>
          <w:sz w:val="22"/>
        </w:rPr>
        <w:t xml:space="preserve">The correlation heatmap below shows pairwise Pearson correlations between all numeric features. Notable observations: Credit Score has the strongest positive correlation with approval (r = 0.25). Annual Income shows moderate positive correlation. Loan Amount is weakly negatively correlated with approval. High_LTI_Flag is negatively correlated with approval as expected.</w:t>
      </w:r>
    </w:p>
    <w:p w14:paraId="001000B6" w14:textId="001000B7">
      <w:pPr>
        <w:spacing w:line="240" w:lineRule="auto"/>
      </w:pPr>
      <w:r>
        <w:drawing>
          <wp:inline distT="0" distB="0" distL="0" distR="0">
            <wp:extent cx="4680000" cy="3600000"/>
            <wp:effectExtent l="0" t="0" r="0" b="0"/>
            <wp:docPr id="4" name="chart4_correlation.png" descr=""/>
            <wp:cNvGraphicFramePr>
              <a:graphicFrameLocks noChangeAspect="1"/>
            </wp:cNvGraphicFramePr>
            <a:graphic>
              <a:graphicData uri="http://schemas.openxmlformats.org/drawingml/2006/picture">
                <pic:pic>
                  <pic:nvPicPr>
                    <pic:cNvPr id="4" name="chart4_correlation.png"/>
                    <pic:cNvPicPr/>
                  </pic:nvPicPr>
                  <pic:blipFill>
                    <a:blip r:embed="R94f023472d814cf3" cstate="print"/>
                    <a:stretch>
                      <a:fillRect/>
                    </a:stretch>
                  </pic:blipFill>
                  <pic:spPr>
                    <a:xfrm>
                      <a:off x="0" y="0"/>
                      <a:ext cx="4680000" cy="3600000"/>
                    </a:xfrm>
                    <a:prstGeom prst="rect">
                      <a:avLst/>
                    </a:prstGeom>
                  </pic:spPr>
                </pic:pic>
              </a:graphicData>
            </a:graphic>
          </wp:inline>
        </w:drawing>
      </w:r>
    </w:p>
    <w:p w14:paraId="001000B8" w14:textId="001000B9">
      <w:pPr>
        <w:pStyle w:val="Normal"/>
        <w:spacing w:after="240"/>
        <w:jc w:val="center"/>
      </w:pPr>
      <w:r>
        <w:rPr>
          <w:color w:val="57606A"/>
          <w:sz w:val="18"/>
        </w:rPr>
        <w:t xml:space="preserve">Figure 4: Pearson Correlation Heatmap (lower triangle)</w:t>
      </w:r>
    </w:p>
    <w:p w14:paraId="001000BA" w14:textId="001000BB">
      <w:pPr>
        <w:pStyle w:val="Heading2"/>
        <w:spacing w:before="120" w:after="120"/>
      </w:pPr>
      <w:r>
        <w:rPr>
          <w:b/>
          <w:color w:val="2E86DE"/>
          <w:sz w:val="26"/>
        </w:rPr>
        <w:t xml:space="preserve">5.4 Credit Score Analysis</w:t>
      </w:r>
    </w:p>
    <w:p w14:paraId="001000BC" w14:textId="001000BD">
      <w:pPr>
        <w:pStyle w:val="Normal"/>
        <w:spacing w:after="160"/>
      </w:pPr>
      <w:r>
        <w:rPr>
          <w:sz w:val="22"/>
        </w:rPr>
        <w:t xml:space="preserve">The box plot below confirms Credit Score as the strongest single discriminator. Approved applicants have a median credit score of approximately 760, compared to approximately 645 for rejected applicants — a difference of over 115 points. The interquartile ranges show minimal overlap, indicating strong discriminatory power.</w:t>
      </w:r>
    </w:p>
    <w:p w14:paraId="001000BE" w14:textId="001000BF">
      <w:pPr>
        <w:spacing w:line="240" w:lineRule="auto"/>
      </w:pPr>
      <w:r>
        <w:drawing>
          <wp:inline distT="0" distB="0" distL="0" distR="0">
            <wp:extent cx="3960000" cy="2880000"/>
            <wp:effectExtent l="0" t="0" r="0" b="0"/>
            <wp:docPr id="5" name="chart5_credit_score_box.png" descr=""/>
            <wp:cNvGraphicFramePr>
              <a:graphicFrameLocks noChangeAspect="1"/>
            </wp:cNvGraphicFramePr>
            <a:graphic>
              <a:graphicData uri="http://schemas.openxmlformats.org/drawingml/2006/picture">
                <pic:pic>
                  <pic:nvPicPr>
                    <pic:cNvPr id="5" name="chart5_credit_score_box.png"/>
                    <pic:cNvPicPr/>
                  </pic:nvPicPr>
                  <pic:blipFill>
                    <a:blip r:embed="R35755a1ad70849fc" cstate="print"/>
                    <a:stretch>
                      <a:fillRect/>
                    </a:stretch>
                  </pic:blipFill>
                  <pic:spPr>
                    <a:xfrm>
                      <a:off x="0" y="0"/>
                      <a:ext cx="3960000" cy="2880000"/>
                    </a:xfrm>
                    <a:prstGeom prst="rect">
                      <a:avLst/>
                    </a:prstGeom>
                  </pic:spPr>
                </pic:pic>
              </a:graphicData>
            </a:graphic>
          </wp:inline>
        </w:drawing>
      </w:r>
    </w:p>
    <w:p w14:paraId="001000C0" w14:textId="001000C1">
      <w:pPr>
        <w:pStyle w:val="Normal"/>
        <w:spacing w:after="240"/>
        <w:jc w:val="center"/>
      </w:pPr>
      <w:r>
        <w:rPr>
          <w:color w:val="57606A"/>
          <w:sz w:val="18"/>
        </w:rPr>
        <w:t xml:space="preserve">Figure 5: Credit Score Box Plot — Approved vs Rejected</w:t>
      </w:r>
    </w:p>
    <w:p w14:paraId="001000C2" w14:textId="001000C3">
      <w:pPr>
        <w:pStyle w:val="Heading2"/>
        <w:spacing w:before="120" w:after="120"/>
      </w:pPr>
      <w:r>
        <w:rPr>
          <w:b/>
          <w:color w:val="2E86DE"/>
          <w:sz w:val="26"/>
        </w:rPr>
        <w:t xml:space="preserve">5.5 Categorical Feature Analysis</w:t>
      </w:r>
    </w:p>
    <w:p w14:paraId="001000C4" w14:textId="001000C5">
      <w:pPr>
        <w:pStyle w:val="Normal"/>
        <w:spacing w:after="160"/>
      </w:pPr>
      <w:r>
        <w:rPr>
          <w:sz w:val="22"/>
        </w:rPr>
        <w:t xml:space="preserve">The stacked bar charts below decompose approval rates across Education, Self-Employment status, and Property Area. Graduate applicants show a marginally higher approval rate. Self-employed applicants and non-self-employed applicants show similar overall approval rates. Rural areas slightly outperform urban counterparts in approval likelihood.</w:t>
      </w:r>
    </w:p>
    <w:p w14:paraId="001000C6" w14:textId="001000C7">
      <w:pPr>
        <w:spacing w:line="240" w:lineRule="auto"/>
      </w:pPr>
      <w:r>
        <w:drawing>
          <wp:inline distT="0" distB="0" distL="0" distR="0">
            <wp:extent cx="5400000" cy="1980000"/>
            <wp:effectExtent l="0" t="0" r="0" b="0"/>
            <wp:docPr id="6" name="chart6_categorical.png" descr=""/>
            <wp:cNvGraphicFramePr>
              <a:graphicFrameLocks noChangeAspect="1"/>
            </wp:cNvGraphicFramePr>
            <a:graphic>
              <a:graphicData uri="http://schemas.openxmlformats.org/drawingml/2006/picture">
                <pic:pic>
                  <pic:nvPicPr>
                    <pic:cNvPr id="6" name="chart6_categorical.png"/>
                    <pic:cNvPicPr/>
                  </pic:nvPicPr>
                  <pic:blipFill>
                    <a:blip r:embed="R230dc541d45a45d4" cstate="print"/>
                    <a:stretch>
                      <a:fillRect/>
                    </a:stretch>
                  </pic:blipFill>
                  <pic:spPr>
                    <a:xfrm>
                      <a:off x="0" y="0"/>
                      <a:ext cx="5400000" cy="1980000"/>
                    </a:xfrm>
                    <a:prstGeom prst="rect">
                      <a:avLst/>
                    </a:prstGeom>
                  </pic:spPr>
                </pic:pic>
              </a:graphicData>
            </a:graphic>
          </wp:inline>
        </w:drawing>
      </w:r>
    </w:p>
    <w:p w14:paraId="001000C8" w14:textId="001000C9">
      <w:pPr>
        <w:pStyle w:val="Normal"/>
        <w:spacing w:after="320"/>
        <w:jc w:val="center"/>
      </w:pPr>
      <w:r>
        <w:rPr>
          <w:color w:val="57606A"/>
          <w:sz w:val="18"/>
        </w:rPr>
        <w:t xml:space="preserve">Figure 6: Approval Rate by Categorical Feature (stacked %)</w:t>
      </w:r>
    </w:p>
    <w:p w14:paraId="001000CA" w14:textId="001000CB">
      <w:pPr>
        <w:pStyle w:val="Heading1"/>
        <w:spacing w:before="200" w:after="160"/>
      </w:pPr>
      <w:r>
        <w:rPr>
          <w:b/>
          <w:color w:val="1E3A5F"/>
          <w:sz w:val="32"/>
        </w:rPr>
        <w:t xml:space="preserve">6. Machine Learning Models</w:t>
      </w:r>
    </w:p>
    <w:p w14:paraId="001000CC" w14:textId="001000CD">
      <w:pPr>
        <w:pStyle w:val="Normal"/>
        <w:spacing w:after="160"/>
      </w:pPr>
      <w:r>
        <w:rPr>
          <w:sz w:val="22"/>
        </w:rPr>
        <w:t xml:space="preserve">Three supervised binary classification models were trained and evaluated. All models target Loan_Status (Approved = 1, Rejected = 0). The dataset was split 80/20 (train/test) with stratification on the target to preserve the class imbalance ratio in both sets.</w:t>
      </w:r>
    </w:p>
    <w:p w14:paraId="001000CE" w14:textId="001000CF">
      <w:pPr>
        <w:pStyle w:val="Heading2"/>
        <w:spacing w:before="120" w:after="100"/>
      </w:pPr>
      <w:r>
        <w:rPr>
          <w:b/>
          <w:color w:val="2E86DE"/>
          <w:sz w:val="26"/>
        </w:rPr>
        <w:t xml:space="preserve">6.1 Random Forest Classifier</w:t>
      </w:r>
    </w:p>
    <w:p w14:paraId="001000D0" w14:textId="001000D1">
      <w:pPr>
        <w:pStyle w:val="Normal"/>
        <w:spacing w:after="160"/>
      </w:pPr>
      <w:r>
        <w:rPr>
          <w:sz w:val="22"/>
        </w:rPr>
        <w:t xml:space="preserve">Configuration: 200 estimators, max_depth=8, min_samples_leaf=5, class_weight='balanced', random_state=42. The balanced class weight compensates for the 74:26 imbalance by upweighting minority class (Approved) samples during training. This is the best-performing model with ROC-AUC = 0.9444.</w:t>
      </w:r>
    </w:p>
    <w:p w14:paraId="001000D2" w14:textId="001000D3">
      <w:pPr>
        <w:pStyle w:val="Heading2"/>
        <w:spacing w:before="120" w:after="100"/>
      </w:pPr>
      <w:r>
        <w:rPr>
          <w:b/>
          <w:color w:val="2E86DE"/>
          <w:sz w:val="26"/>
        </w:rPr>
        <w:t xml:space="preserve">6.2 Gradient Boosting Classifier</w:t>
      </w:r>
    </w:p>
    <w:p w14:paraId="001000D4" w14:textId="001000D5">
      <w:pPr>
        <w:pStyle w:val="Normal"/>
        <w:spacing w:after="160"/>
      </w:pPr>
      <w:r>
        <w:rPr>
          <w:sz w:val="22"/>
        </w:rPr>
        <w:t xml:space="preserve">Configuration: 150 estimators, learning_rate=0.05, max_depth=4, random_state=42. The shallow tree depth and low learning rate reduce overfitting. This model achieves the highest raw accuracy at 86.0% but has a lower ROC-AUC than Random Forest.</w:t>
      </w:r>
    </w:p>
    <w:p w14:paraId="001000D6" w14:textId="001000D7">
      <w:pPr>
        <w:pStyle w:val="Heading2"/>
        <w:spacing w:before="120" w:after="100"/>
      </w:pPr>
      <w:r>
        <w:rPr>
          <w:b/>
          <w:color w:val="2E86DE"/>
          <w:sz w:val="26"/>
        </w:rPr>
        <w:t xml:space="preserve">6.3 Logistic Regression</w:t>
      </w:r>
    </w:p>
    <w:p w14:paraId="001000D8" w14:textId="001000D9">
      <w:pPr>
        <w:pStyle w:val="Normal"/>
        <w:spacing w:after="160"/>
      </w:pPr>
      <w:r>
        <w:rPr>
          <w:sz w:val="22"/>
        </w:rPr>
        <w:t xml:space="preserve">Configuration: StandardScaler preprocessing + LogisticRegression (max_iter=1000, class_weight='balanced'), wrapped in a scikit-learn Pipeline. This serves as the interpretable linear baseline. Achieves 82.0% accuracy and ROC-AUC of 0.9246.</w:t>
      </w:r>
    </w:p>
    <w:p w14:paraId="001000DA" w14:textId="001000DB">
      <w:pPr>
        <w:pStyle w:val="Heading2"/>
        <w:spacing w:before="120" w:after="100"/>
      </w:pPr>
      <w:r>
        <w:rPr>
          <w:b/>
          <w:color w:val="2E86DE"/>
          <w:sz w:val="26"/>
        </w:rPr>
        <w:t xml:space="preserve">6.4 Cross-Validation</w:t>
      </w:r>
    </w:p>
    <w:p w14:paraId="001000DC" w14:textId="001000DD">
      <w:pPr>
        <w:pStyle w:val="Normal"/>
        <w:spacing w:after="320"/>
      </w:pPr>
      <w:r>
        <w:rPr>
          <w:sz w:val="22"/>
        </w:rPr>
        <w:t xml:space="preserve">All models were evaluated using 5-fold stratified cross-validation with ROC-AUC scoring to provide robust generalisation estimates. The Random Forest achieved mean CV AUC = 0.9444 with low variance, confirming stable performance across folds.</w:t>
      </w:r>
    </w:p>
    <w:p w14:paraId="001000DE" w14:textId="001000DF">
      <w:pPr>
        <w:pStyle w:val="Heading1"/>
        <w:spacing w:before="200" w:after="160"/>
      </w:pPr>
      <w:r>
        <w:rPr>
          <w:b/>
          <w:color w:val="1E3A5F"/>
          <w:sz w:val="32"/>
        </w:rPr>
        <w:t xml:space="preserve">7. Model Evaluation &amp; Results</w:t>
      </w:r>
    </w:p>
    <w:p w14:paraId="001000E0" w14:textId="001000E1">
      <w:pPr>
        <w:pStyle w:val="Heading2"/>
        <w:spacing w:before="120" w:after="120"/>
      </w:pPr>
      <w:r>
        <w:rPr>
          <w:b/>
          <w:color w:val="2E86DE"/>
          <w:sz w:val="26"/>
        </w:rPr>
        <w:t xml:space="preserve">7.1 Performance Summary</w:t>
      </w:r>
    </w:p>
    <w:p w14:paraId="001000E2" w14:textId="001000E3">
      <w:pPr>
        <w:pStyle w:val="Normal"/>
        <w:spacing w:after="160"/>
      </w:pPr>
      <w:r>
        <w:rPr>
          <w:sz w:val="22"/>
        </w:rPr>
        <w:t xml:space="preserve">The table below compares all three models across Accuracy, ROC-AUC, and Average Precision on the 20% held-out test set (100 samples).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E4" w14:textId="001000E5">
            <w:r>
              <w:t xml:space="preserve">Model</w:t>
            </w:r>
          </w:p>
        </w:tc>
        <w:tc>
          <w:p w14:paraId="001000E6" w14:textId="001000E7">
            <w:r>
              <w:t xml:space="preserve">Accuracy</w:t>
            </w:r>
          </w:p>
        </w:tc>
        <w:tc>
          <w:p w14:paraId="001000E8" w14:textId="001000E9">
            <w:r>
              <w:t xml:space="preserve">ROC-AUC</w:t>
            </w:r>
          </w:p>
        </w:tc>
        <w:tc>
          <w:p w14:paraId="001000EA" w14:textId="001000EB">
            <w:r>
              <w:t xml:space="preserve">Avg Precision</w:t>
            </w:r>
          </w:p>
        </w:tc>
      </w:tr>
      <w:tr>
        <w:trPr/>
        <w:tc>
          <w:p w14:paraId="001000EC" w14:textId="001000ED">
            <w:r>
              <w:t xml:space="preserve">Random Forest (Best)</w:t>
            </w:r>
          </w:p>
        </w:tc>
        <w:tc>
          <w:p w14:paraId="001000EE" w14:textId="001000EF">
            <w:r>
              <w:t xml:space="preserve">85.0%</w:t>
            </w:r>
          </w:p>
        </w:tc>
        <w:tc>
          <w:p w14:paraId="001000F0" w14:textId="001000F1">
            <w:r>
              <w:t xml:space="preserve">0.9444</w:t>
            </w:r>
          </w:p>
        </w:tc>
        <w:tc>
          <w:p w14:paraId="001000F2" w14:textId="001000F3">
            <w:r>
              <w:t xml:space="preserve">0.8735</w:t>
            </w:r>
          </w:p>
        </w:tc>
      </w:tr>
      <w:tr>
        <w:trPr/>
        <w:tc>
          <w:p w14:paraId="001000F4" w14:textId="001000F5">
            <w:r>
              <w:t xml:space="preserve">Gradient Boosting</w:t>
            </w:r>
          </w:p>
        </w:tc>
        <w:tc>
          <w:p w14:paraId="001000F6" w14:textId="001000F7">
            <w:r>
              <w:t xml:space="preserve">86.0%</w:t>
            </w:r>
          </w:p>
        </w:tc>
        <w:tc>
          <w:p w14:paraId="001000F8" w14:textId="001000F9">
            <w:r>
              <w:t xml:space="preserve">0.9106</w:t>
            </w:r>
          </w:p>
        </w:tc>
        <w:tc>
          <w:p w14:paraId="001000FA" w14:textId="001000FB">
            <w:r>
              <w:t xml:space="preserve">0.8130</w:t>
            </w:r>
          </w:p>
        </w:tc>
      </w:tr>
      <w:tr>
        <w:trPr/>
        <w:tc>
          <w:p w14:paraId="001000FC" w14:textId="001000FD">
            <w:r>
              <w:t xml:space="preserve">Logistic Regression</w:t>
            </w:r>
          </w:p>
        </w:tc>
        <w:tc>
          <w:p w14:paraId="001000FE" w14:textId="001000FF">
            <w:r>
              <w:t xml:space="preserve">82.0%</w:t>
            </w:r>
          </w:p>
        </w:tc>
        <w:tc>
          <w:p w14:paraId="00100100" w14:textId="00100101">
            <w:r>
              <w:t xml:space="preserve">0.9246</w:t>
            </w:r>
          </w:p>
        </w:tc>
        <w:tc>
          <w:p w14:paraId="00100102" w14:textId="00100103">
            <w:r>
              <w:t xml:space="preserve">0.8411</w:t>
            </w:r>
          </w:p>
        </w:tc>
      </w:tr>
    </w:tbl>
    <w:p w14:paraId="00100104" w14:textId="00100105">
      <w:pPr>
        <w:pStyle w:val="Normal"/>
        <w:spacing w:after="240"/>
        <w:jc w:val="center"/>
      </w:pPr>
      <w:r>
        <w:rPr>
          <w:color w:val="57606A"/>
          <w:sz w:val="18"/>
        </w:rPr>
        <w:t xml:space="preserve">Table 2: Model Performance Comparison (Test Set)</w:t>
      </w:r>
    </w:p>
    <w:p w14:paraId="00100106" w14:textId="00100107">
      <w:pPr>
        <w:spacing w:line="240" w:lineRule="auto"/>
      </w:pPr>
      <w:r>
        <w:drawing>
          <wp:inline distT="0" distB="0" distL="0" distR="0">
            <wp:extent cx="5040000" cy="2880000"/>
            <wp:effectExtent l="0" t="0" r="0" b="0"/>
            <wp:docPr id="7" name="chart10_model_comparison.png" descr=""/>
            <wp:cNvGraphicFramePr>
              <a:graphicFrameLocks noChangeAspect="1"/>
            </wp:cNvGraphicFramePr>
            <a:graphic>
              <a:graphicData uri="http://schemas.openxmlformats.org/drawingml/2006/picture">
                <pic:pic>
                  <pic:nvPicPr>
                    <pic:cNvPr id="7" name="chart10_model_comparison.png"/>
                    <pic:cNvPicPr/>
                  </pic:nvPicPr>
                  <pic:blipFill>
                    <a:blip r:embed="R2adec6b713f2436d" cstate="print"/>
                    <a:stretch>
                      <a:fillRect/>
                    </a:stretch>
                  </pic:blipFill>
                  <pic:spPr>
                    <a:xfrm>
                      <a:off x="0" y="0"/>
                      <a:ext cx="5040000" cy="2880000"/>
                    </a:xfrm>
                    <a:prstGeom prst="rect">
                      <a:avLst/>
                    </a:prstGeom>
                  </pic:spPr>
                </pic:pic>
              </a:graphicData>
            </a:graphic>
          </wp:inline>
        </w:drawing>
      </w:r>
    </w:p>
    <w:p w14:paraId="00100108" w14:textId="00100109">
      <w:pPr>
        <w:pStyle w:val="Normal"/>
        <w:spacing w:after="240"/>
        <w:jc w:val="center"/>
      </w:pPr>
      <w:r>
        <w:rPr>
          <w:color w:val="57606A"/>
          <w:sz w:val="18"/>
        </w:rPr>
        <w:t xml:space="preserve">Figure 7: Model Performance Comparison Bar Chart</w:t>
      </w:r>
    </w:p>
    <w:p w14:paraId="0010010A" w14:textId="0010010B">
      <w:pPr>
        <w:pStyle w:val="Heading2"/>
        <w:spacing w:before="120" w:after="120"/>
      </w:pPr>
      <w:r>
        <w:rPr>
          <w:b/>
          <w:color w:val="2E86DE"/>
          <w:sz w:val="26"/>
        </w:rPr>
        <w:t xml:space="preserve">7.2 ROC Curves</w:t>
      </w:r>
    </w:p>
    <w:p w14:paraId="0010010C" w14:textId="0010010D">
      <w:pPr>
        <w:pStyle w:val="Normal"/>
        <w:spacing w:after="160"/>
      </w:pPr>
      <w:r>
        <w:rPr>
          <w:sz w:val="22"/>
        </w:rPr>
        <w:t xml:space="preserve">The ROC curves confirm that all three models significantly outperform random chance (dashed diagonal). The Random Forest achieves an AUC of 0.9444, indicating excellent discrimination between approved and rejected applicants. The area under the curve is the primary selection criterion as it accounts for all classification thresholds.</w:t>
      </w:r>
    </w:p>
    <w:p w14:paraId="0010010E" w14:textId="0010010F">
      <w:pPr>
        <w:spacing w:line="240" w:lineRule="auto"/>
      </w:pPr>
      <w:r>
        <w:drawing>
          <wp:inline distT="0" distB="0" distL="0" distR="0">
            <wp:extent cx="4680000" cy="3600000"/>
            <wp:effectExtent l="0" t="0" r="0" b="0"/>
            <wp:docPr id="8" name="chart7_roc_curves.png" descr=""/>
            <wp:cNvGraphicFramePr>
              <a:graphicFrameLocks noChangeAspect="1"/>
            </wp:cNvGraphicFramePr>
            <a:graphic>
              <a:graphicData uri="http://schemas.openxmlformats.org/drawingml/2006/picture">
                <pic:pic>
                  <pic:nvPicPr>
                    <pic:cNvPr id="8" name="chart7_roc_curves.png"/>
                    <pic:cNvPicPr/>
                  </pic:nvPicPr>
                  <pic:blipFill>
                    <a:blip r:embed="Rd7a8f1aaad6b4347" cstate="print"/>
                    <a:stretch>
                      <a:fillRect/>
                    </a:stretch>
                  </pic:blipFill>
                  <pic:spPr>
                    <a:xfrm>
                      <a:off x="0" y="0"/>
                      <a:ext cx="4680000" cy="3600000"/>
                    </a:xfrm>
                    <a:prstGeom prst="rect">
                      <a:avLst/>
                    </a:prstGeom>
                  </pic:spPr>
                </pic:pic>
              </a:graphicData>
            </a:graphic>
          </wp:inline>
        </w:drawing>
      </w:r>
    </w:p>
    <w:p w14:paraId="00100110" w14:textId="00100111">
      <w:pPr>
        <w:pStyle w:val="Normal"/>
        <w:spacing w:after="240"/>
        <w:jc w:val="center"/>
      </w:pPr>
      <w:r>
        <w:rPr>
          <w:color w:val="57606A"/>
          <w:sz w:val="18"/>
        </w:rPr>
        <w:t xml:space="preserve">Figure 8: ROC Curves — All Three Models</w:t>
      </w:r>
    </w:p>
    <w:p w14:paraId="00100112" w14:textId="00100113">
      <w:pPr>
        <w:pStyle w:val="Heading2"/>
        <w:spacing w:before="120" w:after="120"/>
      </w:pPr>
      <w:r>
        <w:rPr>
          <w:b/>
          <w:color w:val="2E86DE"/>
          <w:sz w:val="26"/>
        </w:rPr>
        <w:t xml:space="preserve">7.3 Confusion Matrices</w:t>
      </w:r>
    </w:p>
    <w:p w14:paraId="00100114" w14:textId="00100115">
      <w:pPr>
        <w:pStyle w:val="Normal"/>
        <w:spacing w:after="160"/>
      </w:pPr>
      <w:r>
        <w:rPr>
          <w:sz w:val="22"/>
        </w:rPr>
        <w:t xml:space="preserve">The confusion matrices show per-class prediction performance on the 100-sample test set. All models correctly classify the majority of Rejected cases (high true negative rate). The primary challenge is detecting Approved applicants (true positives) given the class imbalance. Random Forest and Logistic Regression — both using balanced class weights — detect more true positives than Gradient Boosting.</w:t>
      </w:r>
    </w:p>
    <w:p w14:paraId="00100116" w14:textId="00100117">
      <w:pPr>
        <w:spacing w:line="240" w:lineRule="auto"/>
      </w:pPr>
      <w:r>
        <w:drawing>
          <wp:inline distT="0" distB="0" distL="0" distR="0">
            <wp:extent cx="5400000" cy="1620000"/>
            <wp:effectExtent l="0" t="0" r="0" b="0"/>
            <wp:docPr id="9" name="chart8_confusion_matrices.png" descr=""/>
            <wp:cNvGraphicFramePr>
              <a:graphicFrameLocks noChangeAspect="1"/>
            </wp:cNvGraphicFramePr>
            <a:graphic>
              <a:graphicData uri="http://schemas.openxmlformats.org/drawingml/2006/picture">
                <pic:pic>
                  <pic:nvPicPr>
                    <pic:cNvPr id="9" name="chart8_confusion_matrices.png"/>
                    <pic:cNvPicPr/>
                  </pic:nvPicPr>
                  <pic:blipFill>
                    <a:blip r:embed="R916c3d8e77e04b63" cstate="print"/>
                    <a:stretch>
                      <a:fillRect/>
                    </a:stretch>
                  </pic:blipFill>
                  <pic:spPr>
                    <a:xfrm>
                      <a:off x="0" y="0"/>
                      <a:ext cx="5400000" cy="1620000"/>
                    </a:xfrm>
                    <a:prstGeom prst="rect">
                      <a:avLst/>
                    </a:prstGeom>
                  </pic:spPr>
                </pic:pic>
              </a:graphicData>
            </a:graphic>
          </wp:inline>
        </w:drawing>
      </w:r>
    </w:p>
    <w:p w14:paraId="00100118" w14:textId="00100119">
      <w:pPr>
        <w:pStyle w:val="Normal"/>
        <w:spacing w:after="240"/>
        <w:jc w:val="center"/>
      </w:pPr>
      <w:r>
        <w:rPr>
          <w:color w:val="57606A"/>
          <w:sz w:val="18"/>
        </w:rPr>
        <w:t xml:space="preserve">Figure 9: Confusion Matrices — Random Forest, Gradient Boosting, Logistic Regression</w:t>
      </w:r>
    </w:p>
    <w:p w14:paraId="0010011A" w14:textId="0010011B">
      <w:pPr>
        <w:pStyle w:val="Heading2"/>
        <w:spacing w:before="120" w:after="120"/>
      </w:pPr>
      <w:r>
        <w:rPr>
          <w:b/>
          <w:color w:val="2E86DE"/>
          <w:sz w:val="26"/>
        </w:rPr>
        <w:t xml:space="preserve">7.4 Feature Importance</w:t>
      </w:r>
    </w:p>
    <w:p w14:paraId="0010011C" w14:textId="0010011D">
      <w:pPr>
        <w:pStyle w:val="Normal"/>
        <w:spacing w:after="160"/>
      </w:pPr>
      <w:r>
        <w:rPr>
          <w:sz w:val="22"/>
        </w:rPr>
        <w:t xml:space="preserve">Random Forest feature importances (mean decrease in impurity) identify the most influential predictors. The top three are Credit Score, Annual Income, and Existing Debt — together accounting for over 55% of total importance. The High_LTI_Flag engineered feature ranks in the top half, validating the data engineering decision.</w:t>
      </w:r>
    </w:p>
    <w:p w14:paraId="0010011E" w14:textId="0010011F">
      <w:pPr>
        <w:spacing w:line="240" w:lineRule="auto"/>
      </w:pPr>
      <w:r>
        <w:drawing>
          <wp:inline distT="0" distB="0" distL="0" distR="0">
            <wp:extent cx="5040000" cy="3060000"/>
            <wp:effectExtent l="0" t="0" r="0" b="0"/>
            <wp:docPr id="10" name="chart9_feature_importance.png" descr=""/>
            <wp:cNvGraphicFramePr>
              <a:graphicFrameLocks noChangeAspect="1"/>
            </wp:cNvGraphicFramePr>
            <a:graphic>
              <a:graphicData uri="http://schemas.openxmlformats.org/drawingml/2006/picture">
                <pic:pic>
                  <pic:nvPicPr>
                    <pic:cNvPr id="10" name="chart9_feature_importance.png"/>
                    <pic:cNvPicPr/>
                  </pic:nvPicPr>
                  <pic:blipFill>
                    <a:blip r:embed="Rc401418fc89e4354" cstate="print"/>
                    <a:stretch>
                      <a:fillRect/>
                    </a:stretch>
                  </pic:blipFill>
                  <pic:spPr>
                    <a:xfrm>
                      <a:off x="0" y="0"/>
                      <a:ext cx="5040000" cy="3060000"/>
                    </a:xfrm>
                    <a:prstGeom prst="rect">
                      <a:avLst/>
                    </a:prstGeom>
                  </pic:spPr>
                </pic:pic>
              </a:graphicData>
            </a:graphic>
          </wp:inline>
        </w:drawing>
      </w:r>
    </w:p>
    <w:p w14:paraId="00100120" w14:textId="00100121">
      <w:pPr>
        <w:pStyle w:val="Normal"/>
        <w:spacing w:after="320"/>
        <w:jc w:val="center"/>
      </w:pPr>
      <w:r>
        <w:rPr>
          <w:color w:val="57606A"/>
          <w:sz w:val="18"/>
        </w:rPr>
        <w:t xml:space="preserve">Figure 10: Random Forest Feature Importances</w:t>
      </w:r>
    </w:p>
    <w:p w14:paraId="00100122" w14:textId="00100123">
      <w:pPr>
        <w:pStyle w:val="Heading1"/>
        <w:spacing w:before="200" w:after="160"/>
      </w:pPr>
      <w:r>
        <w:rPr>
          <w:b/>
          <w:color w:val="1E3A5F"/>
          <w:sz w:val="32"/>
        </w:rPr>
        <w:t xml:space="preserve">8. Web Application Architecture</w:t>
      </w:r>
    </w:p>
    <w:p w14:paraId="00100124" w14:textId="00100125">
      <w:pPr>
        <w:pStyle w:val="Normal"/>
        <w:spacing w:after="160"/>
      </w:pPr>
      <w:r>
        <w:rPr>
          <w:sz w:val="22"/>
        </w:rPr>
        <w:t xml:space="preserve">The application is implemented as a single-file Streamlit app (app.py) with four navigable pages accessible from a persistent sidebar. Performance-critical components are cached to ensure fast page transitions after the initial load.</w:t>
      </w:r>
    </w:p>
    <w:p w14:paraId="00100126" w14:textId="00100127">
      <w:pPr>
        <w:pStyle w:val="Normal"/>
        <w:spacing w:after="80"/>
      </w:pPr>
      <w:r>
        <w:rPr>
          <w:sz w:val="22"/>
        </w:rPr>
        <w:t xml:space="preserve">Page 1 — Overview: KPI metric cards (total applications, approvals, approval rate, average credit score, average income), approval split donut chart, approval rate by area bar chart, dataset preview table, and descriptive statistics.</w:t>
      </w:r>
    </w:p>
    <w:p w14:paraId="00100128" w14:textId="00100129">
      <w:pPr>
        <w:pStyle w:val="Normal"/>
        <w:spacing w:after="80"/>
      </w:pPr>
      <w:r>
        <w:rPr>
          <w:sz w:val="22"/>
        </w:rPr>
        <w:t xml:space="preserve">Page 2 — EDA &amp; Insights: Four tabs covering overlaid feature histograms, full correlation heatmap, interactive per-feature box plot and density charts, and categorical stacked bar charts.</w:t>
      </w:r>
    </w:p>
    <w:p w14:paraId="0010012A" w14:textId="0010012B">
      <w:pPr>
        <w:pStyle w:val="Normal"/>
        <w:spacing w:after="80"/>
      </w:pPr>
      <w:r>
        <w:rPr>
          <w:sz w:val="22"/>
        </w:rPr>
        <w:t xml:space="preserve">Page 3 — Model Performance: Side-by-side model comparison table, ROC and Precision-Recall curves for all models, confusion matrices, full classification reports, and feature importance ranking.</w:t>
      </w:r>
    </w:p>
    <w:p w14:paraId="0010012C" w14:textId="0010012D">
      <w:pPr>
        <w:pStyle w:val="Normal"/>
        <w:spacing w:after="160"/>
      </w:pPr>
      <w:r>
        <w:rPr>
          <w:sz w:val="22"/>
        </w:rPr>
        <w:t xml:space="preserve">Page 4 — Predict Loan: A form accepting all 12 applicant features, producing instant approval probability, a visual gauge, risk tier classification (Low / Moderate / High / Very High Risk), an all-models agreement panel, and a per-feature comparison table.</w:t>
      </w:r>
    </w:p>
    <w:p w14:paraId="0010012E" w14:textId="0010012F">
      <w:pPr>
        <w:pStyle w:val="Normal"/>
        <w:spacing w:after="320"/>
      </w:pPr>
      <w:r>
        <w:rPr>
          <w:b w:val="false"/>
          <w:color w:val="2E86DE"/>
          <w:sz w:val="22"/>
        </w:rPr>
        <w:t xml:space="preserve">Caching Strategy: load_data() uses @st.cache_data; train_models() uses @st.cache_resource. Models are trained once on first load and reused across all pages and user sessions.</w:t>
      </w:r>
    </w:p>
    <w:p w14:paraId="00100130" w14:textId="00100131">
      <w:pPr>
        <w:pStyle w:val="Heading1"/>
        <w:spacing w:before="200" w:after="160"/>
      </w:pPr>
      <w:r>
        <w:rPr>
          <w:b/>
          <w:color w:val="1E3A5F"/>
          <w:sz w:val="32"/>
        </w:rPr>
        <w:t xml:space="preserve">9. Conclusions &amp; Recommendations</w:t>
      </w:r>
    </w:p>
    <w:p w14:paraId="00100132" w14:textId="00100133">
      <w:pPr>
        <w:pStyle w:val="Normal"/>
        <w:spacing w:after="120"/>
      </w:pPr>
      <w:r>
        <w:rPr>
          <w:sz w:val="22"/>
        </w:rPr>
        <w:t xml:space="preserve">This project successfully demonstrates an end-to-end loan approval prediction pipeline from raw data through cleaning, EDA, model training, evaluation, and interactive deployment. Key conclusions are:</w:t>
      </w:r>
    </w:p>
    <w:p w14:paraId="00100134" w14:textId="00100135">
      <w:pPr>
        <w:pStyle w:val="Normal"/>
        <w:spacing w:after="60"/>
      </w:pPr>
      <w:r>
        <w:rPr>
          <w:sz w:val="22"/>
        </w:rPr>
        <w:t xml:space="preserve">1. Credit Score is the dominant predictor of loan approval, with a median difference of ~115 points between approved and rejected applicants.</w:t>
      </w:r>
    </w:p>
    <w:p w14:paraId="00100136" w14:textId="00100137">
      <w:pPr>
        <w:pStyle w:val="Normal"/>
        <w:spacing w:after="60"/>
      </w:pPr>
      <w:r>
        <w:rPr>
          <w:sz w:val="22"/>
        </w:rPr>
        <w:t xml:space="preserve">2. Random Forest with balanced class weights is the recommended production model, achieving the highest ROC-AUC (0.9444) with stable 5-fold CV performance.</w:t>
      </w:r>
    </w:p>
    <w:p w14:paraId="00100138" w14:textId="00100139">
      <w:pPr>
        <w:pStyle w:val="Normal"/>
        <w:spacing w:after="60"/>
      </w:pPr>
      <w:r>
        <w:rPr>
          <w:sz w:val="22"/>
        </w:rPr>
        <w:t xml:space="preserve">3. The class imbalance (74:26) must be addressed — models without balanced weighting would disproportionately predict Rejected and miss creditworthy applicants.</w:t>
      </w:r>
    </w:p>
    <w:p w14:paraId="0010013A" w14:textId="0010013B">
      <w:pPr>
        <w:pStyle w:val="Normal"/>
        <w:spacing w:after="160"/>
      </w:pPr>
      <w:r>
        <w:rPr>
          <w:sz w:val="22"/>
        </w:rPr>
        <w:t xml:space="preserve">4. The engineered High_LTI_Flag feature provides meaningful signal and should be retained in future model iterations.</w:t>
      </w:r>
    </w:p>
    <w:p w14:paraId="0010013C" w14:textId="0010013D">
      <w:pPr>
        <w:pStyle w:val="Normal"/>
        <w:spacing w:after="320"/>
      </w:pPr>
      <w:r>
        <w:rPr>
          <w:sz w:val="22"/>
        </w:rPr>
        <w:t xml:space="preserve">Recommendations for future work: collect more data to address class imbalance (SMOTE or additional approved cases); explore SHAP values for individual-level explainability; add probability calibration (Platt scaling) for well-calibrated confidence scores; integrate a database backend for logging predictions.</w:t>
      </w:r>
    </w:p>
    <w:p w14:paraId="0010013E" w14:textId="0010013F">
      <w:pPr>
        <w:pStyle w:val="Heading1"/>
        <w:spacing w:before="200" w:after="160"/>
      </w:pPr>
      <w:r>
        <w:rPr>
          <w:b/>
          <w:color w:val="1E3A5F"/>
          <w:sz w:val="32"/>
        </w:rPr>
        <w:t xml:space="preserve">10. References &amp; Tools</w:t>
      </w:r>
    </w:p>
    <w:p w14:paraId="00100140" w14:textId="00100141">
      <w:pPr>
        <w:pStyle w:val="Normal"/>
        <w:spacing w:after="60"/>
      </w:pPr>
      <w:r>
        <w:rPr>
          <w:sz w:val="22"/>
        </w:rPr>
        <w:t xml:space="preserve">Python 3.x — Core programming language</w:t>
      </w:r>
    </w:p>
    <w:p w14:paraId="00100142" w14:textId="00100143">
      <w:pPr>
        <w:pStyle w:val="Normal"/>
        <w:spacing w:after="60"/>
      </w:pPr>
      <w:r>
        <w:rPr>
          <w:sz w:val="22"/>
        </w:rPr>
        <w:t xml:space="preserve">Streamlit &gt;= 1.30 — Interactive web application framework (streamlit.io)</w:t>
      </w:r>
    </w:p>
    <w:p w14:paraId="00100144" w14:textId="00100145">
      <w:pPr>
        <w:pStyle w:val="Normal"/>
        <w:spacing w:after="60"/>
      </w:pPr>
      <w:r>
        <w:rPr>
          <w:sz w:val="22"/>
        </w:rPr>
        <w:t xml:space="preserve">scikit-learn &gt;= 1.2 — Machine learning library: RandomForestClassifier, GradientBoostingClassifier, LogisticRegression, Pipeline, StandardScaler, LabelEncoder, cross_val_score</w:t>
      </w:r>
    </w:p>
    <w:p w14:paraId="00100146" w14:textId="00100147">
      <w:pPr>
        <w:pStyle w:val="Normal"/>
        <w:spacing w:after="60"/>
      </w:pPr>
      <w:r>
        <w:rPr>
          <w:sz w:val="22"/>
        </w:rPr>
        <w:t xml:space="preserve">pandas &gt;= 2.0 — Data manipulation and analysis</w:t>
      </w:r>
    </w:p>
    <w:p w14:paraId="00100148" w14:textId="00100149">
      <w:pPr>
        <w:pStyle w:val="Normal"/>
        <w:spacing w:after="60"/>
      </w:pPr>
      <w:r>
        <w:rPr>
          <w:sz w:val="22"/>
        </w:rPr>
        <w:t xml:space="preserve">NumPy &gt;= 1.24 — Numerical computing</w:t>
      </w:r>
    </w:p>
    <w:p w14:paraId="0010014A" w14:textId="0010014B">
      <w:pPr>
        <w:pStyle w:val="Normal"/>
        <w:spacing w:after="60"/>
      </w:pPr>
      <w:r>
        <w:rPr>
          <w:sz w:val="22"/>
        </w:rPr>
        <w:t xml:space="preserve">matplotlib &gt;= 3.7 — Static charting library</w:t>
      </w:r>
    </w:p>
    <w:p w14:paraId="0010014C" w14:textId="0010014D">
      <w:pPr>
        <w:pStyle w:val="Normal"/>
        <w:spacing w:after="60"/>
      </w:pPr>
      <w:r>
        <w:rPr>
          <w:sz w:val="22"/>
        </w:rPr>
        <w:t xml:space="preserve">seaborn &gt;= 0.12 — Statistical visualisation (heatmap, distribution plots)</w:t>
      </w:r>
    </w:p>
    <w:p w14:paraId="0010014E" w14:textId="0010014F">
      <w:pPr>
        <w:pStyle w:val="Normal"/>
        <w:spacing w:after="60"/>
      </w:pPr>
      <w:r>
        <w:rPr>
          <w:sz w:val="22"/>
        </w:rPr>
        <w:t xml:space="preserve">Dataset: loan_approval_prediction_500_rows.csv — 500 synthetic loan application records</w:t>
      </w:r>
    </w:p>
    <w:p w14:paraId="00100150" w14:textId="00100151">
      <w:pPr>
        <w:pStyle w:val="Normal"/>
        <w:spacing w:after="60"/>
      </w:pPr>
      <w:r>
        <w:rPr>
          <w:sz w:val="22"/>
        </w:rPr>
        <w:t xml:space="preserve">Breiman, L. (2001). Random Forests. Machine Learning, 45(1), 5-32.</w:t>
      </w:r>
    </w:p>
    <w:p w14:paraId="00100152" w14:textId="00100153">
      <w:pPr>
        <w:pStyle w:val="Normal"/>
        <w:spacing w:after="60"/>
      </w:pPr>
      <w:r>
        <w:rPr>
          <w:sz w:val="22"/>
        </w:rPr>
        <w:t xml:space="preserve">Friedman, J. H. (2001). Greedy function approximation: A gradient boosting machine. Annals of Statistics, 29(5), 1189-1232.</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s>
</file>

<file path=word/_rels/document.xml.rels>&#65279;<?xml version="1.0" encoding="utf-8"?><Relationships xmlns="http://schemas.openxmlformats.org/package/2006/relationships"><Relationship Type="http://schemas.openxmlformats.org/officeDocument/2006/relationships/settings" Target="/word/settings.xml" Id="Ra517e62b240941a0" /><Relationship Type="http://schemas.openxmlformats.org/officeDocument/2006/relationships/styles" Target="/word/styles.xml" Id="R47d92f8317b04105" /><Relationship Type="http://schemas.openxmlformats.org/officeDocument/2006/relationships/theme" Target="/word/theme/theme1.xml" Id="R5fab2b3c41664732" /><Relationship Type="http://schemas.openxmlformats.org/officeDocument/2006/relationships/numbering" Target="/word/numbering.xml" Id="Rc8967024a7bb458b" /><Relationship Type="http://schemas.openxmlformats.org/officeDocument/2006/relationships/image" Target="/media/image.png" Id="Rb13fb9b42fb542b9" /><Relationship Type="http://schemas.openxmlformats.org/officeDocument/2006/relationships/image" Target="/media/image2.png" Id="R8931df86d2a04bd0" /><Relationship Type="http://schemas.openxmlformats.org/officeDocument/2006/relationships/image" Target="/media/image3.png" Id="Rd823e2c7f78c4228" /><Relationship Type="http://schemas.openxmlformats.org/officeDocument/2006/relationships/image" Target="/media/image4.png" Id="R94f023472d814cf3" /><Relationship Type="http://schemas.openxmlformats.org/officeDocument/2006/relationships/image" Target="/media/image5.png" Id="R35755a1ad70849fc" /><Relationship Type="http://schemas.openxmlformats.org/officeDocument/2006/relationships/image" Target="/media/image6.png" Id="R230dc541d45a45d4" /><Relationship Type="http://schemas.openxmlformats.org/officeDocument/2006/relationships/image" Target="/media/image7.png" Id="R2adec6b713f2436d" /><Relationship Type="http://schemas.openxmlformats.org/officeDocument/2006/relationships/image" Target="/media/image8.png" Id="Rd7a8f1aaad6b4347" /><Relationship Type="http://schemas.openxmlformats.org/officeDocument/2006/relationships/image" Target="/media/image9.png" Id="R916c3d8e77e04b63" /><Relationship Type="http://schemas.openxmlformats.org/officeDocument/2006/relationships/image" Target="/media/image10.png" Id="Rc401418fc89e435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OfficeCLI/1.0.151</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2026-09-23T14:53:51Z</dcterms:created>
  <cp:lastModifiedBy>OfficeCLI</cp:lastModifiedBy>
  <dcterms:modified xsi:type="dcterms:W3CDTF">2026-09-23T14:53:51Z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2026-09-23T15:00:15Z</vt:lpwstr>
  </op:property>
</op:Properties>
</file>