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ARUNAVA GHOSH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/tmp/rs/</w:t>
      </w:r>
      <w:r>
        <w:rPr>
          <w:rStyle w:val="DataTypeTok"/>
        </w:rPr>
        <w:t xml:space="preserve">{1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3}</w:t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rs0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27017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/tmp/rs/1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rs0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27018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/tmp/rs/2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--replSet</w:t>
      </w:r>
      <w:r>
        <w:rPr>
          <w:rStyle w:val="NormalTok"/>
        </w:rPr>
        <w:t xml:space="preserve"> rs0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27019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/tmp/rs/3 </w:t>
      </w:r>
      <w:r>
        <w:rPr>
          <w:rStyle w:val="AttributeTok"/>
        </w:rPr>
        <w:t xml:space="preserve">--quiet</w:t>
      </w:r>
    </w:p>
    <w:p>
      <w:pPr>
        <w:pStyle w:val="CaptionedFigure"/>
      </w:pPr>
      <w:r>
        <w:drawing>
          <wp:inline>
            <wp:extent cx="4267200" cy="273579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2026-06-09-20-40-06-watermark-whit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35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MongoDB Replicas 1,2</w:t>
      </w:r>
    </w:p>
    <w:p>
      <w:pPr>
        <w:pStyle w:val="BodyText"/>
      </w:pPr>
      <w:bookmarkStart w:id="12" w:name="fig-2026-06-09-20-40-06"/>
      <w:bookmarkEnd w:id="12"/>
    </w:p>
    <w:p>
      <w:pPr>
        <w:pStyle w:val="CaptionedFigure"/>
      </w:pPr>
      <w:r>
        <w:drawing>
          <wp:inline>
            <wp:extent cx="4267200" cy="265866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sets/2026-06-09-20-41-16-watermark-whit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Replica rs.initiate()</w:t>
      </w:r>
    </w:p>
    <w:p>
      <w:pPr>
        <w:pStyle w:val="BodyText"/>
      </w:pPr>
      <w:bookmarkStart w:id="16" w:name="fig-2026-06-09-20-41-16"/>
      <w:bookmarkEnd w:id="16"/>
    </w:p>
    <w:p>
      <w:pPr>
        <w:pStyle w:val="CaptionedFigure"/>
      </w:pPr>
      <w:r>
        <w:drawing>
          <wp:inline>
            <wp:extent cx="4267200" cy="266699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assets/2026-06-09-20-41-59-watermark-whit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rs.status()</w:t>
      </w:r>
    </w:p>
    <w:p>
      <w:pPr>
        <w:pStyle w:val="BodyText"/>
      </w:pPr>
      <w:bookmarkStart w:id="20" w:name="fig-2026-06-09-20-41-59"/>
      <w:bookmarkEnd w:id="20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2026-06-09T15:41:17Z</dcterms:created>
  <dcterms:modified xsi:type="dcterms:W3CDTF">2026-06-09T15:41:17Z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