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drawing>
          <wp:inline distT="0" distB="0" distL="114300" distR="114300">
            <wp:extent cx="5251450" cy="1534160"/>
            <wp:effectExtent l="0" t="0" r="0" b="0"/>
            <wp:docPr id="1" name="图片 4" descr="校标-中文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校标-中文横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r>
        <w:rPr>
          <w:rFonts w:ascii="Times New Roman" w:eastAsia="黑体"/>
          <w:b w:val="0"/>
          <w:bCs w:val="0"/>
          <w:w w:val="110"/>
          <w:sz w:val="36"/>
          <w:szCs w:val="36"/>
        </w:rPr>
        <w:t>SHANGHAI JIAO TONG UNIVERSITY</w:t>
      </w:r>
    </w:p>
    <w:p>
      <w:pPr>
        <w:jc w:val="center"/>
        <w:rPr>
          <w:rFonts w:hint="eastAsia"/>
        </w:rPr>
      </w:pPr>
    </w:p>
    <w:p>
      <w:pPr>
        <w:jc w:val="center"/>
        <w:outlineLvl w:val="0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本科生毕业设计（论文）中期检查报告</w:t>
      </w:r>
    </w:p>
    <w:p>
      <w:pPr>
        <w:jc w:val="center"/>
        <w:outlineLvl w:val="0"/>
        <w:rPr>
          <w:rFonts w:hint="eastAsia" w:ascii="华文中宋" w:hAnsi="华文中宋" w:eastAsia="华文中宋"/>
          <w:sz w:val="44"/>
          <w:szCs w:val="44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951990" cy="1953895"/>
            <wp:effectExtent l="0" t="0" r="0" b="0"/>
            <wp:docPr id="2" name="图片 5" descr="校标-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校标-校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line="400" w:lineRule="exact"/>
        <w:rPr>
          <w:rFonts w:hint="eastAsia"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6"/>
          <w:szCs w:val="36"/>
        </w:rPr>
        <w:t>论文题目：</w:t>
      </w:r>
      <w:r>
        <w:rPr>
          <w:rFonts w:hint="eastAsia" w:ascii="楷体_GB2312" w:eastAsia="楷体_GB2312"/>
          <w:sz w:val="36"/>
          <w:szCs w:val="36"/>
          <w:lang w:val="en-US" w:eastAsia="zh-CN"/>
        </w:rPr>
        <w:t xml:space="preserve">  </w:t>
      </w:r>
      <w:r>
        <w:rPr>
          <w:rFonts w:hint="eastAsia" w:ascii="楷体_GB2312" w:hAnsi="宋体" w:eastAsia="楷体_GB2312" w:cs="Times New Roman"/>
          <w:sz w:val="32"/>
          <w:szCs w:val="32"/>
          <w:u w:val="single"/>
          <w:lang w:val="en-US" w:eastAsia="zh-CN"/>
        </w:rPr>
        <w:t>针对ARM架构微控制器的故障注入攻击研究</w:t>
      </w:r>
      <w:r>
        <w:rPr>
          <w:rFonts w:hint="eastAsia" w:ascii="楷体_GB2312" w:hAnsi="宋体" w:eastAsia="楷体_GB2312" w:cs="Times New Roman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sz w:val="36"/>
          <w:szCs w:val="36"/>
          <w:u w:val="single"/>
        </w:rPr>
        <w:t xml:space="preserve">       </w:t>
      </w:r>
    </w:p>
    <w:p>
      <w:pPr>
        <w:spacing w:line="500" w:lineRule="exact"/>
        <w:ind w:firstLine="1440" w:firstLineChars="450"/>
        <w:rPr>
          <w:rFonts w:hint="eastAsia" w:ascii="楷体_GB2312" w:hAnsi="宋体" w:eastAsia="楷体_GB2312"/>
          <w:sz w:val="32"/>
          <w:szCs w:val="32"/>
          <w:u w:val="single"/>
        </w:rPr>
      </w:pPr>
      <w:r>
        <w:rPr>
          <w:rFonts w:hint="eastAsia" w:ascii="楷体_GB2312" w:hAnsi="宋体" w:eastAsia="楷体_GB2312"/>
          <w:sz w:val="32"/>
          <w:szCs w:val="32"/>
        </w:rPr>
        <w:t xml:space="preserve">学生姓名: 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 xml:space="preserve"> 王屿轩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   </w:t>
      </w:r>
    </w:p>
    <w:p>
      <w:pPr>
        <w:spacing w:line="500" w:lineRule="exact"/>
        <w:ind w:firstLine="1440" w:firstLineChars="450"/>
        <w:rPr>
          <w:rFonts w:hint="eastAsia" w:ascii="楷体_GB2312" w:hAnsi="宋体" w:eastAsia="楷体_GB2312"/>
          <w:sz w:val="32"/>
          <w:szCs w:val="32"/>
          <w:lang w:val="en-US" w:eastAsia="zh-CN"/>
        </w:rPr>
      </w:pPr>
      <w:r>
        <w:rPr>
          <w:rFonts w:hint="eastAsia" w:ascii="楷体_GB2312" w:hAnsi="宋体" w:eastAsia="楷体_GB2312"/>
          <w:sz w:val="32"/>
          <w:szCs w:val="32"/>
        </w:rPr>
        <w:t xml:space="preserve">学生学号: 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>518030910138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500" w:lineRule="exact"/>
        <w:ind w:firstLine="1440" w:firstLineChars="450"/>
        <w:rPr>
          <w:rFonts w:hint="eastAsia" w:ascii="楷体_GB2312" w:hAnsi="宋体" w:eastAsia="楷体_GB2312"/>
          <w:sz w:val="32"/>
          <w:szCs w:val="32"/>
          <w:u w:val="single"/>
        </w:rPr>
      </w:pPr>
      <w:r>
        <w:rPr>
          <w:rFonts w:hint="eastAsia" w:ascii="楷体_GB2312" w:hAnsi="宋体" w:eastAsia="楷体_GB2312"/>
          <w:sz w:val="32"/>
          <w:szCs w:val="32"/>
        </w:rPr>
        <w:t xml:space="preserve">专    业: 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>信息安全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 </w:t>
      </w:r>
    </w:p>
    <w:p>
      <w:pPr>
        <w:spacing w:line="500" w:lineRule="exact"/>
        <w:ind w:firstLine="1440" w:firstLineChars="450"/>
        <w:rPr>
          <w:rFonts w:hint="eastAsia" w:ascii="楷体_GB2312" w:hAnsi="宋体" w:eastAsia="楷体_GB2312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指导教师:</w:t>
      </w:r>
      <w:r>
        <w:rPr>
          <w:rFonts w:hint="eastAsia" w:ascii="楷体_GB2312" w:hAnsi="宋体" w:eastAsia="楷体_GB2312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>谷大武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   </w:t>
      </w:r>
    </w:p>
    <w:p>
      <w:pPr>
        <w:spacing w:line="500" w:lineRule="exact"/>
        <w:ind w:firstLine="1440" w:firstLineChars="450"/>
        <w:rPr>
          <w:rFonts w:hint="eastAsia" w:ascii="楷体_GB2312" w:eastAsia="楷体_GB2312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学院 (系):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>电子信息与电气工程学院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</w:t>
      </w:r>
    </w:p>
    <w:p>
      <w:pPr>
        <w:spacing w:line="500" w:lineRule="exact"/>
        <w:jc w:val="center"/>
        <w:rPr>
          <w:rFonts w:hint="eastAsia" w:eastAsia="黑体"/>
          <w:b/>
          <w:spacing w:val="32"/>
          <w:sz w:val="36"/>
        </w:rPr>
      </w:pPr>
    </w:p>
    <w:p>
      <w:pPr>
        <w:spacing w:line="500" w:lineRule="exact"/>
        <w:jc w:val="center"/>
        <w:rPr>
          <w:rFonts w:hint="eastAsia" w:eastAsia="黑体"/>
          <w:b/>
          <w:spacing w:val="32"/>
          <w:sz w:val="36"/>
        </w:rPr>
      </w:pPr>
    </w:p>
    <w:p>
      <w:pPr>
        <w:spacing w:line="500" w:lineRule="exact"/>
        <w:jc w:val="center"/>
        <w:rPr>
          <w:rFonts w:hint="eastAsia" w:eastAsia="黑体"/>
          <w:b/>
          <w:spacing w:val="32"/>
          <w:sz w:val="36"/>
        </w:rPr>
      </w:pPr>
    </w:p>
    <w:p>
      <w:pPr>
        <w:tabs>
          <w:tab w:val="left" w:pos="8222"/>
        </w:tabs>
        <w:ind w:right="-216"/>
        <w:jc w:val="left"/>
        <w:rPr>
          <w:rFonts w:ascii="宋体" w:hAnsi="宋体"/>
          <w:sz w:val="24"/>
          <w:u w:val="single"/>
          <w:lang/>
        </w:rPr>
        <w:sectPr>
          <w:pgSz w:w="11906" w:h="16838"/>
          <w:pgMar w:top="1440" w:right="1700" w:bottom="1440" w:left="1800" w:header="851" w:footer="992" w:gutter="0"/>
          <w:cols w:space="720" w:num="1"/>
          <w:docGrid w:type="lines" w:linePitch="312" w:charSpace="0"/>
        </w:sectPr>
      </w:pPr>
    </w:p>
    <w:p>
      <w:pPr>
        <w:tabs>
          <w:tab w:val="left" w:pos="8222"/>
        </w:tabs>
        <w:ind w:right="-216"/>
        <w:jc w:val="left"/>
        <w:rPr>
          <w:rFonts w:hint="eastAsia" w:ascii="宋体" w:hAnsi="宋体"/>
          <w:b/>
          <w:sz w:val="18"/>
          <w:szCs w:val="18"/>
          <w:u w:val="single"/>
        </w:rPr>
      </w:pPr>
    </w:p>
    <w:tbl>
      <w:tblPr>
        <w:tblStyle w:val="13"/>
        <w:tblW w:w="8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3459" w:hRule="atLeast"/>
          <w:jc w:val="center"/>
        </w:trPr>
        <w:tc>
          <w:tcPr>
            <w:tcW w:w="849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课题进展情况：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rPr>
                <w:rFonts w:hint="eastAsia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由于疫情影响，学校和宿舍相继封闭，我无法前往实验室进行实验。而且，由于疫情对于物流的影响，实验用的嵌入式设备暂时未能到货。所以这一阶段的进展主要集中在文献阅读上，尽可能为之后的实验进行准备。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rPr>
                <w:rFonts w:hint="eastAsia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在文献阅读的过程中，我熟悉了故障注入攻击的流程，对攻击的前期准备工作，攻击参数的尝试和选择，以及攻击可能的应用场景都有了深入的了解。同时我经过调研，发现电磁故障注入攻击和电压故障注入攻击有很多共同点，都通过硬件手段对芯片进行攻击，可以改变内部寄存器的值，或跳过指令，可以用于获取芯片调试访问权限，威胁加密硬件的安全等。相较于电磁故障注入攻击，电压故障注入攻击需要的硬件实验较少，达成的条件不如电磁故障注入攻击严苛。所以为了顺利完成毕业设计，我将毕业设计题目由“针对ARM架构程序控制流的电磁故障注入攻击”改为“针对ARM架构微控制器的故障注入攻击研究”。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rPr>
                <w:rFonts w:hint="default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很多文献都表明了故障注入攻击对于bootloader以及密码算法的威胁是切实存在的，而且通过实验证实了攻击的可行性。Rivire, Lionel等人实现了精确的且故障注入攻击，他们的实验设备利用信号发生器和放大器实现了5ps的抖动。他们实现了四条指令的跳过和重播，该漏洞可以用于对很多密码算法，如AES，进行差分故障分析。Van den Herrewegen等人演示了针对几种商用微控制器的嵌入式bootloader的实际攻击，并提供了一系列反模式，可以帮助指导安全实现的设计。Lennert Wouters等人的工作通过电压故障注入攻击，获得了完全的调试访问权限，并对AES加密硬件实施攻击，通过差分故障分析成功恢复密钥。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rPr>
                <w:rFonts w:hint="eastAsia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电压故障注入攻击通过改变芯片供电电压的方式进行攻击。可以瞬间将核心电压电源短接至地，使得输入电压短暂归零，称为撬杆电压故障。也可以使用外部电源来提供自己的电压，使得输入电压短暂升高。这样可以使得一些内部寄存器的值发生改变，进而让正在执行的代码进入攻击者想要的分支，实现攻击。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rPr>
                <w:rFonts w:hint="default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由于暂时无法进行硬件实验，我进行了一些软件方面的准备工作。我进行了串口通信相关的实验，编写了从嵌入式开发板提取ROM bootloader的python程序。同时我还对后续用到的一些工具，例如Ghidra逆向工具，unicorn模拟进行了初步的了解。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tabs>
          <w:tab w:val="left" w:pos="8222"/>
        </w:tabs>
        <w:ind w:right="-216"/>
        <w:jc w:val="left"/>
        <w:rPr>
          <w:rFonts w:hint="eastAsia" w:ascii="宋体" w:hAnsi="宋体"/>
          <w:b/>
          <w:sz w:val="18"/>
          <w:szCs w:val="18"/>
          <w:u w:val="single"/>
        </w:rPr>
      </w:pPr>
    </w:p>
    <w:tbl>
      <w:tblPr>
        <w:tblStyle w:val="13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3315" w:hRule="atLeast"/>
        </w:trPr>
        <w:tc>
          <w:tcPr>
            <w:tcW w:w="8460" w:type="dxa"/>
            <w:noWrap w:val="0"/>
            <w:vAlign w:val="top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课题研究已取得的阶段性成果：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rPr>
                <w:rFonts w:hint="eastAsia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实现了与嵌入式设备的串口通信，并通过串口通信获取芯片内部寄存器的值。该成果可以在后续的实验中有两个用途。一是可以通过UART与bootloader的串行接口进行通信，进而提取bootloader的二进制文件。二是读取内部寄存器的值可以用于验证攻击是否生效。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rPr>
                <w:rFonts w:hint="eastAsia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值得说明的是，该部分成果并非在最终的德州仪器的CC2640上进行，而是在STM32103上进行。二者操作比较接近，可以较为轻易地移植。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rPr>
                <w:rFonts w:hint="default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此外，编写了从嵌入式开发板提取ROM bootloader的python程序。该程序可以通过UART通讯的方式提取bootloader的二进制文件，用于逆向分析。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tabs>
          <w:tab w:val="left" w:pos="8222"/>
        </w:tabs>
        <w:ind w:right="-216"/>
        <w:jc w:val="left"/>
        <w:rPr>
          <w:rFonts w:hint="eastAsia" w:ascii="宋体" w:hAnsi="宋体"/>
          <w:sz w:val="18"/>
          <w:szCs w:val="18"/>
          <w:u w:val="single"/>
        </w:rPr>
      </w:pPr>
    </w:p>
    <w:tbl>
      <w:tblPr>
        <w:tblStyle w:val="13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3459" w:hRule="atLeast"/>
        </w:trPr>
        <w:tc>
          <w:tcPr>
            <w:tcW w:w="8460" w:type="dxa"/>
            <w:noWrap w:val="0"/>
            <w:vAlign w:val="top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存在的问题及解决思路：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jc w:val="left"/>
              <w:rPr>
                <w:rFonts w:hint="default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最初我的毕业设计题目是</w:t>
            </w:r>
            <w:r>
              <w:rPr>
                <w:rFonts w:hint="default" w:ascii="黑体" w:eastAsia="黑体" w:cs="Times New Roman"/>
                <w:sz w:val="24"/>
                <w:lang w:val="en-US" w:eastAsia="zh-CN"/>
              </w:rPr>
              <w:t>“针对ARM架构程序控制流的电磁故障注入攻击”</w:t>
            </w: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。</w:t>
            </w:r>
            <w:r>
              <w:rPr>
                <w:rFonts w:hint="default" w:ascii="黑体" w:eastAsia="黑体" w:cs="Times New Roman"/>
                <w:sz w:val="24"/>
                <w:lang w:val="en-US" w:eastAsia="zh-CN"/>
              </w:rPr>
              <w:t>该毕业设计题目</w:t>
            </w: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大部分工作都</w:t>
            </w:r>
            <w:r>
              <w:rPr>
                <w:rFonts w:hint="default" w:ascii="黑体" w:eastAsia="黑体" w:cs="Times New Roman"/>
                <w:sz w:val="24"/>
                <w:lang w:val="en-US" w:eastAsia="zh-CN"/>
              </w:rPr>
              <w:t>需要实验室的硬件设备进行实验。由于疫情影响，学校封闭，我无法前往实验室进行实验，毕业设计难以推进。</w:t>
            </w: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上</w:t>
            </w:r>
            <w:r>
              <w:rPr>
                <w:rFonts w:hint="default" w:ascii="黑体" w:eastAsia="黑体" w:cs="Times New Roman"/>
                <w:sz w:val="24"/>
                <w:lang w:val="en-US" w:eastAsia="zh-CN"/>
              </w:rPr>
              <w:t>海疫情形势仍然严峻，学校解封时间还不能确定，这给我的毕业设计带来了很大的</w:t>
            </w: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困难</w:t>
            </w:r>
            <w:r>
              <w:rPr>
                <w:rFonts w:hint="default" w:ascii="黑体" w:eastAsia="黑体" w:cs="Times New Roman"/>
                <w:sz w:val="24"/>
                <w:lang w:val="en-US" w:eastAsia="zh-CN"/>
              </w:rPr>
              <w:t>。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jc w:val="left"/>
              <w:rPr>
                <w:rFonts w:hint="default" w:ascii="黑体" w:eastAsia="黑体" w:cs="Times New Roman"/>
                <w:sz w:val="24"/>
                <w:lang w:val="en-US" w:eastAsia="zh-CN"/>
              </w:rPr>
            </w:pPr>
            <w:r>
              <w:rPr>
                <w:rFonts w:hint="default" w:ascii="黑体" w:eastAsia="黑体" w:cs="Times New Roman"/>
                <w:sz w:val="24"/>
                <w:lang w:val="en-US" w:eastAsia="zh-CN"/>
              </w:rPr>
              <w:t>在前期调研中我了解到，故障注入攻击不止有电磁故障注入攻击一种，还有电压故障注入攻击等形式。这些攻击都是针对嵌入式设备的物理攻击，都有较大的威胁。然而相较于电磁故障注入攻击，电压故障注入攻击需要的硬件实验相对较少。所以为了顺利完成毕业设计，我将毕业设计题目由“针对ARM架构程序控制流的电磁故障注入攻击”改为“针对ARM架构微控制器的故障注入攻击研究”</w:t>
            </w: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。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jc w:val="left"/>
              <w:rPr>
                <w:rFonts w:hint="eastAsia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目前疫情期间购买的实验用的板子不能配送，需要等待配送才能开始进行提取bootloader，逆向分析等工作。至于故障注入的实验还是需要去实验室完成。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tabs>
          <w:tab w:val="left" w:pos="8222"/>
        </w:tabs>
        <w:ind w:right="-216"/>
        <w:jc w:val="left"/>
        <w:rPr>
          <w:rFonts w:hint="eastAsia" w:ascii="宋体" w:hAnsi="宋体"/>
          <w:sz w:val="18"/>
          <w:szCs w:val="18"/>
          <w:u w:val="single"/>
        </w:rPr>
      </w:pPr>
    </w:p>
    <w:tbl>
      <w:tblPr>
        <w:tblStyle w:val="13"/>
        <w:tblW w:w="8445" w:type="dxa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3303" w:hRule="atLeast"/>
        </w:trPr>
        <w:tc>
          <w:tcPr>
            <w:tcW w:w="8445" w:type="dxa"/>
            <w:noWrap w:val="0"/>
            <w:vAlign w:val="top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下一阶段的工作计划和研究内容：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jc w:val="left"/>
              <w:rPr>
                <w:rFonts w:hint="eastAsia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在实验用的嵌入式开发板到货之前，继续进行调研，阅读文献和相关工作，为实验进行准备。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jc w:val="left"/>
              <w:rPr>
                <w:rFonts w:hint="eastAsia" w:ascii="黑体" w:eastAsia="黑体" w:cs="Times New Roman"/>
                <w:sz w:val="24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在实验用的嵌入式开发板到货后，提取和分析bootloader，对其进行逆向。通过UART与bootloader的串行接口进行通信。读取内存，包括bootloader本身的ROM。通过读取从地址0x10000000开始的数据来提取ROM。使用unicorn引擎对bootloader进行模拟，获得bootloader执行的操作和流程，确定攻击需要的执行路径，并初步确定故障注入的时机。</w:t>
            </w:r>
          </w:p>
          <w:p>
            <w:pPr>
              <w:adjustRightInd w:val="0"/>
              <w:snapToGrid w:val="0"/>
              <w:spacing w:line="240" w:lineRule="atLeast"/>
              <w:ind w:firstLine="480" w:firstLineChars="20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eastAsia="黑体" w:cs="Times New Roman"/>
                <w:sz w:val="24"/>
                <w:lang w:val="en-US" w:eastAsia="zh-CN"/>
              </w:rPr>
              <w:t>在可以去实验室之后，对硬件进行电压故障注入攻击实验。首先对攻击目标进行修改，移除连接到重置引脚的电容器和连接到DCOUPL引脚的去耦电容器。并在DCOUPL引脚上添加了一个10欧姆的分流电阻器和一个SMA连接器。SMA连接器可连接至芯片窃听器，用于故障注入和侧通道分析。接下来确定故障注入的时间和宽度，确定攻击参数。尝试通过攻击获得完全的调试访问权限。尝试使用JTAG调试器连接到目标，以验证故障是否成功。或者通过侧信道分析，观察电压或功率的变化，证明故障成功注入。此外，尝试对AES硬件进行故障注入攻击引入故障，并通过差分故障分析尝试恢复密钥。</w:t>
            </w:r>
          </w:p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tabs>
          <w:tab w:val="left" w:pos="8222"/>
        </w:tabs>
        <w:ind w:right="-216"/>
        <w:jc w:val="left"/>
        <w:rPr>
          <w:rFonts w:hint="eastAsia" w:ascii="宋体" w:hAnsi="宋体"/>
          <w:szCs w:val="21"/>
        </w:rPr>
      </w:pPr>
    </w:p>
    <w:tbl>
      <w:tblPr>
        <w:tblStyle w:val="13"/>
        <w:tblW w:w="83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278" w:hRule="atLeast"/>
        </w:trPr>
        <w:tc>
          <w:tcPr>
            <w:tcW w:w="8382" w:type="dxa"/>
            <w:noWrap w:val="0"/>
            <w:vAlign w:val="top"/>
          </w:tcPr>
          <w:p>
            <w:pPr>
              <w:adjustRightInd w:val="0"/>
              <w:snapToGrid w:val="0"/>
              <w:spacing w:before="24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sz w:val="24"/>
              </w:rPr>
              <w:t>指导教师意见</w:t>
            </w:r>
            <w:r>
              <w:rPr>
                <w:rFonts w:hint="eastAsia" w:ascii="宋体"/>
                <w:color w:val="000000"/>
                <w:sz w:val="24"/>
              </w:rPr>
              <w:t>：</w:t>
            </w: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adjustRightInd w:val="0"/>
              <w:snapToGrid w:val="0"/>
              <w:rPr>
                <w:rFonts w:hint="eastAsia" w:ascii="宋体"/>
                <w:color w:val="FF0000"/>
                <w:sz w:val="24"/>
              </w:rPr>
            </w:pPr>
          </w:p>
          <w:p>
            <w:pPr>
              <w:tabs>
                <w:tab w:val="left" w:pos="4900"/>
                <w:tab w:val="right" w:pos="7472"/>
              </w:tabs>
              <w:rPr>
                <w:rFonts w:hint="eastAsia" w:ascii="宋体"/>
                <w:sz w:val="24"/>
              </w:rPr>
            </w:pPr>
          </w:p>
          <w:p>
            <w:pPr>
              <w:tabs>
                <w:tab w:val="left" w:pos="4900"/>
                <w:tab w:val="right" w:pos="7472"/>
              </w:tabs>
              <w:rPr>
                <w:rFonts w:hint="eastAsia" w:ascii="宋体"/>
                <w:sz w:val="24"/>
              </w:rPr>
            </w:pPr>
          </w:p>
          <w:p>
            <w:pPr>
              <w:tabs>
                <w:tab w:val="left" w:pos="4900"/>
                <w:tab w:val="right" w:pos="7472"/>
              </w:tabs>
              <w:rPr>
                <w:rFonts w:hint="eastAsia" w:ascii="宋体"/>
                <w:sz w:val="24"/>
              </w:rPr>
            </w:pPr>
          </w:p>
          <w:p>
            <w:pPr>
              <w:tabs>
                <w:tab w:val="left" w:pos="4900"/>
                <w:tab w:val="right" w:pos="7472"/>
              </w:tabs>
              <w:rPr>
                <w:rFonts w:hint="eastAsia" w:ascii="宋体"/>
                <w:sz w:val="24"/>
              </w:rPr>
            </w:pPr>
          </w:p>
          <w:p>
            <w:pPr>
              <w:tabs>
                <w:tab w:val="left" w:pos="4900"/>
                <w:tab w:val="right" w:pos="7472"/>
              </w:tabs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ind w:firstLine="5040" w:firstLineChars="2100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指导教师签名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u w:val="single"/>
              </w:rPr>
              <w:t xml:space="preserve">              </w:t>
            </w:r>
            <w:r>
              <w:rPr>
                <w:rFonts w:hint="eastAsia" w:ascii="宋体"/>
                <w:sz w:val="24"/>
              </w:rPr>
              <w:t xml:space="preserve">  </w:t>
            </w:r>
          </w:p>
          <w:p>
            <w:pPr>
              <w:spacing w:before="240" w:line="360" w:lineRule="auto"/>
              <w:ind w:firstLine="720" w:firstLineChars="300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53" w:hRule="atLeast"/>
        </w:trPr>
        <w:tc>
          <w:tcPr>
            <w:tcW w:w="8382" w:type="dxa"/>
            <w:noWrap w:val="0"/>
            <w:vAlign w:val="top"/>
          </w:tcPr>
          <w:p>
            <w:pPr>
              <w:spacing w:before="24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学院（系）意见：</w:t>
            </w:r>
          </w:p>
          <w:p>
            <w:pPr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 xml:space="preserve">               </w:t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</w:p>
          <w:p>
            <w:pPr>
              <w:ind w:firstLine="720" w:firstLineChars="180"/>
              <w:rPr>
                <w:rFonts w:hint="eastAsia" w:ascii="宋体" w:hAnsi="宋体"/>
                <w:spacing w:val="80"/>
                <w:sz w:val="24"/>
              </w:rPr>
            </w:pPr>
          </w:p>
          <w:p>
            <w:pPr>
              <w:ind w:firstLine="720" w:firstLineChars="180"/>
              <w:rPr>
                <w:rFonts w:hint="eastAsia" w:ascii="宋体" w:hAnsi="宋体"/>
                <w:spacing w:val="80"/>
                <w:sz w:val="24"/>
              </w:rPr>
            </w:pPr>
          </w:p>
          <w:p>
            <w:pPr>
              <w:ind w:firstLine="720" w:firstLineChars="180"/>
              <w:rPr>
                <w:rFonts w:hint="eastAsia" w:ascii="宋体" w:hAnsi="宋体"/>
                <w:spacing w:val="80"/>
                <w:sz w:val="24"/>
              </w:rPr>
            </w:pPr>
          </w:p>
          <w:p>
            <w:pPr>
              <w:ind w:firstLine="720" w:firstLineChars="180"/>
              <w:rPr>
                <w:rFonts w:hint="eastAsia" w:ascii="宋体" w:hAnsi="宋体"/>
                <w:spacing w:val="80"/>
                <w:sz w:val="24"/>
              </w:rPr>
            </w:pPr>
          </w:p>
          <w:p>
            <w:pPr>
              <w:ind w:firstLine="720" w:firstLineChars="18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pacing w:val="80"/>
                <w:sz w:val="24"/>
              </w:rPr>
              <w:t>审查结</w:t>
            </w:r>
            <w:r>
              <w:rPr>
                <w:rFonts w:hint="eastAsia" w:ascii="宋体" w:hAnsi="宋体"/>
                <w:sz w:val="24"/>
              </w:rPr>
              <w:t>果： □  同 意    □  不 同 意</w:t>
            </w:r>
          </w:p>
          <w:p>
            <w:pPr>
              <w:ind w:firstLine="432" w:firstLineChars="180"/>
              <w:rPr>
                <w:rFonts w:hint="eastAsia" w:ascii="宋体" w:hAnsi="宋体"/>
                <w:sz w:val="24"/>
              </w:rPr>
            </w:pPr>
          </w:p>
          <w:p>
            <w:pPr>
              <w:tabs>
                <w:tab w:val="left" w:pos="4910"/>
                <w:tab w:val="right" w:pos="7472"/>
              </w:tabs>
              <w:ind w:firstLine="4560" w:firstLineChars="1900"/>
              <w:rPr>
                <w:rFonts w:hint="eastAsia" w:ascii="宋体" w:hAnsi="宋体"/>
                <w:sz w:val="24"/>
              </w:rPr>
            </w:pPr>
          </w:p>
          <w:p>
            <w:pPr>
              <w:tabs>
                <w:tab w:val="left" w:pos="4910"/>
                <w:tab w:val="right" w:pos="7472"/>
              </w:tabs>
              <w:rPr>
                <w:rFonts w:hint="eastAsia" w:asci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学院（系）负责人签名：</w:t>
            </w:r>
            <w:r>
              <w:rPr>
                <w:rFonts w:hint="eastAsia" w:ascii="宋体"/>
                <w:sz w:val="24"/>
                <w:u w:val="single"/>
              </w:rPr>
              <w:t xml:space="preserve">              </w:t>
            </w:r>
          </w:p>
          <w:p>
            <w:pPr>
              <w:tabs>
                <w:tab w:val="left" w:pos="4910"/>
                <w:tab w:val="right" w:pos="7472"/>
              </w:tabs>
              <w:rPr>
                <w:rFonts w:hint="eastAsia" w:ascii="宋体" w:hAnsi="宋体"/>
                <w:sz w:val="24"/>
              </w:rPr>
            </w:pPr>
          </w:p>
          <w:p>
            <w:pPr>
              <w:tabs>
                <w:tab w:val="left" w:pos="4900"/>
                <w:tab w:val="right" w:pos="7472"/>
              </w:tabs>
              <w:rPr>
                <w:rFonts w:hint="eastAsia"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年    月    日</w:t>
            </w:r>
          </w:p>
        </w:tc>
      </w:tr>
    </w:tbl>
    <w:p>
      <w:pPr>
        <w:tabs>
          <w:tab w:val="left" w:pos="8222"/>
        </w:tabs>
        <w:ind w:right="-216"/>
        <w:jc w:val="left"/>
        <w:rPr>
          <w:rFonts w:hint="eastAsia" w:ascii="宋体" w:hAnsi="宋体"/>
          <w:szCs w:val="21"/>
        </w:rPr>
      </w:pPr>
    </w:p>
    <w:sectPr>
      <w:headerReference r:id="rId3" w:type="default"/>
      <w:pgSz w:w="11906" w:h="16838"/>
      <w:pgMar w:top="1440" w:right="17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  <w:rPr>
        <w:rFonts w:hint="eastAsia"/>
      </w:rPr>
    </w:pPr>
    <w:r>
      <w:rPr>
        <w:rFonts w:ascii="宋体" w:hAnsi="宋体"/>
        <w:sz w:val="24"/>
        <w:lang/>
      </w:rPr>
      <w:drawing>
        <wp:inline distT="0" distB="0" distL="114300" distR="114300">
          <wp:extent cx="1597025" cy="419735"/>
          <wp:effectExtent l="0" t="0" r="3175" b="6985"/>
          <wp:docPr id="3" name="图片 1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Documents and Settings\wyf\桌面\新校徽\完整使用\完整-红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7025" cy="419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sz w:val="24"/>
        <w:lang/>
      </w:rPr>
      <w:t xml:space="preserve">                </w:t>
    </w:r>
    <w:r>
      <w:rPr>
        <w:rFonts w:hint="eastAsia" w:ascii="宋体" w:hAnsi="宋体"/>
        <w:lang/>
      </w:rPr>
      <w:t xml:space="preserve">                 毕业设计（论文）中期检查报告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1C"/>
    <w:rsid w:val="00004106"/>
    <w:rsid w:val="000161E8"/>
    <w:rsid w:val="000768C5"/>
    <w:rsid w:val="000A6F39"/>
    <w:rsid w:val="001302F6"/>
    <w:rsid w:val="00131236"/>
    <w:rsid w:val="00152638"/>
    <w:rsid w:val="001A3D3A"/>
    <w:rsid w:val="001C7745"/>
    <w:rsid w:val="001D4CB8"/>
    <w:rsid w:val="001F1DC9"/>
    <w:rsid w:val="00206FBF"/>
    <w:rsid w:val="00212225"/>
    <w:rsid w:val="002A1E1A"/>
    <w:rsid w:val="002B592B"/>
    <w:rsid w:val="002F41C6"/>
    <w:rsid w:val="003626D7"/>
    <w:rsid w:val="003D5703"/>
    <w:rsid w:val="003E7B59"/>
    <w:rsid w:val="0041253B"/>
    <w:rsid w:val="00413F99"/>
    <w:rsid w:val="00443AEB"/>
    <w:rsid w:val="004536D2"/>
    <w:rsid w:val="00453701"/>
    <w:rsid w:val="00494043"/>
    <w:rsid w:val="0049419D"/>
    <w:rsid w:val="004954FD"/>
    <w:rsid w:val="004A3681"/>
    <w:rsid w:val="004D3CC4"/>
    <w:rsid w:val="004E3F81"/>
    <w:rsid w:val="004E6F6F"/>
    <w:rsid w:val="005574C1"/>
    <w:rsid w:val="005F241C"/>
    <w:rsid w:val="00647121"/>
    <w:rsid w:val="00684165"/>
    <w:rsid w:val="006955FE"/>
    <w:rsid w:val="007217AF"/>
    <w:rsid w:val="00747166"/>
    <w:rsid w:val="00774A8C"/>
    <w:rsid w:val="007A4467"/>
    <w:rsid w:val="007B7F98"/>
    <w:rsid w:val="00820A1A"/>
    <w:rsid w:val="0082471F"/>
    <w:rsid w:val="00874815"/>
    <w:rsid w:val="00887EBA"/>
    <w:rsid w:val="008C19F1"/>
    <w:rsid w:val="008F4942"/>
    <w:rsid w:val="008F68D5"/>
    <w:rsid w:val="009017DC"/>
    <w:rsid w:val="00904774"/>
    <w:rsid w:val="009312E1"/>
    <w:rsid w:val="009349D4"/>
    <w:rsid w:val="00961F4F"/>
    <w:rsid w:val="00976384"/>
    <w:rsid w:val="009D5777"/>
    <w:rsid w:val="009E3AAE"/>
    <w:rsid w:val="009E4358"/>
    <w:rsid w:val="00A25B12"/>
    <w:rsid w:val="00AD6F9E"/>
    <w:rsid w:val="00AE21C7"/>
    <w:rsid w:val="00B519E3"/>
    <w:rsid w:val="00BA6D34"/>
    <w:rsid w:val="00BA79D7"/>
    <w:rsid w:val="00BC3EB3"/>
    <w:rsid w:val="00C73EA1"/>
    <w:rsid w:val="00C77358"/>
    <w:rsid w:val="00CD57E3"/>
    <w:rsid w:val="00CE3D57"/>
    <w:rsid w:val="00D1385B"/>
    <w:rsid w:val="00D148F5"/>
    <w:rsid w:val="00D24E50"/>
    <w:rsid w:val="00D62B6B"/>
    <w:rsid w:val="00DC2A4E"/>
    <w:rsid w:val="00DE0FCA"/>
    <w:rsid w:val="00E468A8"/>
    <w:rsid w:val="00E60DEE"/>
    <w:rsid w:val="00EC20C9"/>
    <w:rsid w:val="00EE6830"/>
    <w:rsid w:val="00F065B4"/>
    <w:rsid w:val="00F07A64"/>
    <w:rsid w:val="00FA1A27"/>
    <w:rsid w:val="00FB116B"/>
    <w:rsid w:val="41BA31A6"/>
    <w:rsid w:val="4E8E0BF9"/>
    <w:rsid w:val="687A641A"/>
    <w:rsid w:val="772F56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rPr>
      <w:rFonts w:ascii="黑体"/>
      <w:b/>
      <w:bCs/>
      <w:sz w:val="44"/>
    </w:rPr>
  </w:style>
  <w:style w:type="paragraph" w:styleId="7">
    <w:name w:val="Body Text Indent"/>
    <w:basedOn w:val="1"/>
    <w:link w:val="21"/>
    <w:uiPriority w:val="0"/>
    <w:pPr>
      <w:spacing w:line="360" w:lineRule="exact"/>
      <w:ind w:left="538" w:hanging="538" w:hangingChars="192"/>
    </w:pPr>
    <w:rPr>
      <w:sz w:val="28"/>
    </w:rPr>
  </w:style>
  <w:style w:type="paragraph" w:styleId="8">
    <w:name w:val="Balloon Text"/>
    <w:basedOn w:val="1"/>
    <w:link w:val="22"/>
    <w:unhideWhenUsed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link w:val="25"/>
    <w:qFormat/>
    <w:uiPriority w:val="0"/>
    <w:pPr>
      <w:jc w:val="center"/>
      <w:outlineLvl w:val="1"/>
    </w:pPr>
    <w:rPr>
      <w:rFonts w:eastAsia="黑体" w:cs="Arial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4">
    <w:name w:val="Table Grid"/>
    <w:basedOn w:val="13"/>
    <w:uiPriority w:val="59"/>
    <w:tblPr>
      <w:tblStyle w:val="1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6">
    <w:name w:val="Strong"/>
    <w:basedOn w:val="15"/>
    <w:qFormat/>
    <w:uiPriority w:val="0"/>
    <w:rPr>
      <w:b/>
      <w:bCs/>
    </w:rPr>
  </w:style>
  <w:style w:type="character" w:customStyle="1" w:styleId="17">
    <w:name w:val="标题 1 Char"/>
    <w:basedOn w:val="15"/>
    <w:link w:val="2"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18">
    <w:name w:val="标题 2 Char"/>
    <w:basedOn w:val="15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9">
    <w:name w:val="标题 3 Char"/>
    <w:basedOn w:val="15"/>
    <w:link w:val="4"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20">
    <w:name w:val="标题 4 Char"/>
    <w:basedOn w:val="15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1">
    <w:name w:val="正文文本缩进 Char"/>
    <w:basedOn w:val="15"/>
    <w:link w:val="7"/>
    <w:uiPriority w:val="0"/>
    <w:rPr>
      <w:rFonts w:ascii="Times New Roman" w:hAnsi="Times New Roman"/>
      <w:kern w:val="2"/>
      <w:sz w:val="28"/>
      <w:szCs w:val="24"/>
    </w:rPr>
  </w:style>
  <w:style w:type="character" w:customStyle="1" w:styleId="22">
    <w:name w:val="批注框文本 Char"/>
    <w:basedOn w:val="15"/>
    <w:link w:val="8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3">
    <w:name w:val="页脚 Char"/>
    <w:basedOn w:val="15"/>
    <w:link w:val="9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4">
    <w:name w:val="页眉 Char"/>
    <w:basedOn w:val="15"/>
    <w:link w:val="10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5">
    <w:name w:val="副标题 Char"/>
    <w:basedOn w:val="15"/>
    <w:link w:val="11"/>
    <w:uiPriority w:val="0"/>
    <w:rPr>
      <w:rFonts w:ascii="Times New Roman" w:hAnsi="Times New Roman" w:eastAsia="黑体" w:cs="Arial"/>
      <w:b/>
      <w:bCs/>
      <w:kern w:val="28"/>
      <w:sz w:val="32"/>
      <w:szCs w:val="32"/>
    </w:rPr>
  </w:style>
  <w:style w:type="character" w:customStyle="1" w:styleId="26">
    <w:name w:val="标题 Char"/>
    <w:basedOn w:val="15"/>
    <w:link w:val="12"/>
    <w:uiPriority w:val="10"/>
    <w:rPr>
      <w:rFonts w:ascii="Cambria" w:hAnsi="Cambria"/>
      <w:b/>
      <w:bCs/>
      <w:kern w:val="2"/>
      <w:sz w:val="32"/>
      <w:szCs w:val="32"/>
    </w:rPr>
  </w:style>
  <w:style w:type="character" w:styleId="27">
    <w:name w:val=""/>
    <w:basedOn w:val="15"/>
    <w:qFormat/>
    <w:uiPriority w:val="33"/>
    <w:rPr>
      <w:b/>
      <w:bCs/>
      <w:smallCaps/>
      <w:spacing w:val="5"/>
    </w:rPr>
  </w:style>
  <w:style w:type="character" w:customStyle="1" w:styleId="28">
    <w:name w:val="无间隔 Char"/>
    <w:basedOn w:val="15"/>
    <w:link w:val="29"/>
    <w:locked/>
    <w:uiPriority w:val="1"/>
    <w:rPr>
      <w:rFonts w:ascii="Times New Roman" w:hAnsi="Times New Roman"/>
      <w:sz w:val="21"/>
      <w:lang w:val="en-US" w:eastAsia="zh-CN" w:bidi="ar-SA"/>
    </w:rPr>
  </w:style>
  <w:style w:type="paragraph" w:styleId="29">
    <w:name w:val="No Spacing"/>
    <w:link w:val="28"/>
    <w:qFormat/>
    <w:uiPriority w:val="1"/>
    <w:pPr>
      <w:widowControl w:val="0"/>
      <w:adjustRightInd w:val="0"/>
      <w:jc w:val="both"/>
      <w:textAlignment w:val="bottom"/>
    </w:pPr>
    <w:rPr>
      <w:rFonts w:ascii="Times New Roman" w:hAnsi="Times New Roman"/>
      <w:sz w:val="21"/>
      <w:lang w:val="en-US" w:eastAsia="zh-CN" w:bidi="ar-SA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6</Pages>
  <Words>2033</Words>
  <Characters>2323</Characters>
  <Lines>6</Lines>
  <Paragraphs>1</Paragraphs>
  <TotalTime>0</TotalTime>
  <ScaleCrop>false</ScaleCrop>
  <LinksUpToDate>false</LinksUpToDate>
  <CharactersWithSpaces>2644</CharactersWithSpaces>
  <Application>WPS Office_12.1.0.15120_F1E327BC-269C-435d-A152-05C5408002CA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2012-03-31T04:02:00Z</dcterms:created>
  <dc:creator>HuangZhenbao</dc:creator>
  <cp:lastModifiedBy>wyx0926</cp:lastModifiedBy>
  <dcterms:modified xsi:type="dcterms:W3CDTF">2023-08-16T04:04:56Z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8373EF40A97B4CB4BA9EFFB72987EE8C_13</vt:lpwstr>
  </property>
</Properties>
</file>