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1"/>
      </w:pPr>
      <w:r>
        <w:rPr>
          <w:color w:val="A06000"/>
        </w:rPr>
        <w:t>3. Assigner (/work-assigner)</w:t>
      </w:r>
    </w:p>
    <w:p>
      <w:pPr>
        <w:pStyle w:val="ListNumber"/>
      </w:pPr>
      <w:r>
        <w:t>Pick an approved plan; the farm's workers load in the picker.</w:t>
      </w:r>
    </w:p>
    <w:p>
      <w:pPr>
        <w:pStyle w:val="ListNumber"/>
      </w:pPr>
      <w:r>
        <w:t>Every worker carries live badges: presence (P · 06:12 scanned in, 'not in yet', or 'night shift'), off days in the window, leave, absences, and 'assigned elsewhere' (a worker on another live assignment for an overlapping period cannot be picked — this prevents double allocation and double pay).</w:t>
      </w:r>
    </w:p>
    <w:p>
      <w:pPr>
        <w:pStyle w:val="ListNumber"/>
      </w:pPr>
      <w:r>
        <w:t>When the window includes today, a presence bar shows how many of the farm's workers have scanned in, with a 'only workers who are in' filter and a Refresh scans link.</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Pipeline performers — planner and assigner economics, per person, with most/least-expensive callouts (judged only on people with real volume, more than 500 units). Column key: Plans = approved plans created in the window; Target qty = the output those plans promised; Actual qty = confirmed output delivered; Achieved = Actual ÷ Target (green 90%+, amber 60%+, red below); Budget KES = what the plans are worth if fully delivered (rate × target); Spent KES = confirmed pay earned on them; Of budget = Spent ÷ Budget — low is NOT automatically savings, read it with Achieved (50% spent at 50% achieved just means half the work happened); KES/unit = Spent ÷ Actual, what one unit of output cost under this person. 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