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390" w:lineRule="atLeast"/>
        <w:rPr>
          <w:sz w:val="28"/>
          <w:szCs w:val="28"/>
        </w:rPr>
      </w:pPr>
      <w:bookmarkStart w:id="0" w:name="_GoBack"/>
      <w:bookmarkEnd w:id="0"/>
      <w:r>
        <w:rPr>
          <w:rStyle w:val="22"/>
          <w:rFonts w:ascii="Arial;Helvetica;Tahoma" w:hAnsi="Arial;Helvetica;Tahoma"/>
          <w:color w:val="000000"/>
          <w:sz w:val="28"/>
          <w:szCs w:val="28"/>
        </w:rPr>
        <w:t>Board of Directors Resolutions</w:t>
      </w:r>
    </w:p>
    <w:p>
      <w:pPr>
        <w:pStyle w:val="4"/>
        <w:spacing w:line="390" w:lineRule="atLeast"/>
      </w:pPr>
      <w:r>
        <w:rPr>
          <w:rFonts w:ascii="Arial;Helvetica;Tahoma" w:hAnsi="Arial;Helvetica;Tahoma"/>
          <w:color w:val="000000"/>
          <w:sz w:val="23"/>
        </w:rPr>
        <w:t>Date [</w:t>
      </w:r>
      <w:r>
        <w:rPr>
          <w:rFonts w:ascii="Arial;Helvetica;Tahoma" w:hAnsi="Arial;Helvetica;Tahoma"/>
          <w:color w:val="000000"/>
          <w:sz w:val="23"/>
          <w:shd w:val="clear" w:color="auto" w:fill="00FF00"/>
        </w:rPr>
        <w:t>Date</w:t>
      </w:r>
      <w:r>
        <w:rPr>
          <w:rFonts w:ascii="Arial;Helvetica;Tahoma" w:hAnsi="Arial;Helvetica;Tahoma"/>
          <w:color w:val="000000"/>
          <w:sz w:val="23"/>
        </w:rPr>
        <w:t>]</w:t>
      </w:r>
    </w:p>
    <w:p>
      <w:pPr>
        <w:pStyle w:val="4"/>
        <w:spacing w:line="390" w:lineRule="atLeast"/>
      </w:pPr>
      <w:r>
        <w:rPr>
          <w:rStyle w:val="22"/>
          <w:rFonts w:ascii="Arial;Helvetica;Tahoma" w:hAnsi="Arial;Helvetica;Tahoma"/>
          <w:color w:val="000000"/>
          <w:sz w:val="23"/>
        </w:rPr>
        <w:t>Grant of Stock Options</w:t>
      </w:r>
    </w:p>
    <w:p>
      <w:pPr>
        <w:pStyle w:val="4"/>
        <w:spacing w:line="390" w:lineRule="atLeast"/>
      </w:pPr>
      <w:r>
        <w:rPr>
          <w:rStyle w:val="22"/>
          <w:rFonts w:ascii="Arial;Helvetica;Tahoma" w:hAnsi="Arial;Helvetica;Tahoma"/>
          <w:color w:val="000000"/>
          <w:sz w:val="23"/>
        </w:rPr>
        <w:t>WHEREAS</w:t>
      </w:r>
      <w:r>
        <w:rPr>
          <w:rFonts w:ascii="Arial;Helvetica;Tahoma" w:hAnsi="Arial;Helvetica;Tahoma"/>
          <w:color w:val="000000"/>
          <w:sz w:val="23"/>
        </w:rPr>
        <w:t>, the Board of Directors (the “Board”) of [</w:t>
      </w:r>
      <w:r>
        <w:rPr>
          <w:rFonts w:ascii="Arial;Helvetica;Tahoma" w:hAnsi="Arial;Helvetica;Tahoma"/>
          <w:color w:val="000000"/>
          <w:sz w:val="23"/>
          <w:shd w:val="clear" w:color="auto" w:fill="00FF00"/>
        </w:rPr>
        <w:t>Company Name</w:t>
      </w:r>
      <w:r>
        <w:rPr>
          <w:rFonts w:ascii="Arial;Helvetica;Tahoma" w:hAnsi="Arial;Helvetica;Tahoma"/>
          <w:color w:val="000000"/>
          <w:sz w:val="23"/>
        </w:rPr>
        <w:t>], a (the “Company”) has determined that it is in the best interest of the Company to grant stock options (the “Options”) to those persons whose names are set forth on Exhibit A (the “Optionees”), pursuant to the Company’s [</w:t>
      </w:r>
      <w:r>
        <w:rPr>
          <w:rFonts w:ascii="Arial;Helvetica;Tahoma" w:hAnsi="Arial;Helvetica;Tahoma"/>
          <w:color w:val="000000"/>
          <w:sz w:val="23"/>
          <w:shd w:val="clear" w:color="auto" w:fill="00FF00"/>
        </w:rPr>
        <w:t>Equity Incentive Plan Year</w:t>
      </w:r>
      <w:r>
        <w:rPr>
          <w:rFonts w:ascii="Arial;Helvetica;Tahoma" w:hAnsi="Arial;Helvetica;Tahoma"/>
          <w:color w:val="000000"/>
          <w:sz w:val="23"/>
        </w:rPr>
        <w:t>] Equity Incentive Plan, as amended (the “Plan”). </w:t>
      </w:r>
    </w:p>
    <w:p>
      <w:pPr>
        <w:pStyle w:val="4"/>
        <w:spacing w:line="390" w:lineRule="atLeast"/>
      </w:pPr>
      <w:r>
        <w:rPr>
          <w:rStyle w:val="22"/>
          <w:rFonts w:ascii="Arial;Helvetica;Tahoma" w:hAnsi="Arial;Helvetica;Tahoma"/>
          <w:color w:val="000000"/>
          <w:sz w:val="23"/>
        </w:rPr>
        <w:t>WHEREAS</w:t>
      </w:r>
      <w:r>
        <w:rPr>
          <w:rFonts w:ascii="Arial;Helvetica;Tahoma" w:hAnsi="Arial;Helvetica;Tahoma"/>
          <w:color w:val="000000"/>
          <w:sz w:val="23"/>
        </w:rPr>
        <w:t>, the Board has considered all relevant factors related to the fair market value of the Company’s Common Stock, par value [</w:t>
      </w:r>
      <w:r>
        <w:rPr>
          <w:rFonts w:ascii="Arial;Helvetica;Tahoma" w:hAnsi="Arial;Helvetica;Tahoma"/>
          <w:color w:val="000000"/>
          <w:sz w:val="23"/>
          <w:shd w:val="clear" w:color="auto" w:fill="00FF00"/>
        </w:rPr>
        <w:t>Stock Par Value</w:t>
      </w:r>
      <w:r>
        <w:rPr>
          <w:rFonts w:ascii="Arial;Helvetica;Tahoma" w:hAnsi="Arial;Helvetica;Tahoma"/>
          <w:color w:val="000000"/>
          <w:sz w:val="23"/>
        </w:rPr>
        <w:t>] per share, (“Common Stock”) including but not limited to, the Company’s current financial condition, anticipated expenses, valuations of comparable companies, financing prospects, current and potential strategic relationships, competitive developments and related matters[,the aggregate liquidation preference of the Company’s preferred stock to be issued pursuant to the Company’s Certificate of Incorporation</w:t>
      </w:r>
    </w:p>
    <w:p>
      <w:pPr>
        <w:pStyle w:val="4"/>
        <w:spacing w:line="390" w:lineRule="atLeast"/>
      </w:pPr>
      <w:r>
        <w:rPr>
          <w:rStyle w:val="10"/>
          <w:rFonts w:ascii="Arial;Helvetica;Tahoma" w:hAnsi="Arial;Helvetica;Tahoma"/>
          <w:color w:val="000000"/>
          <w:sz w:val="23"/>
        </w:rPr>
        <w:t>Alt #1 </w:t>
      </w:r>
      <w:r>
        <w:rPr>
          <w:rStyle w:val="22"/>
          <w:rFonts w:ascii="Arial;Helvetica;Tahoma" w:hAnsi="Arial;Helvetica;Tahoma"/>
          <w:color w:val="000000"/>
          <w:sz w:val="23"/>
          <w:shd w:val="clear" w:color="auto" w:fill="FFFF00"/>
        </w:rPr>
        <w:t>WHEREAS</w:t>
      </w:r>
      <w:r>
        <w:rPr>
          <w:rFonts w:ascii="Arial;Helvetica;Tahoma" w:hAnsi="Arial;Helvetica;Tahoma"/>
          <w:color w:val="000000"/>
          <w:sz w:val="23"/>
          <w:shd w:val="clear" w:color="auto" w:fill="FFFF00"/>
        </w:rPr>
        <w:t>, That the Board has reviewed the written valuation report dated [</w:t>
      </w:r>
      <w:r>
        <w:rPr>
          <w:rFonts w:ascii="Arial;Helvetica;Tahoma" w:hAnsi="Arial;Helvetica;Tahoma"/>
          <w:color w:val="000000"/>
          <w:sz w:val="23"/>
          <w:shd w:val="clear" w:color="auto" w:fill="00FF00"/>
        </w:rPr>
        <w:t>Valuation Report Date</w:t>
      </w:r>
      <w:r>
        <w:rPr>
          <w:rFonts w:ascii="Arial;Helvetica;Tahoma" w:hAnsi="Arial;Helvetica;Tahoma"/>
          <w:color w:val="000000"/>
          <w:sz w:val="23"/>
          <w:shd w:val="clear" w:color="auto" w:fill="FFFF00"/>
        </w:rPr>
        <w:t>] and has determined that [</w:t>
      </w:r>
      <w:r>
        <w:rPr>
          <w:rFonts w:ascii="Arial;Helvetica;Tahoma" w:hAnsi="Arial;Helvetica;Tahoma"/>
          <w:color w:val="000000"/>
          <w:sz w:val="23"/>
          <w:shd w:val="clear" w:color="auto" w:fill="00FF00"/>
        </w:rPr>
        <w:t>Common Stock Price Per Share</w:t>
      </w:r>
      <w:r>
        <w:rPr>
          <w:rFonts w:ascii="Arial;Helvetica;Tahoma" w:hAnsi="Arial;Helvetica;Tahoma"/>
          <w:color w:val="000000"/>
          <w:sz w:val="23"/>
          <w:shd w:val="clear" w:color="auto" w:fill="FFFF00"/>
        </w:rPr>
        <w:t>] per share (the per share value reflected in the written valuation report) is the current fair market value of the Company’s Common Stock, which determination has been made in good faith, based on all of the relevant facts and circumstances as of the date hereof.</w:t>
      </w:r>
    </w:p>
    <w:p>
      <w:pPr>
        <w:pStyle w:val="4"/>
        <w:spacing w:line="390" w:lineRule="atLeast"/>
      </w:pPr>
      <w:r>
        <w:rPr>
          <w:rStyle w:val="10"/>
          <w:rFonts w:ascii="Arial;Helvetica;Tahoma" w:hAnsi="Arial;Helvetica;Tahoma"/>
          <w:color w:val="000000"/>
          <w:sz w:val="23"/>
        </w:rPr>
        <w:t>Alt # 2 </w:t>
      </w:r>
      <w:r>
        <w:rPr>
          <w:rStyle w:val="22"/>
          <w:rFonts w:ascii="Arial;Helvetica;Tahoma" w:hAnsi="Arial;Helvetica;Tahoma"/>
          <w:color w:val="000000"/>
          <w:sz w:val="23"/>
          <w:shd w:val="clear" w:color="auto" w:fill="FFFF00"/>
        </w:rPr>
        <w:t>WHEREAS</w:t>
      </w:r>
      <w:r>
        <w:rPr>
          <w:rFonts w:ascii="Arial;Helvetica;Tahoma" w:hAnsi="Arial;Helvetica;Tahoma"/>
          <w:color w:val="000000"/>
          <w:sz w:val="23"/>
          <w:shd w:val="clear" w:color="auto" w:fill="FFFF00"/>
        </w:rPr>
        <w:t>, the Board has determined that the fair market value of the Company’s Common Stock as of the date hereof is [</w:t>
      </w:r>
      <w:r>
        <w:rPr>
          <w:rFonts w:ascii="Arial;Helvetica;Tahoma" w:hAnsi="Arial;Helvetica;Tahoma"/>
          <w:color w:val="000000"/>
          <w:sz w:val="23"/>
          <w:shd w:val="clear" w:color="auto" w:fill="00FF00"/>
        </w:rPr>
        <w:t>Common Stock Price Per Share</w:t>
      </w:r>
      <w:r>
        <w:rPr>
          <w:rFonts w:ascii="Arial;Helvetica;Tahoma" w:hAnsi="Arial;Helvetica;Tahoma"/>
          <w:color w:val="000000"/>
          <w:sz w:val="23"/>
          <w:shd w:val="clear" w:color="auto" w:fill="FFFF00"/>
        </w:rPr>
        <w:t>] per share.</w:t>
      </w:r>
    </w:p>
    <w:p>
      <w:pPr>
        <w:pStyle w:val="4"/>
        <w:spacing w:line="390" w:lineRule="atLeast"/>
      </w:pPr>
      <w:r>
        <w:rPr>
          <w:rStyle w:val="22"/>
          <w:rFonts w:ascii="Arial;Helvetica;Tahoma" w:hAnsi="Arial;Helvetica;Tahoma"/>
          <w:color w:val="000000"/>
          <w:sz w:val="23"/>
        </w:rPr>
        <w:t>NOW, THEREFORE, BE IT RESOLVED</w:t>
      </w:r>
      <w:r>
        <w:rPr>
          <w:rFonts w:ascii="Arial;Helvetica;Tahoma" w:hAnsi="Arial;Helvetica;Tahoma"/>
          <w:color w:val="000000"/>
          <w:sz w:val="23"/>
        </w:rPr>
        <w:t>, that each Optionee shall be granted an Option to purchase the number of shares of Common Stock set forth opposite such Optionee’s name pursuant to the Plan, subject to compliance with applicable securities laws.</w:t>
      </w:r>
    </w:p>
    <w:p>
      <w:pPr>
        <w:pStyle w:val="4"/>
        <w:spacing w:line="390" w:lineRule="atLeast"/>
      </w:pPr>
      <w:r>
        <w:rPr>
          <w:rStyle w:val="22"/>
          <w:rFonts w:ascii="Arial;Helvetica;Tahoma" w:hAnsi="Arial;Helvetica;Tahoma"/>
          <w:color w:val="000000"/>
          <w:sz w:val="23"/>
        </w:rPr>
        <w:t>RESOLVED FURTHER</w:t>
      </w:r>
      <w:r>
        <w:rPr>
          <w:rFonts w:ascii="Arial;Helvetica;Tahoma" w:hAnsi="Arial;Helvetica;Tahoma"/>
          <w:color w:val="000000"/>
          <w:sz w:val="23"/>
        </w:rPr>
        <w:t>, that the exercise price of each Option shall be [</w:t>
      </w:r>
      <w:r>
        <w:rPr>
          <w:rFonts w:ascii="Arial;Helvetica;Tahoma" w:hAnsi="Arial;Helvetica;Tahoma"/>
          <w:color w:val="000000"/>
          <w:sz w:val="23"/>
          <w:shd w:val="clear" w:color="auto" w:fill="00FF00"/>
        </w:rPr>
        <w:t>Common Stock Price Per Share</w:t>
      </w:r>
      <w:r>
        <w:rPr>
          <w:rFonts w:ascii="Arial;Helvetica;Tahoma" w:hAnsi="Arial;Helvetica;Tahoma"/>
          <w:color w:val="000000"/>
          <w:sz w:val="23"/>
        </w:rPr>
        <w:t>] per share, which the Board has determined to be equal to the fair market value of a share of Common Stock as of the date of these resolutions. </w:t>
      </w:r>
    </w:p>
    <w:p>
      <w:pPr>
        <w:pStyle w:val="4"/>
        <w:spacing w:line="390" w:lineRule="atLeast"/>
        <w:ind w:left="600"/>
      </w:pPr>
      <w:r>
        <w:rPr>
          <w:rStyle w:val="22"/>
          <w:rFonts w:ascii="Arial;Helvetica;Tahoma" w:hAnsi="Arial;Helvetica;Tahoma"/>
          <w:color w:val="000000"/>
          <w:sz w:val="23"/>
        </w:rPr>
        <w:t xml:space="preserve">RESOLVED FURTHER: </w:t>
      </w:r>
      <w:r>
        <w:rPr>
          <w:rFonts w:ascii="Arial;Helvetica;Tahoma" w:hAnsi="Arial;Helvetica;Tahoma"/>
          <w:color w:val="000000"/>
          <w:sz w:val="23"/>
        </w:rPr>
        <w:t>That, unless otherwise set forth on Exhibit A, each of the Options shall have a ten-year term and be exercisable at the rate of 25% of the shares on the 12-month anniversary of the Vesting Commencement Date, which shall be the date of this meeting (unless otherwise set forth on Exhibit A), and 1/48th of the shares shall vest and become exercisable on the same day of each month thereafter for so long as the recipient of the Option remains an employee of or consultant to the Company.</w:t>
      </w:r>
    </w:p>
    <w:p>
      <w:pPr>
        <w:pStyle w:val="4"/>
        <w:spacing w:line="390" w:lineRule="atLeast"/>
        <w:ind w:left="600"/>
      </w:pPr>
      <w:r>
        <w:rPr>
          <w:rStyle w:val="22"/>
          <w:rFonts w:ascii="Arial;Helvetica;Tahoma" w:hAnsi="Arial;Helvetica;Tahoma"/>
          <w:color w:val="000000"/>
          <w:sz w:val="23"/>
        </w:rPr>
        <w:t xml:space="preserve">RESOLVED FURTHER: </w:t>
      </w:r>
      <w:r>
        <w:rPr>
          <w:rFonts w:ascii="Arial;Helvetica;Tahoma" w:hAnsi="Arial;Helvetica;Tahoma"/>
          <w:color w:val="000000"/>
          <w:sz w:val="23"/>
        </w:rPr>
        <w:t>That each of the Options, unless otherwise indicated on Exhibit A or unless and to the extent limited by applicable law, shall be an Incentive Stock Option under Section 422 of the Internal Revenue Code of 1986, as amended.</w:t>
      </w:r>
    </w:p>
    <w:p>
      <w:pPr>
        <w:pStyle w:val="4"/>
        <w:spacing w:line="390" w:lineRule="atLeast"/>
        <w:ind w:left="600"/>
      </w:pPr>
      <w:r>
        <w:rPr>
          <w:rStyle w:val="22"/>
          <w:rFonts w:ascii="Arial;Helvetica;Tahoma" w:hAnsi="Arial;Helvetica;Tahoma"/>
          <w:color w:val="000000"/>
          <w:sz w:val="23"/>
        </w:rPr>
        <w:t xml:space="preserve">RESOLVED FURTHER: </w:t>
      </w:r>
      <w:r>
        <w:rPr>
          <w:rFonts w:ascii="Arial;Helvetica;Tahoma" w:hAnsi="Arial;Helvetica;Tahoma"/>
          <w:color w:val="000000"/>
          <w:sz w:val="23"/>
        </w:rPr>
        <w:t>That the grant of each Option shall be subject to compliance with applicable securities laws. </w:t>
      </w:r>
    </w:p>
    <w:p>
      <w:pPr>
        <w:pStyle w:val="4"/>
        <w:spacing w:line="390" w:lineRule="atLeast"/>
      </w:pPr>
      <w:r>
        <w:rPr>
          <w:rStyle w:val="22"/>
          <w:rFonts w:ascii="Arial;Helvetica;Tahoma" w:hAnsi="Arial;Helvetica;Tahoma"/>
          <w:color w:val="000000"/>
          <w:sz w:val="23"/>
        </w:rPr>
        <w:t>General Authority and Ratification</w:t>
      </w:r>
    </w:p>
    <w:p>
      <w:pPr>
        <w:pStyle w:val="4"/>
        <w:spacing w:line="390" w:lineRule="atLeast"/>
      </w:pPr>
      <w:r>
        <w:rPr>
          <w:rStyle w:val="22"/>
          <w:rFonts w:ascii="Arial;Helvetica;Tahoma" w:hAnsi="Arial;Helvetica;Tahoma"/>
          <w:color w:val="000000"/>
          <w:sz w:val="23"/>
        </w:rPr>
        <w:t>RESOLVED</w:t>
      </w:r>
      <w:r>
        <w:rPr>
          <w:rFonts w:ascii="Arial;Helvetica;Tahoma" w:hAnsi="Arial;Helvetica;Tahoma"/>
          <w:color w:val="000000"/>
          <w:sz w:val="23"/>
        </w:rPr>
        <w:t>, that the officers of the Company be, and each of them hereby is, authorized and directed, in the name and on behalf of the Company, to prepare or cause to be prepared and to execute, deliver, verify, acknowledge, file or record any documents, instruments, certificates, statements, papers, or any amendments thereto, as may be deemed necessary or advisable in order to effectuate the transactions contemplated by the agreements approved herein, and to take such further steps and do any and all such further acts or things as shall be necessary or desirable to carry out the transactions contemplated by the foregoing resolutions. </w:t>
      </w:r>
    </w:p>
    <w:p>
      <w:pPr>
        <w:pStyle w:val="4"/>
        <w:spacing w:line="390" w:lineRule="atLeast"/>
      </w:pPr>
      <w:r>
        <w:rPr>
          <w:rStyle w:val="22"/>
          <w:rFonts w:ascii="Arial;Helvetica;Tahoma" w:hAnsi="Arial;Helvetica;Tahoma"/>
          <w:color w:val="000000"/>
          <w:sz w:val="23"/>
        </w:rPr>
        <w:t>RESOLVED FURTHER</w:t>
      </w:r>
      <w:r>
        <w:rPr>
          <w:rFonts w:ascii="Arial;Helvetica;Tahoma" w:hAnsi="Arial;Helvetica;Tahoma"/>
          <w:color w:val="000000"/>
          <w:sz w:val="23"/>
        </w:rPr>
        <w:t>, that the authority and power given hereunder be deemed retroactive and any and all acts authorized hereunder performed prior to the passage of these resolutions, be, and they hereby are, ratified, confirmed and approved in all respects. </w:t>
      </w:r>
    </w:p>
    <w:p>
      <w:pPr>
        <w:pStyle w:val="4"/>
        <w:spacing w:line="390" w:lineRule="atLeast"/>
      </w:pPr>
      <w:r>
        <w:rPr>
          <w:color w:val="000000"/>
        </w:rPr>
        <w:t> </w:t>
      </w:r>
    </w:p>
    <w:p>
      <w:pPr>
        <w:pStyle w:val="4"/>
        <w:spacing w:line="390" w:lineRule="atLeast"/>
      </w:pPr>
      <w:r>
        <w:rPr>
          <w:color w:val="000000"/>
        </w:rPr>
        <w:t> </w:t>
      </w:r>
    </w:p>
    <w:p>
      <w:pPr>
        <w:pStyle w:val="4"/>
        <w:spacing w:line="390" w:lineRule="atLeast"/>
        <w:rPr>
          <w:rStyle w:val="22"/>
          <w:rFonts w:ascii="Arial;Helvetica;Tahoma" w:hAnsi="Arial;Helvetica;Tahoma"/>
          <w:color w:val="000000"/>
          <w:sz w:val="23"/>
        </w:rPr>
      </w:pPr>
    </w:p>
    <w:p>
      <w:pPr>
        <w:pStyle w:val="4"/>
        <w:spacing w:line="390" w:lineRule="atLeast"/>
      </w:pPr>
      <w:r>
        <w:rPr>
          <w:rStyle w:val="22"/>
          <w:rFonts w:ascii="Arial;Helvetica;Tahoma" w:hAnsi="Arial;Helvetica;Tahoma"/>
          <w:color w:val="000000"/>
          <w:sz w:val="23"/>
        </w:rPr>
        <w:t>EXHIBIT A: Option Grants</w:t>
      </w:r>
    </w:p>
    <w:p>
      <w:pPr>
        <w:pStyle w:val="4"/>
        <w:spacing w:line="390" w:lineRule="atLeast"/>
      </w:pPr>
      <w:r>
        <w:rPr>
          <w:color w:val="000000"/>
        </w:rPr>
        <w:t> </w:t>
      </w:r>
    </w:p>
    <w:tbl>
      <w:tblPr>
        <w:tblStyle w:val="7"/>
        <w:tblW w:w="0" w:type="auto"/>
        <w:jc w:val="center"/>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52"/>
        <w:gridCol w:w="1872"/>
        <w:gridCol w:w="1984"/>
        <w:gridCol w:w="1340"/>
      </w:tblGrid>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tblHeader/>
          <w:jc w:val="center"/>
        </w:trPr>
        <w:tc>
          <w:tcPr>
            <w:tcW w:w="1141" w:type="dxa"/>
            <w:tcBorders>
              <w:top w:val="single" w:color="808080" w:sz="6" w:space="0"/>
              <w:left w:val="single" w:color="808080" w:sz="6" w:space="0"/>
              <w:bottom w:val="single" w:color="808080" w:sz="2" w:space="0"/>
            </w:tcBorders>
            <w:shd w:val="clear" w:color="auto" w:fill="auto"/>
            <w:tcMar>
              <w:top w:w="28" w:type="dxa"/>
              <w:left w:w="28" w:type="dxa"/>
              <w:bottom w:w="28" w:type="dxa"/>
              <w:right w:w="28" w:type="dxa"/>
            </w:tcMar>
            <w:vAlign w:val="center"/>
          </w:tcPr>
          <w:p>
            <w:pPr>
              <w:pStyle w:val="25"/>
            </w:pPr>
            <w:r>
              <w:br w:type="textWrapping"/>
            </w:r>
            <w:r>
              <w:br w:type="textWrapping"/>
            </w:r>
            <w:r>
              <w:br w:type="textWrapping"/>
            </w:r>
            <w:r>
              <w:rPr>
                <w:rStyle w:val="22"/>
                <w:b w:val="0"/>
                <w:bCs w:val="0"/>
              </w:rPr>
              <w:t>Optionee Name and Address</w:t>
            </w:r>
          </w:p>
        </w:tc>
        <w:tc>
          <w:tcPr>
            <w:tcW w:w="168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5"/>
            </w:pPr>
            <w:r>
              <w:br w:type="textWrapping"/>
            </w:r>
            <w:r>
              <w:br w:type="textWrapping"/>
            </w:r>
            <w:r>
              <w:rPr>
                <w:rStyle w:val="22"/>
                <w:b w:val="0"/>
                <w:bCs w:val="0"/>
              </w:rPr>
              <w:t>Vesting Commencement Date</w:t>
            </w:r>
          </w:p>
        </w:tc>
        <w:tc>
          <w:tcPr>
            <w:tcW w:w="1622" w:type="dxa"/>
            <w:tcBorders>
              <w:top w:val="single" w:color="808080" w:sz="6" w:space="0"/>
              <w:left w:val="single" w:color="808080" w:sz="2" w:space="0"/>
              <w:bottom w:val="single" w:color="808080" w:sz="2" w:space="0"/>
            </w:tcBorders>
            <w:shd w:val="clear" w:color="auto" w:fill="auto"/>
            <w:tcMar>
              <w:top w:w="28" w:type="dxa"/>
              <w:left w:w="28" w:type="dxa"/>
              <w:bottom w:w="28" w:type="dxa"/>
              <w:right w:w="28" w:type="dxa"/>
            </w:tcMar>
            <w:vAlign w:val="center"/>
          </w:tcPr>
          <w:p>
            <w:pPr>
              <w:pStyle w:val="25"/>
            </w:pPr>
            <w:r>
              <w:br w:type="textWrapping"/>
            </w:r>
            <w:r>
              <w:br w:type="textWrapping"/>
            </w:r>
            <w:r>
              <w:rPr>
                <w:rStyle w:val="22"/>
                <w:b w:val="0"/>
                <w:bCs w:val="0"/>
              </w:rPr>
              <w:t>Number of Shares</w:t>
            </w:r>
          </w:p>
        </w:tc>
        <w:tc>
          <w:tcPr>
            <w:tcW w:w="1157" w:type="dxa"/>
            <w:tcBorders>
              <w:top w:val="single" w:color="808080" w:sz="6" w:space="0"/>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5"/>
            </w:pPr>
            <w:r>
              <w:br w:type="textWrapping"/>
            </w:r>
            <w:r>
              <w:rPr>
                <w:rStyle w:val="22"/>
                <w:b w:val="0"/>
                <w:bCs w:val="0"/>
              </w:rPr>
              <w:t>Price per Share</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14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4"/>
              <w:ind w:left="187"/>
            </w:pPr>
            <w:r>
              <w:t>[</w:t>
            </w:r>
            <w:r>
              <w:rPr>
                <w:shd w:val="clear" w:color="auto" w:fill="00FF00"/>
              </w:rPr>
              <w:t>Optionee Name</w:t>
            </w:r>
            <w:r>
              <w:t>]</w:t>
            </w:r>
          </w:p>
          <w:p>
            <w:pPr>
              <w:pStyle w:val="24"/>
              <w:ind w:left="187"/>
            </w:pPr>
            <w:r>
              <w:t>[</w:t>
            </w:r>
            <w:r>
              <w:rPr>
                <w:shd w:val="clear" w:color="auto" w:fill="00FF00"/>
              </w:rPr>
              <w:t>Optionee Address</w:t>
            </w:r>
            <w:r>
              <w:t>]</w:t>
            </w:r>
          </w:p>
        </w:tc>
        <w:tc>
          <w:tcPr>
            <w:tcW w:w="168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4"/>
            </w:pPr>
            <w:r>
              <w:t>[</w:t>
            </w:r>
            <w:r>
              <w:rPr>
                <w:shd w:val="clear" w:color="auto" w:fill="00FF00"/>
              </w:rPr>
              <w:t>Vesting Commencement Date</w:t>
            </w:r>
            <w:r>
              <w:t>]</w:t>
            </w:r>
          </w:p>
        </w:tc>
        <w:tc>
          <w:tcPr>
            <w:tcW w:w="162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4"/>
            </w:pPr>
            <w:r>
              <w:t>[</w:t>
            </w:r>
            <w:r>
              <w:rPr>
                <w:shd w:val="clear" w:color="auto" w:fill="00FF00"/>
              </w:rPr>
              <w:t>Option Number Granted</w:t>
            </w:r>
            <w:r>
              <w:t>]</w:t>
            </w:r>
          </w:p>
        </w:tc>
        <w:tc>
          <w:tcPr>
            <w:tcW w:w="1157"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4"/>
            </w:pPr>
            <w:r>
              <w:t>[</w:t>
            </w:r>
            <w:r>
              <w:rPr>
                <w:shd w:val="clear" w:color="auto" w:fill="00FF00"/>
              </w:rPr>
              <w:t>Common Stock Price Per Share</w:t>
            </w:r>
            <w:r>
              <w:t>]</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141" w:type="dxa"/>
            <w:tcBorders>
              <w:left w:val="single" w:color="808080" w:sz="6" w:space="0"/>
              <w:bottom w:val="single" w:color="808080" w:sz="2" w:space="0"/>
            </w:tcBorders>
            <w:shd w:val="clear" w:color="auto" w:fill="auto"/>
            <w:tcMar>
              <w:top w:w="28" w:type="dxa"/>
              <w:left w:w="28" w:type="dxa"/>
              <w:bottom w:w="28" w:type="dxa"/>
              <w:right w:w="28" w:type="dxa"/>
            </w:tcMar>
            <w:vAlign w:val="center"/>
          </w:tcPr>
          <w:p>
            <w:pPr>
              <w:pStyle w:val="24"/>
              <w:ind w:left="187"/>
            </w:pPr>
            <w:r>
              <w:rPr>
                <w:rStyle w:val="10"/>
              </w:rPr>
              <w:t>Add Optionees as applicable </w:t>
            </w:r>
          </w:p>
        </w:tc>
        <w:tc>
          <w:tcPr>
            <w:tcW w:w="168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4"/>
            </w:pPr>
            <w:r>
              <w:t> </w:t>
            </w:r>
          </w:p>
        </w:tc>
        <w:tc>
          <w:tcPr>
            <w:tcW w:w="1622" w:type="dxa"/>
            <w:tcBorders>
              <w:left w:val="single" w:color="808080" w:sz="2" w:space="0"/>
              <w:bottom w:val="single" w:color="808080" w:sz="2" w:space="0"/>
            </w:tcBorders>
            <w:shd w:val="clear" w:color="auto" w:fill="auto"/>
            <w:tcMar>
              <w:top w:w="28" w:type="dxa"/>
              <w:left w:w="28" w:type="dxa"/>
              <w:bottom w:w="28" w:type="dxa"/>
              <w:right w:w="28" w:type="dxa"/>
            </w:tcMar>
            <w:vAlign w:val="center"/>
          </w:tcPr>
          <w:p>
            <w:pPr>
              <w:pStyle w:val="24"/>
            </w:pPr>
            <w:r>
              <w:t> </w:t>
            </w:r>
          </w:p>
        </w:tc>
        <w:tc>
          <w:tcPr>
            <w:tcW w:w="1157" w:type="dxa"/>
            <w:tcBorders>
              <w:left w:val="single" w:color="808080" w:sz="2" w:space="0"/>
              <w:bottom w:val="single" w:color="808080" w:sz="2" w:space="0"/>
              <w:right w:val="single" w:color="808080" w:sz="6" w:space="0"/>
            </w:tcBorders>
            <w:shd w:val="clear" w:color="auto" w:fill="auto"/>
            <w:tcMar>
              <w:top w:w="28" w:type="dxa"/>
              <w:left w:w="28" w:type="dxa"/>
              <w:bottom w:w="28" w:type="dxa"/>
              <w:right w:w="28" w:type="dxa"/>
            </w:tcMar>
            <w:vAlign w:val="center"/>
          </w:tcPr>
          <w:p>
            <w:pPr>
              <w:pStyle w:val="24"/>
            </w:pPr>
            <w:r>
              <w:t> </w:t>
            </w:r>
          </w:p>
        </w:tc>
      </w:tr>
      <w:tr>
        <w:tblPrEx>
          <w:tblBorders>
            <w:top w:val="single" w:color="808080" w:sz="6" w:space="0"/>
            <w:left w:val="single" w:color="808080" w:sz="6" w:space="0"/>
            <w:bottom w:val="single" w:color="808080" w:sz="2" w:space="0"/>
            <w:right w:val="none" w:color="auto" w:sz="0" w:space="0"/>
            <w:insideH w:val="none" w:color="auto" w:sz="0" w:space="0"/>
            <w:insideV w:val="none" w:color="auto" w:sz="0" w:space="0"/>
          </w:tblBorders>
        </w:tblPrEx>
        <w:trPr>
          <w:jc w:val="center"/>
        </w:trPr>
        <w:tc>
          <w:tcPr>
            <w:tcW w:w="1141" w:type="dxa"/>
            <w:tcBorders>
              <w:left w:val="single" w:color="808080" w:sz="6" w:space="0"/>
              <w:bottom w:val="single" w:color="808080" w:sz="6" w:space="0"/>
            </w:tcBorders>
            <w:shd w:val="clear" w:color="auto" w:fill="auto"/>
            <w:tcMar>
              <w:top w:w="28" w:type="dxa"/>
              <w:left w:w="28" w:type="dxa"/>
              <w:bottom w:w="28" w:type="dxa"/>
              <w:right w:w="28" w:type="dxa"/>
            </w:tcMar>
            <w:vAlign w:val="center"/>
          </w:tcPr>
          <w:p>
            <w:pPr>
              <w:pStyle w:val="24"/>
            </w:pPr>
            <w:r>
              <w:t> Total</w:t>
            </w:r>
          </w:p>
        </w:tc>
        <w:tc>
          <w:tcPr>
            <w:tcW w:w="168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4"/>
            </w:pPr>
            <w:r>
              <w:t> </w:t>
            </w:r>
          </w:p>
        </w:tc>
        <w:tc>
          <w:tcPr>
            <w:tcW w:w="1622" w:type="dxa"/>
            <w:tcBorders>
              <w:left w:val="single" w:color="808080" w:sz="2" w:space="0"/>
              <w:bottom w:val="single" w:color="808080" w:sz="6" w:space="0"/>
            </w:tcBorders>
            <w:shd w:val="clear" w:color="auto" w:fill="auto"/>
            <w:tcMar>
              <w:top w:w="28" w:type="dxa"/>
              <w:left w:w="28" w:type="dxa"/>
              <w:bottom w:w="28" w:type="dxa"/>
              <w:right w:w="28" w:type="dxa"/>
            </w:tcMar>
            <w:vAlign w:val="center"/>
          </w:tcPr>
          <w:p>
            <w:pPr>
              <w:pStyle w:val="24"/>
            </w:pPr>
            <w:r>
              <w:t> </w:t>
            </w:r>
          </w:p>
        </w:tc>
        <w:tc>
          <w:tcPr>
            <w:tcW w:w="1157" w:type="dxa"/>
            <w:tcBorders>
              <w:left w:val="single" w:color="808080" w:sz="2" w:space="0"/>
              <w:bottom w:val="single" w:color="808080" w:sz="6" w:space="0"/>
              <w:right w:val="single" w:color="808080" w:sz="6" w:space="0"/>
            </w:tcBorders>
            <w:shd w:val="clear" w:color="auto" w:fill="auto"/>
            <w:tcMar>
              <w:top w:w="28" w:type="dxa"/>
              <w:left w:w="28" w:type="dxa"/>
              <w:bottom w:w="28" w:type="dxa"/>
              <w:right w:w="28" w:type="dxa"/>
            </w:tcMar>
            <w:vAlign w:val="center"/>
          </w:tcPr>
          <w:p>
            <w:pPr>
              <w:pStyle w:val="24"/>
            </w:pPr>
            <w:r>
              <w:t> </w:t>
            </w:r>
          </w:p>
        </w:tc>
      </w:tr>
    </w:tbl>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color w:val="000000"/>
        </w:rPr>
        <w:t> </w:t>
      </w:r>
    </w:p>
    <w:p>
      <w:pPr>
        <w:pStyle w:val="4"/>
        <w:spacing w:line="390" w:lineRule="atLeast"/>
      </w:pPr>
      <w:r>
        <w:rPr>
          <w:color w:val="000000"/>
        </w:rPr>
        <w:t> </w:t>
      </w:r>
    </w:p>
    <w:p>
      <w:pPr>
        <w:pStyle w:val="4"/>
        <w:spacing w:line="390" w:lineRule="atLeast"/>
        <w:rPr>
          <w:rStyle w:val="22"/>
          <w:rFonts w:ascii="Arial;Helvetica;Tahoma" w:hAnsi="Arial;Helvetica;Tahoma"/>
          <w:color w:val="000000"/>
          <w:sz w:val="27"/>
        </w:rPr>
      </w:pPr>
    </w:p>
    <w:p>
      <w:pPr>
        <w:pStyle w:val="4"/>
        <w:spacing w:line="390" w:lineRule="atLeast"/>
        <w:jc w:val="center"/>
        <w:rPr>
          <w:rStyle w:val="22"/>
          <w:rFonts w:ascii="Arial;Helvetica;Tahoma" w:hAnsi="Arial;Helvetica;Tahoma"/>
          <w:color w:val="000000"/>
          <w:sz w:val="27"/>
        </w:rPr>
      </w:pP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Thorndale">
    <w:altName w:val="苹方-简"/>
    <w:panose1 w:val="00000000000000000000"/>
    <w:charset w:val="00"/>
    <w:family w:val="roman"/>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HG Mincho Light J">
    <w:altName w:val="苹方-简"/>
    <w:panose1 w:val="00000000000000000000"/>
    <w:charset w:val="00"/>
    <w:family w:val="roman"/>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lbany">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Style w:val="14"/>
      </w:rPr>
    </w:pPr>
  </w:p>
  <w:p>
    <w:pPr>
      <w:pStyle w:val="11"/>
      <w:jc w:val="center"/>
    </w:pPr>
    <w:r>
      <w:rPr>
        <w:rStyle w:val="14"/>
      </w:rPr>
      <w:fldChar w:fldCharType="begin"/>
    </w:r>
    <w:r>
      <w:rPr>
        <w:rStyle w:val="14"/>
      </w:rPr>
      <w:instrText xml:space="preserve"> PAGE </w:instrText>
    </w:r>
    <w:r>
      <w:rPr>
        <w:rStyle w:val="14"/>
      </w:rPr>
      <w:fldChar w:fldCharType="separate"/>
    </w:r>
    <w:r>
      <w:rPr>
        <w:rStyle w:val="14"/>
      </w:rPr>
      <w:t>1</w:t>
    </w:r>
    <w:r>
      <w:rPr>
        <w:rStyle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center"/>
      <w:rPr>
        <w:b/>
        <w:bCs/>
        <w:sz w:val="20"/>
        <w:szCs w:val="20"/>
      </w:rPr>
    </w:pPr>
  </w:p>
  <w:p>
    <w:pPr>
      <w:pStyle w:val="12"/>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77C9B"/>
    <w:rsid w:val="000961AA"/>
    <w:rsid w:val="000D1DB8"/>
    <w:rsid w:val="00110F9A"/>
    <w:rsid w:val="0011611E"/>
    <w:rsid w:val="00132DF4"/>
    <w:rsid w:val="00140A16"/>
    <w:rsid w:val="00147C71"/>
    <w:rsid w:val="001617CE"/>
    <w:rsid w:val="001C0C87"/>
    <w:rsid w:val="001E0301"/>
    <w:rsid w:val="00201B0C"/>
    <w:rsid w:val="00215BB8"/>
    <w:rsid w:val="00263BB1"/>
    <w:rsid w:val="002655D2"/>
    <w:rsid w:val="00271FA2"/>
    <w:rsid w:val="00276BA3"/>
    <w:rsid w:val="002C0C5C"/>
    <w:rsid w:val="002E3460"/>
    <w:rsid w:val="002F2BF0"/>
    <w:rsid w:val="00314CF4"/>
    <w:rsid w:val="0033254D"/>
    <w:rsid w:val="0033581A"/>
    <w:rsid w:val="00363EEE"/>
    <w:rsid w:val="003766B0"/>
    <w:rsid w:val="003A3318"/>
    <w:rsid w:val="003A4474"/>
    <w:rsid w:val="003B1AC2"/>
    <w:rsid w:val="003B4C56"/>
    <w:rsid w:val="003B613E"/>
    <w:rsid w:val="003C1287"/>
    <w:rsid w:val="003C2B0A"/>
    <w:rsid w:val="003E177A"/>
    <w:rsid w:val="00405157"/>
    <w:rsid w:val="00420921"/>
    <w:rsid w:val="00432965"/>
    <w:rsid w:val="00437578"/>
    <w:rsid w:val="004453AF"/>
    <w:rsid w:val="004636DA"/>
    <w:rsid w:val="00486239"/>
    <w:rsid w:val="004972E4"/>
    <w:rsid w:val="004A0ADB"/>
    <w:rsid w:val="004B16F2"/>
    <w:rsid w:val="004F5D63"/>
    <w:rsid w:val="005274EC"/>
    <w:rsid w:val="00533E6E"/>
    <w:rsid w:val="005453AB"/>
    <w:rsid w:val="005734C4"/>
    <w:rsid w:val="005A2398"/>
    <w:rsid w:val="005B33CA"/>
    <w:rsid w:val="005E3E5E"/>
    <w:rsid w:val="0061454D"/>
    <w:rsid w:val="0062380A"/>
    <w:rsid w:val="006307E9"/>
    <w:rsid w:val="00662D33"/>
    <w:rsid w:val="00684B9F"/>
    <w:rsid w:val="006C2B5C"/>
    <w:rsid w:val="006C40B2"/>
    <w:rsid w:val="006F298C"/>
    <w:rsid w:val="006F6404"/>
    <w:rsid w:val="007037A4"/>
    <w:rsid w:val="0071441C"/>
    <w:rsid w:val="00725DBC"/>
    <w:rsid w:val="007272E8"/>
    <w:rsid w:val="007322CB"/>
    <w:rsid w:val="00747C51"/>
    <w:rsid w:val="00752424"/>
    <w:rsid w:val="00796179"/>
    <w:rsid w:val="007A06FC"/>
    <w:rsid w:val="007D7F77"/>
    <w:rsid w:val="007E722D"/>
    <w:rsid w:val="00806EF3"/>
    <w:rsid w:val="00807A60"/>
    <w:rsid w:val="00816826"/>
    <w:rsid w:val="0082216F"/>
    <w:rsid w:val="00842B4E"/>
    <w:rsid w:val="00874894"/>
    <w:rsid w:val="008764C3"/>
    <w:rsid w:val="00884F89"/>
    <w:rsid w:val="008B028F"/>
    <w:rsid w:val="008C47EE"/>
    <w:rsid w:val="008C4CE1"/>
    <w:rsid w:val="008D5513"/>
    <w:rsid w:val="00901ED2"/>
    <w:rsid w:val="00907DC0"/>
    <w:rsid w:val="009307FB"/>
    <w:rsid w:val="00942184"/>
    <w:rsid w:val="00956DC9"/>
    <w:rsid w:val="009839F6"/>
    <w:rsid w:val="009B3407"/>
    <w:rsid w:val="009C39E6"/>
    <w:rsid w:val="009F33CD"/>
    <w:rsid w:val="00A14520"/>
    <w:rsid w:val="00A30E76"/>
    <w:rsid w:val="00A94E62"/>
    <w:rsid w:val="00AB3C79"/>
    <w:rsid w:val="00AE5B07"/>
    <w:rsid w:val="00AF3B26"/>
    <w:rsid w:val="00AF548F"/>
    <w:rsid w:val="00B328A0"/>
    <w:rsid w:val="00B32AA0"/>
    <w:rsid w:val="00B51FF6"/>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378D3"/>
    <w:rsid w:val="00D41CA0"/>
    <w:rsid w:val="00D924F8"/>
    <w:rsid w:val="00DA1F81"/>
    <w:rsid w:val="00DE170B"/>
    <w:rsid w:val="00DF043A"/>
    <w:rsid w:val="00DF4343"/>
    <w:rsid w:val="00E10621"/>
    <w:rsid w:val="00E21D87"/>
    <w:rsid w:val="00E27CB6"/>
    <w:rsid w:val="00E423ED"/>
    <w:rsid w:val="00E73734"/>
    <w:rsid w:val="00EA7BFD"/>
    <w:rsid w:val="00EB02C7"/>
    <w:rsid w:val="00F20123"/>
    <w:rsid w:val="00FD51B3"/>
    <w:rsid w:val="00FD530E"/>
    <w:rsid w:val="00FE3729"/>
    <w:rsid w:val="5D707D3C"/>
    <w:rsid w:val="9DEF36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1"/>
    <w:basedOn w:val="3"/>
    <w:next w:val="4"/>
    <w:link w:val="26"/>
    <w:qFormat/>
    <w:uiPriority w:val="0"/>
    <w:pPr>
      <w:outlineLvl w:val="0"/>
    </w:pPr>
    <w:rPr>
      <w:rFonts w:ascii="Thorndale" w:hAnsi="Thorndale"/>
      <w:b/>
      <w:bCs/>
      <w:sz w:val="48"/>
      <w:szCs w:val="48"/>
    </w:rPr>
  </w:style>
  <w:style w:type="paragraph" w:styleId="5">
    <w:name w:val="heading 2"/>
    <w:basedOn w:val="1"/>
    <w:next w:val="4"/>
    <w:link w:val="16"/>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uiPriority w:val="0"/>
    <w:pPr>
      <w:keepNext/>
      <w:suppressAutoHyphens/>
      <w:overflowPunct/>
      <w:autoSpaceDE/>
      <w:autoSpaceDN/>
      <w:adjustRightInd/>
      <w:spacing w:before="240" w:after="283" w:line="240" w:lineRule="auto"/>
    </w:pPr>
    <w:rPr>
      <w:rFonts w:ascii="Albany" w:hAnsi="Albany" w:eastAsia="HG Mincho Light J" w:cs="Arial Unicode MS"/>
      <w:color w:val="auto"/>
      <w:kern w:val="0"/>
      <w:sz w:val="28"/>
      <w:szCs w:val="28"/>
      <w:lang w:eastAsia="zh-CN" w:bidi="hi-IN"/>
    </w:rPr>
  </w:style>
  <w:style w:type="paragraph" w:customStyle="1" w:styleId="4">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8">
    <w:name w:val="Balloon Text"/>
    <w:basedOn w:val="1"/>
    <w:link w:val="23"/>
    <w:semiHidden/>
    <w:unhideWhenUsed/>
    <w:qFormat/>
    <w:uiPriority w:val="99"/>
    <w:pPr>
      <w:spacing w:after="0" w:line="240" w:lineRule="auto"/>
    </w:pPr>
    <w:rPr>
      <w:rFonts w:ascii="Lucida Grande" w:hAnsi="Lucida Grande" w:cs="Lucida Grande"/>
    </w:rPr>
  </w:style>
  <w:style w:type="paragraph" w:styleId="9">
    <w:name w:val="Body Text"/>
    <w:basedOn w:val="1"/>
    <w:link w:val="18"/>
    <w:qFormat/>
    <w:uiPriority w:val="99"/>
  </w:style>
  <w:style w:type="character" w:styleId="10">
    <w:name w:val="Emphasis"/>
    <w:qFormat/>
    <w:uiPriority w:val="0"/>
    <w:rPr>
      <w:i/>
      <w:iCs/>
    </w:rPr>
  </w:style>
  <w:style w:type="paragraph" w:styleId="11">
    <w:name w:val="footer"/>
    <w:basedOn w:val="1"/>
    <w:link w:val="20"/>
    <w:unhideWhenUsed/>
    <w:qFormat/>
    <w:uiPriority w:val="0"/>
    <w:pPr>
      <w:tabs>
        <w:tab w:val="center" w:pos="4680"/>
        <w:tab w:val="right" w:pos="9360"/>
      </w:tabs>
    </w:pPr>
  </w:style>
  <w:style w:type="paragraph" w:styleId="12">
    <w:name w:val="header"/>
    <w:basedOn w:val="1"/>
    <w:link w:val="19"/>
    <w:unhideWhenUsed/>
    <w:qFormat/>
    <w:uiPriority w:val="0"/>
    <w:pPr>
      <w:tabs>
        <w:tab w:val="center" w:pos="4680"/>
        <w:tab w:val="right" w:pos="9360"/>
      </w:tabs>
    </w:pPr>
  </w:style>
  <w:style w:type="character" w:styleId="13">
    <w:name w:val="Hyperlink"/>
    <w:basedOn w:val="6"/>
    <w:unhideWhenUsed/>
    <w:qFormat/>
    <w:uiPriority w:val="99"/>
    <w:rPr>
      <w:color w:val="0563C1" w:themeColor="hyperlink"/>
      <w:u w:val="single"/>
      <w14:textFill>
        <w14:solidFill>
          <w14:schemeClr w14:val="hlink"/>
        </w14:solidFill>
      </w14:textFill>
    </w:rPr>
  </w:style>
  <w:style w:type="character" w:styleId="14">
    <w:name w:val="page number"/>
    <w:basedOn w:val="6"/>
    <w:semiHidden/>
    <w:unhideWhenUsed/>
    <w:qFormat/>
    <w:uiPriority w:val="99"/>
  </w:style>
  <w:style w:type="paragraph" w:styleId="15">
    <w:name w:val="Title"/>
    <w:basedOn w:val="1"/>
    <w:link w:val="17"/>
    <w:qFormat/>
    <w:uiPriority w:val="99"/>
    <w:pPr>
      <w:spacing w:after="0" w:line="216" w:lineRule="auto"/>
    </w:pPr>
    <w:rPr>
      <w:b/>
      <w:bCs/>
      <w:caps/>
      <w:color w:val="8EB610"/>
      <w:sz w:val="64"/>
      <w:szCs w:val="64"/>
    </w:rPr>
  </w:style>
  <w:style w:type="character" w:customStyle="1" w:styleId="16">
    <w:name w:val="Heading 2 Char"/>
    <w:basedOn w:val="6"/>
    <w:link w:val="5"/>
    <w:qFormat/>
    <w:uiPriority w:val="0"/>
    <w:rPr>
      <w:rFonts w:ascii="Liberation Serif" w:hAnsi="Liberation Serif" w:eastAsia="Liberation Sans" w:cs="Liberation Sans"/>
      <w:b/>
      <w:bCs/>
      <w:sz w:val="36"/>
      <w:szCs w:val="36"/>
      <w:lang w:eastAsia="zh-CN" w:bidi="hi-IN"/>
    </w:rPr>
  </w:style>
  <w:style w:type="character" w:customStyle="1" w:styleId="17">
    <w:name w:val="Title Char"/>
    <w:link w:val="15"/>
    <w:uiPriority w:val="10"/>
    <w:rPr>
      <w:rFonts w:ascii="Calibri Light" w:hAnsi="Calibri Light" w:eastAsia="Times New Roman" w:cs="Times New Roman"/>
      <w:b/>
      <w:bCs/>
      <w:color w:val="4D4D4D"/>
      <w:kern w:val="28"/>
      <w:sz w:val="32"/>
      <w:szCs w:val="32"/>
    </w:rPr>
  </w:style>
  <w:style w:type="character" w:customStyle="1" w:styleId="18">
    <w:name w:val="Body Text Char"/>
    <w:link w:val="9"/>
    <w:semiHidden/>
    <w:uiPriority w:val="99"/>
    <w:rPr>
      <w:rFonts w:ascii="Arial" w:hAnsi="Arial" w:cs="Arial"/>
      <w:color w:val="4D4D4D"/>
      <w:kern w:val="28"/>
      <w:sz w:val="18"/>
      <w:szCs w:val="18"/>
    </w:rPr>
  </w:style>
  <w:style w:type="character" w:customStyle="1" w:styleId="19">
    <w:name w:val="Header Char"/>
    <w:link w:val="12"/>
    <w:qFormat/>
    <w:uiPriority w:val="99"/>
    <w:rPr>
      <w:rFonts w:ascii="Arial" w:hAnsi="Arial" w:cs="Arial"/>
      <w:color w:val="4D4D4D"/>
      <w:kern w:val="28"/>
      <w:sz w:val="18"/>
      <w:szCs w:val="18"/>
    </w:rPr>
  </w:style>
  <w:style w:type="character" w:customStyle="1" w:styleId="20">
    <w:name w:val="Footer Char"/>
    <w:link w:val="11"/>
    <w:qFormat/>
    <w:uiPriority w:val="99"/>
    <w:rPr>
      <w:rFonts w:ascii="Arial" w:hAnsi="Arial" w:cs="Arial"/>
      <w:color w:val="4D4D4D"/>
      <w:kern w:val="28"/>
      <w:sz w:val="18"/>
      <w:szCs w:val="18"/>
    </w:rPr>
  </w:style>
  <w:style w:type="character" w:customStyle="1" w:styleId="21">
    <w:name w:val="Internet Link"/>
    <w:qFormat/>
    <w:uiPriority w:val="0"/>
    <w:rPr>
      <w:color w:val="000080"/>
      <w:u w:val="single"/>
    </w:rPr>
  </w:style>
  <w:style w:type="character" w:customStyle="1" w:styleId="22">
    <w:name w:val="Strong Emphasis"/>
    <w:qFormat/>
    <w:uiPriority w:val="0"/>
    <w:rPr>
      <w:b/>
      <w:bCs/>
    </w:rPr>
  </w:style>
  <w:style w:type="character" w:customStyle="1" w:styleId="23">
    <w:name w:val="Balloon Text Char"/>
    <w:basedOn w:val="6"/>
    <w:link w:val="8"/>
    <w:semiHidden/>
    <w:qFormat/>
    <w:uiPriority w:val="99"/>
    <w:rPr>
      <w:rFonts w:ascii="Lucida Grande" w:hAnsi="Lucida Grande" w:cs="Lucida Grande"/>
      <w:color w:val="4D4D4D"/>
      <w:kern w:val="28"/>
      <w:sz w:val="18"/>
      <w:szCs w:val="18"/>
    </w:rPr>
  </w:style>
  <w:style w:type="paragraph" w:customStyle="1" w:styleId="24">
    <w:name w:val="Table Contents"/>
    <w:basedOn w:val="4"/>
    <w:uiPriority w:val="0"/>
    <w:pPr>
      <w:spacing w:line="240" w:lineRule="auto"/>
    </w:pPr>
  </w:style>
  <w:style w:type="paragraph" w:customStyle="1" w:styleId="25">
    <w:name w:val="Table Heading"/>
    <w:basedOn w:val="24"/>
    <w:uiPriority w:val="0"/>
    <w:pPr>
      <w:suppressLineNumbers/>
      <w:jc w:val="center"/>
    </w:pPr>
    <w:rPr>
      <w:b/>
      <w:bCs/>
    </w:rPr>
  </w:style>
  <w:style w:type="character" w:customStyle="1" w:styleId="26">
    <w:name w:val="Heading 1 Char"/>
    <w:basedOn w:val="6"/>
    <w:link w:val="2"/>
    <w:uiPriority w:val="0"/>
    <w:rPr>
      <w:rFonts w:ascii="Thorndale" w:hAnsi="Thorndale" w:eastAsia="HG Mincho Light J" w:cs="Arial Unicode MS"/>
      <w:b/>
      <w:bCs/>
      <w:sz w:val="48"/>
      <w:szCs w:val="48"/>
      <w:lang w:eastAsia="zh-CN" w:bidi="hi-IN"/>
    </w:rPr>
  </w:style>
  <w:style w:type="character" w:customStyle="1" w:styleId="27">
    <w:name w:val="Endnote Characters"/>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698</Words>
  <Characters>3982</Characters>
  <Lines>33</Lines>
  <Paragraphs>9</Paragraphs>
  <TotalTime>2</TotalTime>
  <ScaleCrop>false</ScaleCrop>
  <LinksUpToDate>false</LinksUpToDate>
  <CharactersWithSpaces>4671</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2014-10-22T16:44:00Z</dcterms:created>
  <dc:creator>Itzik Paz</dc:creator>
  <cp:lastModifiedBy>WXT</cp:lastModifiedBy>
  <dcterms:modified xsi:type="dcterms:W3CDTF">2025-01-24T22:43:14Z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490C5FAE9F56ECF60288946747A772A0_43</vt:lpwstr>
  </property>
</Properties>
</file>