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Schedule of Business Expenses</w:t>
      </w:r>
    </w:p>
    <w:p>
      <w:pPr>
        <w:jc w:val="center"/>
      </w:pPr>
      <w:r>
        <w:rPr>
          <w:i/>
          <w:sz w:val="20"/>
        </w:rPr>
        <w:t>Barlow &amp; Hughan CPAs — Client Workpaper</w:t>
      </w:r>
    </w:p>
    <w:p/>
    <w:p>
      <w:r>
        <w:rPr>
          <w:b/>
        </w:rPr>
        <w:t xml:space="preserve">Client name: </w:t>
      </w:r>
      <w:r>
        <w:t>________________________________________</w:t>
      </w:r>
    </w:p>
    <w:p>
      <w:r>
        <w:rPr>
          <w:b/>
        </w:rPr>
        <w:t xml:space="preserve">Tax year: </w:t>
      </w:r>
      <w:r>
        <w:t>________________________________________</w:t>
      </w:r>
    </w:p>
    <w:p>
      <w:r>
        <w:rPr>
          <w:b/>
        </w:rPr>
        <w:t xml:space="preserve">Prepared by: </w:t>
      </w:r>
      <w:r>
        <w:t>________________________________________</w:t>
      </w:r>
    </w:p>
    <w:p/>
    <w:p>
      <w:r>
        <w:rPr>
          <w:i/>
          <w:sz w:val="18"/>
        </w:rPr>
        <w:t>List each deductible business expense below in the order incurred.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3456"/>
          </w:tcPr>
          <w:p>
            <w:r/>
            <w:r>
              <w:rPr>
                <w:b/>
              </w:rPr>
              <w:t>Payee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Amount</w:t>
            </w:r>
          </w:p>
        </w:tc>
      </w:tr>
      <w:tr>
        <w:tc>
          <w:tcPr>
            <w:tcW w:type="dxa" w:w="1584"/>
          </w:tcPr>
          <w:p/>
        </w:tc>
        <w:tc>
          <w:tcPr>
            <w:tcW w:type="dxa" w:w="345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345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3456"/>
          </w:tcPr>
          <w:p/>
        </w:tc>
        <w:tc>
          <w:tcPr>
            <w:tcW w:type="dxa" w:w="288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84"/>
          </w:tcPr>
          <w:p/>
        </w:tc>
        <w:tc>
          <w:tcPr>
            <w:tcW w:type="dxa" w:w="3456"/>
          </w:tcPr>
          <w:p/>
        </w:tc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/>
        </w:tc>
      </w:tr>
    </w:tbl>
    <w:p/>
    <w:p>
      <w:r>
        <w:rPr>
          <w:sz w:val="18"/>
        </w:rPr>
        <w:t>Preparer notes: amounts should agree to source receipts and the client's general ledger. Attach supporting documentation for any item over 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