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Pr>
          <w:rFonts w:ascii="Helvetica" w:eastAsia="宋体" w:hAnsi="Helvetica" w:cs="宋体" w:hint="eastAsia"/>
          <w:b/>
          <w:bCs/>
          <w:color w:val="000000"/>
          <w:kern w:val="36"/>
          <w:sz w:val="42"/>
          <w:szCs w:val="42"/>
        </w:rPr>
        <w:t>帮助数字化转型的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r>
        <w:rPr>
          <w:rFonts w:ascii="Helvetica" w:eastAsia="宋体" w:hAnsi="Helvetica" w:cs="宋体" w:hint="eastAsia"/>
          <w:color w:val="000000"/>
          <w:kern w:val="0"/>
          <w:sz w:val="16"/>
          <w:szCs w:val="16"/>
        </w:rPr>
        <w:t>上海</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0E0A66"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AB54FE"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383EEF">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bookmarkStart w:id="0" w:name="_GoBack"/>
      <w:bookmarkEnd w:id="0"/>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 enables continuous and reliable change</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 xml:space="preserve">Dave </w:t>
      </w:r>
      <w:proofErr w:type="spellStart"/>
      <w:r>
        <w:rPr>
          <w:rStyle w:val="a4"/>
          <w:rFonts w:ascii="Helvetica" w:hAnsi="Helvetica"/>
          <w:color w:val="000000"/>
        </w:rPr>
        <w:t>Ehringer</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senior</w:t>
      </w:r>
      <w:r>
        <w:rPr>
          <w:rFonts w:ascii="Helvetica" w:hAnsi="Helvetica"/>
          <w:color w:val="000000"/>
        </w:rPr>
        <w:t> </w:t>
      </w:r>
      <w:r>
        <w:rPr>
          <w:rStyle w:val="a4"/>
          <w:rFonts w:ascii="Helvetica" w:hAnsi="Helvetica"/>
          <w:color w:val="000000"/>
        </w:rPr>
        <w:t>architect,</w:t>
      </w:r>
      <w:r>
        <w:rPr>
          <w:rFonts w:ascii="Helvetica" w:hAnsi="Helvetica"/>
          <w:color w:val="000000"/>
        </w:rPr>
        <w:t> </w:t>
      </w:r>
      <w:r>
        <w:rPr>
          <w:rStyle w:val="a4"/>
          <w:rFonts w:ascii="Helvetica" w:hAnsi="Helvetica"/>
          <w:color w:val="000000"/>
        </w:rPr>
        <w:t>secure DevOps</w:t>
      </w:r>
      <w:r>
        <w:rPr>
          <w:rFonts w:ascii="Helvetica" w:hAnsi="Helvetica"/>
          <w:color w:val="000000"/>
        </w:rPr>
        <w:t> </w:t>
      </w:r>
      <w:r>
        <w:rPr>
          <w:rStyle w:val="a4"/>
          <w:rFonts w:ascii="Helvetica" w:hAnsi="Helvetica"/>
          <w:color w:val="000000"/>
        </w:rPr>
        <w:t>platforms, </w:t>
      </w:r>
      <w:hyperlink r:id="rId13" w:tgtFrame="_blank" w:history="1">
        <w:r>
          <w:rPr>
            <w:rStyle w:val="a6"/>
            <w:rFonts w:ascii="Helvetica" w:hAnsi="Helvetica"/>
            <w:b/>
            <w:bCs/>
            <w:color w:val="AF292E"/>
          </w:rPr>
          <w:t>Liberty Mutual</w:t>
        </w:r>
      </w:hyperlink>
      <w:r>
        <w:rPr>
          <w:rStyle w:val="a4"/>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hyperlink r:id="rId14" w:history="1">
        <w:r>
          <w:rPr>
            <w:rStyle w:val="a6"/>
            <w:rFonts w:ascii="Helvetica" w:hAnsi="Helvetica"/>
            <w:color w:val="AF292E"/>
          </w:rPr>
          <w:t>microservices</w:t>
        </w:r>
      </w:hyperlink>
      <w:r>
        <w:rPr>
          <w:rFonts w:ascii="Helvetica" w:hAnsi="Helvetica"/>
          <w:color w:val="000000"/>
        </w:rPr>
        <w:t xml:space="preserve">. If you don’t have strong or shared alignment across development and operations, your chances of success </w:t>
      </w:r>
      <w:proofErr w:type="gramStart"/>
      <w:r>
        <w:rPr>
          <w:rFonts w:ascii="Helvetica" w:hAnsi="Helvetica"/>
          <w:color w:val="000000"/>
        </w:rPr>
        <w:t>is</w:t>
      </w:r>
      <w:proofErr w:type="gramEnd"/>
      <w:r>
        <w:rPr>
          <w:rFonts w:ascii="Helvetica" w:hAnsi="Helvetica"/>
          <w:color w:val="000000"/>
        </w:rPr>
        <w:t xml:space="preserve"> limited. DevOps principles and culture are the fuel for enabling these types of transformations for most organizations."</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lastRenderedPageBreak/>
        <w:t>9. DevOps makes customers happier</w:t>
      </w:r>
    </w:p>
    <w:p w:rsidR="005019EF" w:rsidRDefault="000E0A66">
      <w:pPr>
        <w:pStyle w:val="a3"/>
        <w:shd w:val="clear" w:color="auto" w:fill="FFFFFF"/>
        <w:spacing w:before="0" w:beforeAutospacing="0" w:after="225" w:afterAutospacing="0"/>
        <w:rPr>
          <w:rFonts w:ascii="Helvetica" w:hAnsi="Helvetica"/>
          <w:color w:val="000000"/>
        </w:rPr>
      </w:pPr>
      <w:proofErr w:type="spellStart"/>
      <w:r>
        <w:rPr>
          <w:rStyle w:val="a4"/>
          <w:rFonts w:ascii="Helvetica" w:hAnsi="Helvetica"/>
          <w:color w:val="000000"/>
        </w:rPr>
        <w:t>Mirco</w:t>
      </w:r>
      <w:proofErr w:type="spellEnd"/>
      <w:r>
        <w:rPr>
          <w:rStyle w:val="a4"/>
          <w:rFonts w:ascii="Helvetica" w:hAnsi="Helvetica"/>
          <w:color w:val="000000"/>
        </w:rPr>
        <w:t xml:space="preserve"> </w:t>
      </w:r>
      <w:proofErr w:type="spellStart"/>
      <w:r>
        <w:rPr>
          <w:rStyle w:val="a4"/>
          <w:rFonts w:ascii="Helvetica" w:hAnsi="Helvetica"/>
          <w:color w:val="000000"/>
        </w:rPr>
        <w:t>Hering</w:t>
      </w:r>
      <w:proofErr w:type="spellEnd"/>
      <w:r>
        <w:rPr>
          <w:rStyle w:val="a4"/>
          <w:rFonts w:ascii="Helvetica" w:hAnsi="Helvetica"/>
          <w:color w:val="000000"/>
        </w:rPr>
        <w:t>,</w:t>
      </w:r>
      <w:r>
        <w:rPr>
          <w:rFonts w:ascii="Helvetica" w:hAnsi="Helvetica"/>
          <w:color w:val="000000"/>
        </w:rPr>
        <w:t> </w:t>
      </w:r>
      <w:r>
        <w:rPr>
          <w:rStyle w:val="a4"/>
          <w:rFonts w:ascii="Helvetica" w:hAnsi="Helvetica"/>
          <w:color w:val="000000"/>
        </w:rPr>
        <w:t>global DevOps</w:t>
      </w:r>
      <w:r>
        <w:rPr>
          <w:rFonts w:ascii="Helvetica" w:hAnsi="Helvetica"/>
          <w:color w:val="000000"/>
        </w:rPr>
        <w:t> </w:t>
      </w:r>
      <w:r>
        <w:rPr>
          <w:rStyle w:val="a4"/>
          <w:rFonts w:ascii="Helvetica" w:hAnsi="Helvetica"/>
          <w:color w:val="000000"/>
        </w:rPr>
        <w:t>practice</w:t>
      </w:r>
      <w:r>
        <w:rPr>
          <w:rFonts w:ascii="Helvetica" w:hAnsi="Helvetica"/>
          <w:color w:val="000000"/>
        </w:rPr>
        <w:t> </w:t>
      </w:r>
      <w:r>
        <w:rPr>
          <w:rStyle w:val="a4"/>
          <w:rFonts w:ascii="Helvetica" w:hAnsi="Helvetica"/>
          <w:color w:val="000000"/>
        </w:rPr>
        <w:t>lead,</w:t>
      </w:r>
      <w:r>
        <w:rPr>
          <w:rFonts w:ascii="Helvetica" w:hAnsi="Helvetica"/>
          <w:color w:val="000000"/>
        </w:rPr>
        <w:t> </w:t>
      </w:r>
      <w:hyperlink r:id="rId15" w:tgtFrame="_blank" w:history="1">
        <w:r>
          <w:rPr>
            <w:rStyle w:val="a6"/>
            <w:rFonts w:ascii="Helvetica" w:hAnsi="Helvetica"/>
            <w:b/>
            <w:bCs/>
            <w:color w:val="AF292E"/>
          </w:rPr>
          <w:t>Accenture</w:t>
        </w:r>
      </w:hyperlink>
      <w:r>
        <w:rPr>
          <w:rStyle w:val="a4"/>
          <w:rFonts w:ascii="Helvetica" w:hAnsi="Helvetica"/>
          <w:color w:val="000000"/>
        </w:rPr>
        <w:t>:</w:t>
      </w:r>
      <w:r>
        <w:rPr>
          <w:rFonts w:ascii="Helvetica" w:hAnsi="Helvetica"/>
          <w:color w:val="000000"/>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Pr>
          <w:rFonts w:ascii="Helvetica" w:hAnsi="Helvetica"/>
          <w:color w:val="000000"/>
        </w:rPr>
        <w:t>in regards to</w:t>
      </w:r>
      <w:proofErr w:type="gramEnd"/>
      <w:r>
        <w:rPr>
          <w:rFonts w:ascii="Helvetica" w:hAnsi="Helvetica"/>
          <w:color w:val="000000"/>
        </w:rPr>
        <w:t xml:space="preserve"> speed and complexity.</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Default="000E0A66">
      <w:pPr>
        <w:pStyle w:val="a3"/>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6"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lastRenderedPageBreak/>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4FE" w:rsidRDefault="00AB54FE" w:rsidP="006C2A70">
      <w:r>
        <w:separator/>
      </w:r>
    </w:p>
  </w:endnote>
  <w:endnote w:type="continuationSeparator" w:id="0">
    <w:p w:rsidR="00AB54FE" w:rsidRDefault="00AB54FE"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4FE" w:rsidRDefault="00AB54FE" w:rsidP="006C2A70">
      <w:r>
        <w:separator/>
      </w:r>
    </w:p>
  </w:footnote>
  <w:footnote w:type="continuationSeparator" w:id="0">
    <w:p w:rsidR="00AB54FE" w:rsidRDefault="00AB54FE"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B31FA"/>
    <w:rsid w:val="003F75BF"/>
    <w:rsid w:val="00404628"/>
    <w:rsid w:val="00415B01"/>
    <w:rsid w:val="004967BA"/>
    <w:rsid w:val="004D7037"/>
    <w:rsid w:val="00500BB6"/>
    <w:rsid w:val="005019EF"/>
    <w:rsid w:val="00506F66"/>
    <w:rsid w:val="00562526"/>
    <w:rsid w:val="005E2B9F"/>
    <w:rsid w:val="006230EC"/>
    <w:rsid w:val="00664B0D"/>
    <w:rsid w:val="0067741F"/>
    <w:rsid w:val="006C2A70"/>
    <w:rsid w:val="006D145D"/>
    <w:rsid w:val="0071235D"/>
    <w:rsid w:val="007133D4"/>
    <w:rsid w:val="00717BAD"/>
    <w:rsid w:val="00723364"/>
    <w:rsid w:val="00765ABA"/>
    <w:rsid w:val="007A3C53"/>
    <w:rsid w:val="00801293"/>
    <w:rsid w:val="00850FE7"/>
    <w:rsid w:val="008838F2"/>
    <w:rsid w:val="00883CB5"/>
    <w:rsid w:val="008B2BD0"/>
    <w:rsid w:val="008B73C1"/>
    <w:rsid w:val="00952A99"/>
    <w:rsid w:val="009A11D1"/>
    <w:rsid w:val="009C030E"/>
    <w:rsid w:val="009E69F6"/>
    <w:rsid w:val="00A04030"/>
    <w:rsid w:val="00A849AD"/>
    <w:rsid w:val="00AB54FE"/>
    <w:rsid w:val="00AD1006"/>
    <w:rsid w:val="00AE16BA"/>
    <w:rsid w:val="00AF7041"/>
    <w:rsid w:val="00B85EF5"/>
    <w:rsid w:val="00B903B4"/>
    <w:rsid w:val="00B939F8"/>
    <w:rsid w:val="00C06F77"/>
    <w:rsid w:val="00C835BA"/>
    <w:rsid w:val="00C975D1"/>
    <w:rsid w:val="00CD5ED3"/>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orthhigh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s://www.accenture.com/us-en"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terprisersproject.com/tags/microser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3C870-259C-46C7-8989-5EBBD75D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5</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54</cp:revision>
  <dcterms:created xsi:type="dcterms:W3CDTF">2019-09-08T14:11:00Z</dcterms:created>
  <dcterms:modified xsi:type="dcterms:W3CDTF">2019-09-30T03:54:00Z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