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32884817"/>
        <w:docPartObj>
          <w:docPartGallery w:val="Cover Pages"/>
          <w:docPartUnique/>
        </w:docPartObj>
      </w:sdtPr>
      <w:sdtContent>
        <w:p w14:paraId="25298F54" w14:textId="63D5A2E5" w:rsidR="000919A3" w:rsidRDefault="000919A3">
          <w:pPr>
            <w:rPr>
              <w:rFonts w:asciiTheme="majorHAnsi" w:eastAsiaTheme="majorEastAsia" w:hAnsiTheme="majorHAnsi" w:cstheme="majorBidi"/>
              <w:color w:val="0F4761" w:themeColor="accent1" w:themeShade="BF"/>
              <w:sz w:val="40"/>
              <w:szCs w:val="40"/>
            </w:rPr>
          </w:pPr>
          <w:r>
            <w:rPr>
              <w:noProof/>
              <w:color w:val="FFFFFF" w:themeColor="background1"/>
            </w:rPr>
            <mc:AlternateContent>
              <mc:Choice Requires="wpg">
                <w:drawing>
                  <wp:anchor distT="0" distB="0" distL="114300" distR="114300" simplePos="0" relativeHeight="251659264" behindDoc="0" locked="0" layoutInCell="1" allowOverlap="1" wp14:anchorId="38E7DDDB" wp14:editId="3236E8A3">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51B8387" w14:textId="3D6A8336" w:rsidR="000919A3" w:rsidRDefault="000919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Code Of Conduct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B91A271" w14:textId="7349A4FE" w:rsidR="000919A3" w:rsidRDefault="000919A3">
                                      <w:pPr>
                                        <w:pStyle w:val="NoSpacing"/>
                                        <w:rPr>
                                          <w:color w:val="FFFFFF" w:themeColor="background1"/>
                                          <w:sz w:val="28"/>
                                          <w:szCs w:val="28"/>
                                        </w:rPr>
                                      </w:pPr>
                                      <w:r>
                                        <w:rPr>
                                          <w:color w:val="FFFFFF" w:themeColor="background1"/>
                                          <w:sz w:val="28"/>
                                          <w:szCs w:val="28"/>
                                        </w:rPr>
                                        <w:t>Team 32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8103D19" w14:textId="177A5D10" w:rsidR="000919A3" w:rsidRDefault="000919A3">
                                      <w:pPr>
                                        <w:pStyle w:val="NoSpacing"/>
                                        <w:rPr>
                                          <w:color w:val="FFFFFF" w:themeColor="background1"/>
                                          <w:sz w:val="32"/>
                                          <w:szCs w:val="32"/>
                                        </w:rPr>
                                      </w:pPr>
                                      <w:r>
                                        <w:rPr>
                                          <w:color w:val="FFFFFF" w:themeColor="background1"/>
                                          <w:sz w:val="32"/>
                                          <w:szCs w:val="32"/>
                                        </w:rPr>
                                        <w:t>Rachel Watson, Erin Lennox, Ahmed Mursal, Robbie Black</w:t>
                                      </w:r>
                                    </w:p>
                                  </w:sdtContent>
                                </w:sdt>
                                <w:p w14:paraId="4204AD77" w14:textId="40EE77ED" w:rsidR="000919A3" w:rsidRDefault="000919A3">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E7DDDB"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51B8387" w14:textId="3D6A8336" w:rsidR="000919A3" w:rsidRDefault="000919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Code Of Conduct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B91A271" w14:textId="7349A4FE" w:rsidR="000919A3" w:rsidRDefault="000919A3">
                                <w:pPr>
                                  <w:pStyle w:val="NoSpacing"/>
                                  <w:rPr>
                                    <w:color w:val="FFFFFF" w:themeColor="background1"/>
                                    <w:sz w:val="28"/>
                                    <w:szCs w:val="28"/>
                                  </w:rPr>
                                </w:pPr>
                                <w:r>
                                  <w:rPr>
                                    <w:color w:val="FFFFFF" w:themeColor="background1"/>
                                    <w:sz w:val="28"/>
                                    <w:szCs w:val="28"/>
                                  </w:rPr>
                                  <w:t>Team 32</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8103D19" w14:textId="177A5D10" w:rsidR="000919A3" w:rsidRDefault="000919A3">
                                <w:pPr>
                                  <w:pStyle w:val="NoSpacing"/>
                                  <w:rPr>
                                    <w:color w:val="FFFFFF" w:themeColor="background1"/>
                                    <w:sz w:val="32"/>
                                    <w:szCs w:val="32"/>
                                  </w:rPr>
                                </w:pPr>
                                <w:r>
                                  <w:rPr>
                                    <w:color w:val="FFFFFF" w:themeColor="background1"/>
                                    <w:sz w:val="32"/>
                                    <w:szCs w:val="32"/>
                                  </w:rPr>
                                  <w:t>Rachel Watson, Erin Lennox, Ahmed Mursal, Robbie Black</w:t>
                                </w:r>
                              </w:p>
                            </w:sdtContent>
                          </w:sdt>
                          <w:p w14:paraId="4204AD77" w14:textId="40EE77ED" w:rsidR="000919A3" w:rsidRDefault="000919A3">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p>
                        </w:txbxContent>
                      </v:textbox>
                    </v:shape>
                    <w10:wrap anchorx="page" anchory="page"/>
                  </v:group>
                </w:pict>
              </mc:Fallback>
            </mc:AlternateContent>
          </w:r>
          <w:r>
            <w:br w:type="page"/>
          </w:r>
        </w:p>
      </w:sdtContent>
    </w:sdt>
    <w:p w14:paraId="5A68DFC3" w14:textId="19FA7939" w:rsidR="00063ABC" w:rsidRDefault="000919A3" w:rsidP="000919A3">
      <w:pPr>
        <w:pStyle w:val="Heading1"/>
      </w:pPr>
      <w:r>
        <w:lastRenderedPageBreak/>
        <w:t>Code of Conduct.</w:t>
      </w:r>
    </w:p>
    <w:p w14:paraId="1A7F6DF4" w14:textId="35C53217" w:rsidR="000919A3" w:rsidRPr="000919A3" w:rsidRDefault="000919A3" w:rsidP="000919A3">
      <w:pPr>
        <w:numPr>
          <w:ilvl w:val="0"/>
          <w:numId w:val="2"/>
        </w:numPr>
        <w:rPr>
          <w:rFonts w:ascii="Abadi" w:hAnsi="Abadi"/>
          <w:sz w:val="24"/>
          <w:szCs w:val="24"/>
        </w:rPr>
      </w:pPr>
      <w:r w:rsidRPr="000919A3">
        <w:rPr>
          <w:rFonts w:ascii="Abadi" w:hAnsi="Abadi"/>
          <w:b/>
          <w:bCs/>
          <w:sz w:val="24"/>
          <w:szCs w:val="24"/>
        </w:rPr>
        <w:t>Public Interest</w:t>
      </w:r>
      <w:r w:rsidRPr="000919A3">
        <w:rPr>
          <w:rFonts w:ascii="Abadi" w:hAnsi="Abadi"/>
          <w:sz w:val="24"/>
          <w:szCs w:val="24"/>
        </w:rPr>
        <w:t xml:space="preserve">: Software engineers must prioritize the public's safety, welfare, and privacy in their work. They should ensure their software is </w:t>
      </w:r>
      <w:r w:rsidRPr="000919A3">
        <w:rPr>
          <w:rFonts w:ascii="Abadi" w:hAnsi="Abadi"/>
          <w:sz w:val="24"/>
          <w:szCs w:val="24"/>
        </w:rPr>
        <w:t>dependable</w:t>
      </w:r>
      <w:r w:rsidRPr="000919A3">
        <w:rPr>
          <w:rFonts w:ascii="Abadi" w:hAnsi="Abadi"/>
          <w:sz w:val="24"/>
          <w:szCs w:val="24"/>
        </w:rPr>
        <w:t>, meets safety standards, and minimizes harm. They must disclose risks, avoid deception, and consider how their work affects all individuals, including those with disabilities or economic disadvantages.</w:t>
      </w:r>
    </w:p>
    <w:p w14:paraId="25A9DBEB" w14:textId="77777777" w:rsidR="000919A3" w:rsidRPr="000919A3" w:rsidRDefault="000919A3" w:rsidP="000919A3">
      <w:pPr>
        <w:numPr>
          <w:ilvl w:val="0"/>
          <w:numId w:val="2"/>
        </w:numPr>
        <w:rPr>
          <w:rFonts w:ascii="Abadi" w:hAnsi="Abadi"/>
          <w:sz w:val="24"/>
          <w:szCs w:val="24"/>
        </w:rPr>
      </w:pPr>
      <w:r w:rsidRPr="000919A3">
        <w:rPr>
          <w:rFonts w:ascii="Abadi" w:hAnsi="Abadi"/>
          <w:b/>
          <w:bCs/>
          <w:sz w:val="24"/>
          <w:szCs w:val="24"/>
        </w:rPr>
        <w:t>Client and Employer</w:t>
      </w:r>
      <w:r w:rsidRPr="000919A3">
        <w:rPr>
          <w:rFonts w:ascii="Abadi" w:hAnsi="Abadi"/>
          <w:sz w:val="24"/>
          <w:szCs w:val="24"/>
        </w:rPr>
        <w:t>: Engineers must act in the best interest of their clients and employers, but never at the expense of the public interest. They must provide honest and competent service, respect confidentiality, and avoid using illegal or unethical software. If a project is likely to fail or encounter legal issues, they should promptly report it.</w:t>
      </w:r>
    </w:p>
    <w:p w14:paraId="00669BA5" w14:textId="77777777" w:rsidR="000919A3" w:rsidRPr="000919A3" w:rsidRDefault="000919A3" w:rsidP="000919A3">
      <w:pPr>
        <w:numPr>
          <w:ilvl w:val="0"/>
          <w:numId w:val="2"/>
        </w:numPr>
        <w:rPr>
          <w:rFonts w:ascii="Abadi" w:hAnsi="Abadi"/>
          <w:sz w:val="24"/>
          <w:szCs w:val="24"/>
        </w:rPr>
      </w:pPr>
      <w:r w:rsidRPr="000919A3">
        <w:rPr>
          <w:rFonts w:ascii="Abadi" w:hAnsi="Abadi"/>
          <w:b/>
          <w:bCs/>
          <w:sz w:val="24"/>
          <w:szCs w:val="24"/>
        </w:rPr>
        <w:t>Product</w:t>
      </w:r>
      <w:r w:rsidRPr="000919A3">
        <w:rPr>
          <w:rFonts w:ascii="Abadi" w:hAnsi="Abadi"/>
          <w:sz w:val="24"/>
          <w:szCs w:val="24"/>
        </w:rPr>
        <w:t>: Engineers are responsible for ensuring the quality of the software they develop. They must strive to meet high professional standards, deliver realistic goals, and ensure adequate testing and documentation. They should also consider legal, cultural, and environmental impacts, and ensure privacy is respected.</w:t>
      </w:r>
    </w:p>
    <w:p w14:paraId="7B6DB12D" w14:textId="77777777" w:rsidR="000919A3" w:rsidRPr="000919A3" w:rsidRDefault="000919A3" w:rsidP="000919A3">
      <w:pPr>
        <w:numPr>
          <w:ilvl w:val="0"/>
          <w:numId w:val="2"/>
        </w:numPr>
        <w:rPr>
          <w:rFonts w:ascii="Abadi" w:hAnsi="Abadi"/>
          <w:sz w:val="24"/>
          <w:szCs w:val="24"/>
        </w:rPr>
      </w:pPr>
      <w:r w:rsidRPr="000919A3">
        <w:rPr>
          <w:rFonts w:ascii="Abadi" w:hAnsi="Abadi"/>
          <w:b/>
          <w:bCs/>
          <w:sz w:val="24"/>
          <w:szCs w:val="24"/>
        </w:rPr>
        <w:t>Judgment</w:t>
      </w:r>
      <w:r w:rsidRPr="000919A3">
        <w:rPr>
          <w:rFonts w:ascii="Abadi" w:hAnsi="Abadi"/>
          <w:sz w:val="24"/>
          <w:szCs w:val="24"/>
        </w:rPr>
        <w:t>: Integrity and independence are key in professional decision-making. Engineers should base technical judgments on human values and not compromise their objectivity. They must avoid conflicts of interest, refuse unethical financial practices, and disclose unavoidable conflicts.</w:t>
      </w:r>
    </w:p>
    <w:p w14:paraId="3A32F9F2" w14:textId="77777777" w:rsidR="000919A3" w:rsidRPr="000919A3" w:rsidRDefault="000919A3" w:rsidP="000919A3">
      <w:pPr>
        <w:numPr>
          <w:ilvl w:val="0"/>
          <w:numId w:val="2"/>
        </w:numPr>
        <w:rPr>
          <w:rFonts w:ascii="Abadi" w:hAnsi="Abadi"/>
          <w:sz w:val="24"/>
          <w:szCs w:val="24"/>
        </w:rPr>
      </w:pPr>
      <w:r w:rsidRPr="000919A3">
        <w:rPr>
          <w:rFonts w:ascii="Abadi" w:hAnsi="Abadi"/>
          <w:b/>
          <w:bCs/>
          <w:sz w:val="24"/>
          <w:szCs w:val="24"/>
        </w:rPr>
        <w:t>Management</w:t>
      </w:r>
      <w:r w:rsidRPr="000919A3">
        <w:rPr>
          <w:rFonts w:ascii="Abadi" w:hAnsi="Abadi"/>
          <w:sz w:val="24"/>
          <w:szCs w:val="24"/>
        </w:rPr>
        <w:t>: Software engineering managers and leaders must promote ethical practices in managing projects. This includes ensuring fair work assignments, protecting confidential information, offering fair remuneration, and making sure employees are aware of company standards and professional expectations.</w:t>
      </w:r>
    </w:p>
    <w:p w14:paraId="50AB7EAC" w14:textId="23E168C0" w:rsidR="000919A3" w:rsidRPr="000919A3" w:rsidRDefault="000919A3" w:rsidP="000919A3">
      <w:pPr>
        <w:numPr>
          <w:ilvl w:val="0"/>
          <w:numId w:val="2"/>
        </w:numPr>
        <w:rPr>
          <w:rFonts w:ascii="Abadi" w:hAnsi="Abadi"/>
          <w:sz w:val="24"/>
          <w:szCs w:val="24"/>
        </w:rPr>
      </w:pPr>
      <w:r w:rsidRPr="000919A3">
        <w:rPr>
          <w:rFonts w:ascii="Abadi" w:hAnsi="Abadi"/>
          <w:b/>
          <w:bCs/>
          <w:sz w:val="24"/>
          <w:szCs w:val="24"/>
        </w:rPr>
        <w:t>Profession</w:t>
      </w:r>
      <w:r w:rsidRPr="000919A3">
        <w:rPr>
          <w:rFonts w:ascii="Abadi" w:hAnsi="Abadi"/>
          <w:sz w:val="24"/>
          <w:szCs w:val="24"/>
        </w:rPr>
        <w:t xml:space="preserve">: Engineers must uphold the reputation and integrity of the profession. They should help create an environment that supports ethical </w:t>
      </w:r>
      <w:r w:rsidRPr="000919A3">
        <w:rPr>
          <w:rFonts w:ascii="Abadi" w:hAnsi="Abadi"/>
          <w:sz w:val="24"/>
          <w:szCs w:val="24"/>
        </w:rPr>
        <w:t>behaviour</w:t>
      </w:r>
      <w:r w:rsidRPr="000919A3">
        <w:rPr>
          <w:rFonts w:ascii="Abadi" w:hAnsi="Abadi"/>
          <w:sz w:val="24"/>
          <w:szCs w:val="24"/>
        </w:rPr>
        <w:t>, contribute to public knowledge, report violations of the Code, and avoid associations that conflict with the profession's ethical standards.</w:t>
      </w:r>
    </w:p>
    <w:p w14:paraId="5E276A71" w14:textId="1FB00457" w:rsidR="000919A3" w:rsidRPr="000919A3" w:rsidRDefault="000919A3" w:rsidP="000919A3">
      <w:pPr>
        <w:numPr>
          <w:ilvl w:val="0"/>
          <w:numId w:val="2"/>
        </w:numPr>
        <w:rPr>
          <w:rFonts w:ascii="Abadi" w:hAnsi="Abadi"/>
          <w:sz w:val="24"/>
          <w:szCs w:val="24"/>
        </w:rPr>
      </w:pPr>
      <w:r w:rsidRPr="000919A3">
        <w:rPr>
          <w:rFonts w:ascii="Abadi" w:hAnsi="Abadi"/>
          <w:b/>
          <w:bCs/>
          <w:sz w:val="24"/>
          <w:szCs w:val="24"/>
        </w:rPr>
        <w:t>Colleagues</w:t>
      </w:r>
      <w:r w:rsidRPr="000919A3">
        <w:rPr>
          <w:rFonts w:ascii="Abadi" w:hAnsi="Abadi"/>
          <w:sz w:val="24"/>
          <w:szCs w:val="24"/>
        </w:rPr>
        <w:t xml:space="preserve">: Engineers should support and respect their colleagues. This includes encouraging ethical </w:t>
      </w:r>
      <w:r w:rsidRPr="000919A3">
        <w:rPr>
          <w:rFonts w:ascii="Abadi" w:hAnsi="Abadi"/>
          <w:sz w:val="24"/>
          <w:szCs w:val="24"/>
        </w:rPr>
        <w:t>behaviour</w:t>
      </w:r>
      <w:r w:rsidRPr="000919A3">
        <w:rPr>
          <w:rFonts w:ascii="Abadi" w:hAnsi="Abadi"/>
          <w:sz w:val="24"/>
          <w:szCs w:val="24"/>
        </w:rPr>
        <w:t>, offering constructive feedback, sharing knowledge, giving credit where due, and ensuring fair treatment. They should intervene in a colleague’s work only in good faith, if necessary for public interest or employer concerns.</w:t>
      </w:r>
    </w:p>
    <w:p w14:paraId="292B68B7" w14:textId="77777777" w:rsidR="000919A3" w:rsidRPr="000919A3" w:rsidRDefault="000919A3" w:rsidP="000919A3">
      <w:pPr>
        <w:numPr>
          <w:ilvl w:val="0"/>
          <w:numId w:val="2"/>
        </w:numPr>
        <w:rPr>
          <w:rFonts w:ascii="Abadi" w:hAnsi="Abadi"/>
          <w:b/>
          <w:bCs/>
          <w:sz w:val="24"/>
          <w:szCs w:val="24"/>
        </w:rPr>
      </w:pPr>
      <w:r w:rsidRPr="000919A3">
        <w:rPr>
          <w:rFonts w:ascii="Abadi" w:hAnsi="Abadi"/>
          <w:b/>
          <w:bCs/>
          <w:sz w:val="24"/>
          <w:szCs w:val="24"/>
        </w:rPr>
        <w:t xml:space="preserve">Self: </w:t>
      </w:r>
      <w:r w:rsidRPr="000919A3">
        <w:rPr>
          <w:rFonts w:ascii="Abadi" w:hAnsi="Abadi"/>
          <w:sz w:val="24"/>
          <w:szCs w:val="24"/>
        </w:rPr>
        <w:t>Lifelong learning is essential. Engineers must continuously improve their skills and knowledge, stay updated on legal and professional standards, and promote an ethical approach to their work. They must also avoid actions that would violate the Code and resist encouraging others to do so.</w:t>
      </w:r>
    </w:p>
    <w:p w14:paraId="30034F00" w14:textId="77777777" w:rsidR="000919A3" w:rsidRDefault="000919A3" w:rsidP="000919A3">
      <w:pPr>
        <w:rPr>
          <w:rFonts w:ascii="Abadi" w:hAnsi="Abadi"/>
          <w:b/>
          <w:bCs/>
          <w:sz w:val="24"/>
          <w:szCs w:val="24"/>
        </w:rPr>
      </w:pPr>
    </w:p>
    <w:p w14:paraId="6825B1E0" w14:textId="77777777" w:rsidR="000919A3" w:rsidRDefault="000919A3" w:rsidP="000919A3">
      <w:pPr>
        <w:rPr>
          <w:rFonts w:ascii="Abadi" w:hAnsi="Abadi"/>
          <w:b/>
          <w:bCs/>
          <w:sz w:val="24"/>
          <w:szCs w:val="24"/>
        </w:rPr>
      </w:pPr>
    </w:p>
    <w:p w14:paraId="0AA81EA9" w14:textId="77777777" w:rsidR="000919A3" w:rsidRPr="000919A3" w:rsidRDefault="000919A3" w:rsidP="000919A3">
      <w:pPr>
        <w:rPr>
          <w:rFonts w:ascii="Abadi" w:hAnsi="Abadi"/>
          <w:b/>
          <w:bCs/>
          <w:sz w:val="24"/>
          <w:szCs w:val="24"/>
        </w:rPr>
      </w:pPr>
    </w:p>
    <w:p w14:paraId="6AE6898A" w14:textId="0422017A" w:rsidR="000919A3" w:rsidRDefault="000919A3" w:rsidP="000919A3">
      <w:r w:rsidRPr="000919A3">
        <w:lastRenderedPageBreak/>
        <w:t>ACM Ethics (2018). </w:t>
      </w:r>
      <w:r w:rsidRPr="000919A3">
        <w:rPr>
          <w:i/>
          <w:iCs/>
        </w:rPr>
        <w:t>Software Engineering Code</w:t>
      </w:r>
      <w:r w:rsidRPr="000919A3">
        <w:t xml:space="preserve">. [online] ACM Ethics. Available at: </w:t>
      </w:r>
      <w:hyperlink r:id="rId6" w:history="1">
        <w:r w:rsidRPr="000919A3">
          <w:rPr>
            <w:rStyle w:val="Hyperlink"/>
          </w:rPr>
          <w:t>https://ethics.acm.org/code-of-ethics/software-engineering-code/</w:t>
        </w:r>
      </w:hyperlink>
      <w:r w:rsidRPr="000919A3">
        <w:t>.</w:t>
      </w:r>
    </w:p>
    <w:p w14:paraId="52DC173B" w14:textId="77777777" w:rsidR="000919A3" w:rsidRDefault="000919A3" w:rsidP="000919A3"/>
    <w:p w14:paraId="35644552" w14:textId="0DD4FF3D" w:rsidR="000919A3" w:rsidRDefault="000919A3" w:rsidP="000919A3">
      <w:r w:rsidRPr="000919A3">
        <w:t>A Level Computer Science. (n.d.). </w:t>
      </w:r>
      <w:r w:rsidRPr="000919A3">
        <w:rPr>
          <w:i/>
          <w:iCs/>
        </w:rPr>
        <w:t>IEEE/ACM Software Engineering Code of Ethics - Guiding Principles</w:t>
      </w:r>
      <w:r w:rsidRPr="000919A3">
        <w:t xml:space="preserve">. [online] Available at: </w:t>
      </w:r>
      <w:hyperlink r:id="rId7" w:history="1">
        <w:r w:rsidRPr="000919A3">
          <w:rPr>
            <w:rStyle w:val="Hyperlink"/>
          </w:rPr>
          <w:t>https://learnlearn.uk/alevelcs/acm-software-engineering-guiding-principles/</w:t>
        </w:r>
      </w:hyperlink>
      <w:r w:rsidRPr="000919A3">
        <w:t>.</w:t>
      </w:r>
    </w:p>
    <w:p w14:paraId="6296E21A" w14:textId="64BBA565" w:rsidR="000919A3" w:rsidRPr="000919A3" w:rsidRDefault="000919A3" w:rsidP="000919A3"/>
    <w:p w14:paraId="5D3E5F6A" w14:textId="1F781375" w:rsidR="000919A3" w:rsidRDefault="000919A3" w:rsidP="000919A3">
      <w:r w:rsidRPr="000919A3">
        <w:t>Alzahrani, S. (2024). </w:t>
      </w:r>
      <w:r w:rsidRPr="000919A3">
        <w:rPr>
          <w:i/>
          <w:iCs/>
        </w:rPr>
        <w:t>Introduction: As the field of software engineering continues to grow and evolve, the need for a standardized code of ethics becomes increasingly crucial. Recognizing this, the IEEE Computer Society and the ACM have jointly approved the Software Engineering Code of Ethics and Professional Practice.</w:t>
      </w:r>
      <w:r w:rsidRPr="000919A3">
        <w:t xml:space="preserve"> [online] Linkedin.com. Available at: </w:t>
      </w:r>
      <w:hyperlink r:id="rId8" w:history="1">
        <w:r w:rsidRPr="000919A3">
          <w:rPr>
            <w:rStyle w:val="Hyperlink"/>
          </w:rPr>
          <w:t>https://www.linkedin.com/pulse/significance-software-engineering-code-ethics-saud-alzahrani-3mqkf/</w:t>
        </w:r>
      </w:hyperlink>
      <w:r w:rsidRPr="000919A3">
        <w:t>.</w:t>
      </w:r>
    </w:p>
    <w:p w14:paraId="00ED2DD2" w14:textId="77777777" w:rsidR="000919A3" w:rsidRPr="000919A3" w:rsidRDefault="000919A3" w:rsidP="000919A3"/>
    <w:p w14:paraId="3CDF5155" w14:textId="77777777" w:rsidR="000919A3" w:rsidRPr="000919A3" w:rsidRDefault="000919A3" w:rsidP="000919A3">
      <w:r w:rsidRPr="000919A3">
        <w:t>‌</w:t>
      </w:r>
    </w:p>
    <w:p w14:paraId="18BA6DF9" w14:textId="77777777" w:rsidR="000919A3" w:rsidRPr="000919A3" w:rsidRDefault="000919A3" w:rsidP="000919A3"/>
    <w:p w14:paraId="29376BC5" w14:textId="77777777" w:rsidR="000919A3" w:rsidRPr="000919A3" w:rsidRDefault="000919A3" w:rsidP="000919A3">
      <w:r w:rsidRPr="000919A3">
        <w:t>‌</w:t>
      </w:r>
    </w:p>
    <w:p w14:paraId="7DB50930" w14:textId="77777777" w:rsidR="000919A3" w:rsidRPr="000919A3" w:rsidRDefault="000919A3" w:rsidP="000919A3"/>
    <w:sectPr w:rsidR="000919A3" w:rsidRPr="000919A3" w:rsidSect="000919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850AC"/>
    <w:multiLevelType w:val="multilevel"/>
    <w:tmpl w:val="3998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D0352"/>
    <w:multiLevelType w:val="multilevel"/>
    <w:tmpl w:val="275A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683815">
    <w:abstractNumId w:val="1"/>
  </w:num>
  <w:num w:numId="2" w16cid:durableId="1465153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C4"/>
    <w:rsid w:val="00063ABC"/>
    <w:rsid w:val="000919A3"/>
    <w:rsid w:val="005D03C4"/>
    <w:rsid w:val="00780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2518"/>
  <w15:chartTrackingRefBased/>
  <w15:docId w15:val="{30269D83-4FB8-4157-852A-9A853DC2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3C4"/>
    <w:rPr>
      <w:rFonts w:eastAsiaTheme="majorEastAsia" w:cstheme="majorBidi"/>
      <w:color w:val="272727" w:themeColor="text1" w:themeTint="D8"/>
    </w:rPr>
  </w:style>
  <w:style w:type="paragraph" w:styleId="Title">
    <w:name w:val="Title"/>
    <w:basedOn w:val="Normal"/>
    <w:next w:val="Normal"/>
    <w:link w:val="TitleChar"/>
    <w:uiPriority w:val="10"/>
    <w:qFormat/>
    <w:rsid w:val="005D0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3C4"/>
    <w:pPr>
      <w:spacing w:before="160"/>
      <w:jc w:val="center"/>
    </w:pPr>
    <w:rPr>
      <w:i/>
      <w:iCs/>
      <w:color w:val="404040" w:themeColor="text1" w:themeTint="BF"/>
    </w:rPr>
  </w:style>
  <w:style w:type="character" w:customStyle="1" w:styleId="QuoteChar">
    <w:name w:val="Quote Char"/>
    <w:basedOn w:val="DefaultParagraphFont"/>
    <w:link w:val="Quote"/>
    <w:uiPriority w:val="29"/>
    <w:rsid w:val="005D03C4"/>
    <w:rPr>
      <w:i/>
      <w:iCs/>
      <w:color w:val="404040" w:themeColor="text1" w:themeTint="BF"/>
    </w:rPr>
  </w:style>
  <w:style w:type="paragraph" w:styleId="ListParagraph">
    <w:name w:val="List Paragraph"/>
    <w:basedOn w:val="Normal"/>
    <w:uiPriority w:val="34"/>
    <w:qFormat/>
    <w:rsid w:val="005D03C4"/>
    <w:pPr>
      <w:ind w:left="720"/>
      <w:contextualSpacing/>
    </w:pPr>
  </w:style>
  <w:style w:type="character" w:styleId="IntenseEmphasis">
    <w:name w:val="Intense Emphasis"/>
    <w:basedOn w:val="DefaultParagraphFont"/>
    <w:uiPriority w:val="21"/>
    <w:qFormat/>
    <w:rsid w:val="005D03C4"/>
    <w:rPr>
      <w:i/>
      <w:iCs/>
      <w:color w:val="0F4761" w:themeColor="accent1" w:themeShade="BF"/>
    </w:rPr>
  </w:style>
  <w:style w:type="paragraph" w:styleId="IntenseQuote">
    <w:name w:val="Intense Quote"/>
    <w:basedOn w:val="Normal"/>
    <w:next w:val="Normal"/>
    <w:link w:val="IntenseQuoteChar"/>
    <w:uiPriority w:val="30"/>
    <w:qFormat/>
    <w:rsid w:val="005D0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3C4"/>
    <w:rPr>
      <w:i/>
      <w:iCs/>
      <w:color w:val="0F4761" w:themeColor="accent1" w:themeShade="BF"/>
    </w:rPr>
  </w:style>
  <w:style w:type="character" w:styleId="IntenseReference">
    <w:name w:val="Intense Reference"/>
    <w:basedOn w:val="DefaultParagraphFont"/>
    <w:uiPriority w:val="32"/>
    <w:qFormat/>
    <w:rsid w:val="005D03C4"/>
    <w:rPr>
      <w:b/>
      <w:bCs/>
      <w:smallCaps/>
      <w:color w:val="0F4761" w:themeColor="accent1" w:themeShade="BF"/>
      <w:spacing w:val="5"/>
    </w:rPr>
  </w:style>
  <w:style w:type="paragraph" w:styleId="NoSpacing">
    <w:name w:val="No Spacing"/>
    <w:link w:val="NoSpacingChar"/>
    <w:uiPriority w:val="1"/>
    <w:qFormat/>
    <w:rsid w:val="000919A3"/>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0919A3"/>
    <w:rPr>
      <w:rFonts w:eastAsiaTheme="minorEastAsia"/>
      <w:kern w:val="0"/>
      <w:lang w:eastAsia="en-GB"/>
      <w14:ligatures w14:val="none"/>
    </w:rPr>
  </w:style>
  <w:style w:type="character" w:styleId="Hyperlink">
    <w:name w:val="Hyperlink"/>
    <w:basedOn w:val="DefaultParagraphFont"/>
    <w:uiPriority w:val="99"/>
    <w:unhideWhenUsed/>
    <w:rsid w:val="000919A3"/>
    <w:rPr>
      <w:color w:val="467886" w:themeColor="hyperlink"/>
      <w:u w:val="single"/>
    </w:rPr>
  </w:style>
  <w:style w:type="character" w:styleId="UnresolvedMention">
    <w:name w:val="Unresolved Mention"/>
    <w:basedOn w:val="DefaultParagraphFont"/>
    <w:uiPriority w:val="99"/>
    <w:semiHidden/>
    <w:unhideWhenUsed/>
    <w:rsid w:val="00091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9831">
      <w:bodyDiv w:val="1"/>
      <w:marLeft w:val="0"/>
      <w:marRight w:val="0"/>
      <w:marTop w:val="0"/>
      <w:marBottom w:val="0"/>
      <w:divBdr>
        <w:top w:val="none" w:sz="0" w:space="0" w:color="auto"/>
        <w:left w:val="none" w:sz="0" w:space="0" w:color="auto"/>
        <w:bottom w:val="none" w:sz="0" w:space="0" w:color="auto"/>
        <w:right w:val="none" w:sz="0" w:space="0" w:color="auto"/>
      </w:divBdr>
    </w:div>
    <w:div w:id="484318726">
      <w:bodyDiv w:val="1"/>
      <w:marLeft w:val="0"/>
      <w:marRight w:val="0"/>
      <w:marTop w:val="0"/>
      <w:marBottom w:val="0"/>
      <w:divBdr>
        <w:top w:val="none" w:sz="0" w:space="0" w:color="auto"/>
        <w:left w:val="none" w:sz="0" w:space="0" w:color="auto"/>
        <w:bottom w:val="none" w:sz="0" w:space="0" w:color="auto"/>
        <w:right w:val="none" w:sz="0" w:space="0" w:color="auto"/>
      </w:divBdr>
      <w:divsChild>
        <w:div w:id="1932006193">
          <w:marLeft w:val="0"/>
          <w:marRight w:val="0"/>
          <w:marTop w:val="0"/>
          <w:marBottom w:val="0"/>
          <w:divBdr>
            <w:top w:val="none" w:sz="0" w:space="0" w:color="auto"/>
            <w:left w:val="none" w:sz="0" w:space="0" w:color="auto"/>
            <w:bottom w:val="none" w:sz="0" w:space="0" w:color="auto"/>
            <w:right w:val="none" w:sz="0" w:space="0" w:color="auto"/>
          </w:divBdr>
        </w:div>
        <w:div w:id="1002661928">
          <w:marLeft w:val="0"/>
          <w:marRight w:val="0"/>
          <w:marTop w:val="0"/>
          <w:marBottom w:val="0"/>
          <w:divBdr>
            <w:top w:val="none" w:sz="0" w:space="0" w:color="auto"/>
            <w:left w:val="none" w:sz="0" w:space="0" w:color="auto"/>
            <w:bottom w:val="none" w:sz="0" w:space="0" w:color="auto"/>
            <w:right w:val="none" w:sz="0" w:space="0" w:color="auto"/>
          </w:divBdr>
        </w:div>
        <w:div w:id="2137868632">
          <w:marLeft w:val="0"/>
          <w:marRight w:val="0"/>
          <w:marTop w:val="0"/>
          <w:marBottom w:val="0"/>
          <w:divBdr>
            <w:top w:val="none" w:sz="0" w:space="0" w:color="auto"/>
            <w:left w:val="none" w:sz="0" w:space="0" w:color="auto"/>
            <w:bottom w:val="none" w:sz="0" w:space="0" w:color="auto"/>
            <w:right w:val="none" w:sz="0" w:space="0" w:color="auto"/>
          </w:divBdr>
        </w:div>
        <w:div w:id="1241331980">
          <w:marLeft w:val="0"/>
          <w:marRight w:val="0"/>
          <w:marTop w:val="0"/>
          <w:marBottom w:val="0"/>
          <w:divBdr>
            <w:top w:val="none" w:sz="0" w:space="0" w:color="auto"/>
            <w:left w:val="none" w:sz="0" w:space="0" w:color="auto"/>
            <w:bottom w:val="none" w:sz="0" w:space="0" w:color="auto"/>
            <w:right w:val="none" w:sz="0" w:space="0" w:color="auto"/>
          </w:divBdr>
        </w:div>
        <w:div w:id="754060956">
          <w:marLeft w:val="0"/>
          <w:marRight w:val="0"/>
          <w:marTop w:val="0"/>
          <w:marBottom w:val="0"/>
          <w:divBdr>
            <w:top w:val="none" w:sz="0" w:space="0" w:color="auto"/>
            <w:left w:val="none" w:sz="0" w:space="0" w:color="auto"/>
            <w:bottom w:val="none" w:sz="0" w:space="0" w:color="auto"/>
            <w:right w:val="none" w:sz="0" w:space="0" w:color="auto"/>
          </w:divBdr>
        </w:div>
        <w:div w:id="233708600">
          <w:marLeft w:val="0"/>
          <w:marRight w:val="0"/>
          <w:marTop w:val="0"/>
          <w:marBottom w:val="0"/>
          <w:divBdr>
            <w:top w:val="none" w:sz="0" w:space="0" w:color="auto"/>
            <w:left w:val="none" w:sz="0" w:space="0" w:color="auto"/>
            <w:bottom w:val="none" w:sz="0" w:space="0" w:color="auto"/>
            <w:right w:val="none" w:sz="0" w:space="0" w:color="auto"/>
          </w:divBdr>
        </w:div>
        <w:div w:id="546381123">
          <w:marLeft w:val="0"/>
          <w:marRight w:val="0"/>
          <w:marTop w:val="0"/>
          <w:marBottom w:val="0"/>
          <w:divBdr>
            <w:top w:val="none" w:sz="0" w:space="0" w:color="auto"/>
            <w:left w:val="none" w:sz="0" w:space="0" w:color="auto"/>
            <w:bottom w:val="none" w:sz="0" w:space="0" w:color="auto"/>
            <w:right w:val="none" w:sz="0" w:space="0" w:color="auto"/>
          </w:divBdr>
        </w:div>
      </w:divsChild>
    </w:div>
    <w:div w:id="760031790">
      <w:bodyDiv w:val="1"/>
      <w:marLeft w:val="0"/>
      <w:marRight w:val="0"/>
      <w:marTop w:val="0"/>
      <w:marBottom w:val="0"/>
      <w:divBdr>
        <w:top w:val="none" w:sz="0" w:space="0" w:color="auto"/>
        <w:left w:val="none" w:sz="0" w:space="0" w:color="auto"/>
        <w:bottom w:val="none" w:sz="0" w:space="0" w:color="auto"/>
        <w:right w:val="none" w:sz="0" w:space="0" w:color="auto"/>
      </w:divBdr>
    </w:div>
    <w:div w:id="1020162756">
      <w:bodyDiv w:val="1"/>
      <w:marLeft w:val="0"/>
      <w:marRight w:val="0"/>
      <w:marTop w:val="0"/>
      <w:marBottom w:val="0"/>
      <w:divBdr>
        <w:top w:val="none" w:sz="0" w:space="0" w:color="auto"/>
        <w:left w:val="none" w:sz="0" w:space="0" w:color="auto"/>
        <w:bottom w:val="none" w:sz="0" w:space="0" w:color="auto"/>
        <w:right w:val="none" w:sz="0" w:space="0" w:color="auto"/>
      </w:divBdr>
    </w:div>
    <w:div w:id="1153915797">
      <w:bodyDiv w:val="1"/>
      <w:marLeft w:val="0"/>
      <w:marRight w:val="0"/>
      <w:marTop w:val="0"/>
      <w:marBottom w:val="0"/>
      <w:divBdr>
        <w:top w:val="none" w:sz="0" w:space="0" w:color="auto"/>
        <w:left w:val="none" w:sz="0" w:space="0" w:color="auto"/>
        <w:bottom w:val="none" w:sz="0" w:space="0" w:color="auto"/>
        <w:right w:val="none" w:sz="0" w:space="0" w:color="auto"/>
      </w:divBdr>
    </w:div>
    <w:div w:id="1372193959">
      <w:bodyDiv w:val="1"/>
      <w:marLeft w:val="0"/>
      <w:marRight w:val="0"/>
      <w:marTop w:val="0"/>
      <w:marBottom w:val="0"/>
      <w:divBdr>
        <w:top w:val="none" w:sz="0" w:space="0" w:color="auto"/>
        <w:left w:val="none" w:sz="0" w:space="0" w:color="auto"/>
        <w:bottom w:val="none" w:sz="0" w:space="0" w:color="auto"/>
        <w:right w:val="none" w:sz="0" w:space="0" w:color="auto"/>
      </w:divBdr>
      <w:divsChild>
        <w:div w:id="1946843901">
          <w:marLeft w:val="0"/>
          <w:marRight w:val="0"/>
          <w:marTop w:val="0"/>
          <w:marBottom w:val="0"/>
          <w:divBdr>
            <w:top w:val="none" w:sz="0" w:space="0" w:color="auto"/>
            <w:left w:val="none" w:sz="0" w:space="0" w:color="auto"/>
            <w:bottom w:val="none" w:sz="0" w:space="0" w:color="auto"/>
            <w:right w:val="none" w:sz="0" w:space="0" w:color="auto"/>
          </w:divBdr>
        </w:div>
        <w:div w:id="1579556345">
          <w:marLeft w:val="0"/>
          <w:marRight w:val="0"/>
          <w:marTop w:val="0"/>
          <w:marBottom w:val="0"/>
          <w:divBdr>
            <w:top w:val="none" w:sz="0" w:space="0" w:color="auto"/>
            <w:left w:val="none" w:sz="0" w:space="0" w:color="auto"/>
            <w:bottom w:val="none" w:sz="0" w:space="0" w:color="auto"/>
            <w:right w:val="none" w:sz="0" w:space="0" w:color="auto"/>
          </w:divBdr>
        </w:div>
        <w:div w:id="2013757332">
          <w:marLeft w:val="0"/>
          <w:marRight w:val="0"/>
          <w:marTop w:val="0"/>
          <w:marBottom w:val="0"/>
          <w:divBdr>
            <w:top w:val="none" w:sz="0" w:space="0" w:color="auto"/>
            <w:left w:val="none" w:sz="0" w:space="0" w:color="auto"/>
            <w:bottom w:val="none" w:sz="0" w:space="0" w:color="auto"/>
            <w:right w:val="none" w:sz="0" w:space="0" w:color="auto"/>
          </w:divBdr>
        </w:div>
        <w:div w:id="296763196">
          <w:marLeft w:val="0"/>
          <w:marRight w:val="0"/>
          <w:marTop w:val="0"/>
          <w:marBottom w:val="0"/>
          <w:divBdr>
            <w:top w:val="none" w:sz="0" w:space="0" w:color="auto"/>
            <w:left w:val="none" w:sz="0" w:space="0" w:color="auto"/>
            <w:bottom w:val="none" w:sz="0" w:space="0" w:color="auto"/>
            <w:right w:val="none" w:sz="0" w:space="0" w:color="auto"/>
          </w:divBdr>
        </w:div>
        <w:div w:id="2105225649">
          <w:marLeft w:val="0"/>
          <w:marRight w:val="0"/>
          <w:marTop w:val="0"/>
          <w:marBottom w:val="0"/>
          <w:divBdr>
            <w:top w:val="none" w:sz="0" w:space="0" w:color="auto"/>
            <w:left w:val="none" w:sz="0" w:space="0" w:color="auto"/>
            <w:bottom w:val="none" w:sz="0" w:space="0" w:color="auto"/>
            <w:right w:val="none" w:sz="0" w:space="0" w:color="auto"/>
          </w:divBdr>
        </w:div>
        <w:div w:id="1490556546">
          <w:marLeft w:val="0"/>
          <w:marRight w:val="0"/>
          <w:marTop w:val="0"/>
          <w:marBottom w:val="0"/>
          <w:divBdr>
            <w:top w:val="none" w:sz="0" w:space="0" w:color="auto"/>
            <w:left w:val="none" w:sz="0" w:space="0" w:color="auto"/>
            <w:bottom w:val="none" w:sz="0" w:space="0" w:color="auto"/>
            <w:right w:val="none" w:sz="0" w:space="0" w:color="auto"/>
          </w:divBdr>
        </w:div>
        <w:div w:id="358819007">
          <w:marLeft w:val="0"/>
          <w:marRight w:val="0"/>
          <w:marTop w:val="0"/>
          <w:marBottom w:val="0"/>
          <w:divBdr>
            <w:top w:val="none" w:sz="0" w:space="0" w:color="auto"/>
            <w:left w:val="none" w:sz="0" w:space="0" w:color="auto"/>
            <w:bottom w:val="none" w:sz="0" w:space="0" w:color="auto"/>
            <w:right w:val="none" w:sz="0" w:space="0" w:color="auto"/>
          </w:divBdr>
        </w:div>
      </w:divsChild>
    </w:div>
    <w:div w:id="1779714950">
      <w:bodyDiv w:val="1"/>
      <w:marLeft w:val="0"/>
      <w:marRight w:val="0"/>
      <w:marTop w:val="0"/>
      <w:marBottom w:val="0"/>
      <w:divBdr>
        <w:top w:val="none" w:sz="0" w:space="0" w:color="auto"/>
        <w:left w:val="none" w:sz="0" w:space="0" w:color="auto"/>
        <w:bottom w:val="none" w:sz="0" w:space="0" w:color="auto"/>
        <w:right w:val="none" w:sz="0" w:space="0" w:color="auto"/>
      </w:divBdr>
    </w:div>
    <w:div w:id="20548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significance-software-engineering-code-ethics-saud-alzahrani-3mqkf/" TargetMode="External"/><Relationship Id="rId3" Type="http://schemas.openxmlformats.org/officeDocument/2006/relationships/styles" Target="styles.xml"/><Relationship Id="rId7" Type="http://schemas.openxmlformats.org/officeDocument/2006/relationships/hyperlink" Target="https://learnlearn.uk/alevelcs/acm-software-engineering-guiding-princi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thics.acm.org/code-of-ethics/software-engineering-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28381-A8DF-4DD3-9F17-ED3667FF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Conduct</dc:title>
  <dc:subject>Team 32</dc:subject>
  <dc:creator>Rachel Watson, Erin Lennox, Ahmed Mursal, Robbie Black</dc:creator>
  <cp:keywords/>
  <dc:description/>
  <cp:lastModifiedBy>AHMED MURSAL  (Student)</cp:lastModifiedBy>
  <cp:revision>2</cp:revision>
  <dcterms:created xsi:type="dcterms:W3CDTF">2024-10-04T00:25:00Z</dcterms:created>
  <dcterms:modified xsi:type="dcterms:W3CDTF">2024-10-04T00:31:00Z</dcterms:modified>
</cp:coreProperties>
</file>