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6F0D" w:rsidP="682CF20B" w:rsidRDefault="00000000" w14:paraId="4879634F" w14:textId="77777777">
      <w:pPr>
        <w:pStyle w:val="Title"/>
        <w:widowControl w:val="1"/>
        <w:rPr>
          <w:color w:val="auto"/>
        </w:rPr>
      </w:pPr>
      <w:r w:rsidRPr="682CF20B" w:rsidR="6A99A23E">
        <w:rPr>
          <w:color w:val="auto"/>
        </w:rPr>
        <w:t>Physical Setup and Replication Guide</w:t>
      </w:r>
    </w:p>
    <w:p w:rsidR="002F6F0D" w:rsidP="682CF20B" w:rsidRDefault="00000000" w14:paraId="73E3A477" w14:textId="4E2D0CDE">
      <w:pPr>
        <w:pStyle w:val="Subtitle"/>
        <w:widowControl w:val="1"/>
        <w:rPr>
          <w:color w:val="auto"/>
        </w:rPr>
      </w:pPr>
      <w:r w:rsidRPr="682CF20B" w:rsidR="6A99A23E">
        <w:rPr>
          <w:color w:val="auto"/>
        </w:rPr>
        <w:t>Appendix C companion resource 03 of 03 | Original Honours artefact</w:t>
      </w:r>
    </w:p>
    <w:p w:rsidR="002F6F0D" w:rsidP="682CF20B" w:rsidRDefault="00000000" w14:paraId="7F29501A" w14:textId="77777777">
      <w:pPr>
        <w:pStyle w:val="Heading1"/>
        <w:widowControl w:val="1"/>
        <w:rPr>
          <w:color w:val="auto"/>
        </w:rPr>
      </w:pPr>
      <w:r w:rsidRPr="682CF20B" w:rsidR="6A99A23E">
        <w:rPr>
          <w:color w:val="auto"/>
        </w:rPr>
        <w:t>Who this guide is for</w:t>
      </w:r>
    </w:p>
    <w:p w:rsidR="002F6F0D" w:rsidP="682CF20B" w:rsidRDefault="00000000" w14:paraId="6EF304C8" w14:textId="4F970323">
      <w:pPr>
        <w:widowControl w:val="1"/>
        <w:rPr>
          <w:color w:val="auto"/>
        </w:rPr>
      </w:pPr>
      <w:r w:rsidRPr="682CF20B" w:rsidR="6A99A23E">
        <w:rPr>
          <w:color w:val="auto"/>
        </w:rPr>
        <w:t xml:space="preserve">This guide describes the original Honours prototype’s physical setup and the information needed to </w:t>
      </w:r>
      <w:r w:rsidRPr="682CF20B" w:rsidR="6A99A23E">
        <w:rPr>
          <w:color w:val="auto"/>
        </w:rPr>
        <w:t>attempt</w:t>
      </w:r>
      <w:r w:rsidRPr="682CF20B" w:rsidR="6A99A23E">
        <w:rPr>
          <w:color w:val="auto"/>
        </w:rPr>
        <w:t xml:space="preserve"> a comparable arrangement. It </w:t>
      </w:r>
      <w:r w:rsidRPr="682CF20B" w:rsidR="6A99A23E">
        <w:rPr>
          <w:color w:val="auto"/>
        </w:rPr>
        <w:t>accompanies</w:t>
      </w:r>
      <w:r w:rsidRPr="682CF20B" w:rsidR="6A99A23E">
        <w:rPr>
          <w:color w:val="auto"/>
        </w:rPr>
        <w:t xml:space="preserve"> the reusable worksheet (Document 01) and completed calibration example (Document 02). It is not a verified, step-by-step reproduction package: some </w:t>
      </w:r>
      <w:r w:rsidRPr="682CF20B" w:rsidR="1EDE7D26">
        <w:rPr>
          <w:color w:val="auto"/>
        </w:rPr>
        <w:t>dimensions;</w:t>
      </w:r>
      <w:r w:rsidRPr="682CF20B" w:rsidR="6A99A23E">
        <w:rPr>
          <w:color w:val="auto"/>
        </w:rPr>
        <w:t xml:space="preserve"> software configurations and archival references still need confirmation.</w:t>
      </w:r>
    </w:p>
    <w:p w:rsidR="002F6F0D" w:rsidP="682CF20B" w:rsidRDefault="00000000" w14:paraId="7C0B58ED" w14:textId="77777777">
      <w:pPr>
        <w:pStyle w:val="Heading1"/>
        <w:widowControl w:val="1"/>
        <w:rPr>
          <w:color w:val="auto"/>
        </w:rPr>
      </w:pPr>
      <w:r w:rsidRPr="682CF20B" w:rsidR="6A99A23E">
        <w:rPr>
          <w:color w:val="auto"/>
        </w:rPr>
        <w:t>What the original approach depends on</w:t>
      </w:r>
    </w:p>
    <w:p w:rsidR="002F6F0D" w:rsidP="682CF20B" w:rsidRDefault="00000000" w14:paraId="5A5F6811" w14:textId="456E5D46">
      <w:pPr>
        <w:widowControl w:val="1"/>
        <w:rPr>
          <w:color w:val="auto"/>
        </w:rPr>
      </w:pPr>
      <w:r w:rsidRPr="682CF20B" w:rsidR="6A99A23E">
        <w:rPr>
          <w:color w:val="auto"/>
        </w:rPr>
        <w:t xml:space="preserve">The Honours prototype paired untracked physical objects with virtual representations. It used a controlled tabletop arrangement, a marked cloth with repeatable starting positions, hand </w:t>
      </w:r>
      <w:r w:rsidRPr="682CF20B" w:rsidR="6EBE7FC5">
        <w:rPr>
          <w:color w:val="auto"/>
        </w:rPr>
        <w:t>tracking,</w:t>
      </w:r>
      <w:r w:rsidRPr="682CF20B" w:rsidR="6A99A23E">
        <w:rPr>
          <w:color w:val="auto"/>
        </w:rPr>
        <w:t xml:space="preserve"> and hands-on-table calibration. Passthrough and instructions helped the wearer locate the real objects before the virtual environment appeared. Because the props were not continuously tracked, the design relied on the initial arrangement and the actions the experience supported.</w:t>
      </w:r>
    </w:p>
    <w:p w:rsidR="002F6F0D" w:rsidP="682CF20B" w:rsidRDefault="00000000" w14:paraId="19284AA4" w14:textId="6BF5AF92">
      <w:pPr>
        <w:pStyle w:val="Heading1"/>
        <w:widowControl w:val="1"/>
        <w:rPr>
          <w:color w:val="auto"/>
        </w:rPr>
      </w:pPr>
      <w:r w:rsidRPr="682CF20B" w:rsidR="6A99A23E">
        <w:rPr>
          <w:color w:val="auto"/>
        </w:rPr>
        <w:t xml:space="preserve">Required categories of </w:t>
      </w:r>
      <w:r w:rsidRPr="682CF20B" w:rsidR="6EBE7FC5">
        <w:rPr>
          <w:color w:val="auto"/>
        </w:rPr>
        <w:t>equipment.</w:t>
      </w:r>
    </w:p>
    <w:tbl>
      <w:tblPr>
        <w:tblStyle w:val="LightShading-Accent1"/>
        <w:tblW w:w="0" w:type="auto"/>
        <w:jc w:val="center"/>
        <w:tblLook w:val="04A0" w:firstRow="1" w:lastRow="0" w:firstColumn="1" w:lastColumn="0" w:noHBand="0" w:noVBand="1"/>
      </w:tblPr>
      <w:tblGrid>
        <w:gridCol w:w="3283"/>
        <w:gridCol w:w="3283"/>
        <w:gridCol w:w="3283"/>
      </w:tblGrid>
      <w:tr w:rsidR="002F6F0D" w:rsidTr="682CF20B" w14:paraId="5B26DAE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tcMar/>
          </w:tcPr>
          <w:p w:rsidR="002F6F0D" w:rsidP="682CF20B" w:rsidRDefault="00000000" w14:paraId="39C42FB9" w14:textId="77777777">
            <w:pPr>
              <w:rPr>
                <w:color w:val="auto"/>
              </w:rPr>
            </w:pPr>
            <w:r w:rsidRPr="682CF20B" w:rsidR="6A99A23E">
              <w:rPr>
                <w:color w:val="auto"/>
              </w:rPr>
              <w:t>Component</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3667A440" w14:textId="77777777">
            <w:pPr>
              <w:cnfStyle w:val="100000000000" w:firstRow="1" w:lastRow="0" w:firstColumn="0" w:lastColumn="0" w:oddVBand="0" w:evenVBand="0" w:oddHBand="0" w:evenHBand="0" w:firstRowFirstColumn="0" w:firstRowLastColumn="0" w:lastRowFirstColumn="0" w:lastRowLastColumn="0"/>
              <w:rPr>
                <w:color w:val="auto"/>
              </w:rPr>
            </w:pPr>
            <w:r w:rsidRPr="682CF20B" w:rsidR="6A99A23E">
              <w:rPr>
                <w:color w:val="auto"/>
              </w:rPr>
              <w:t>Role in the experience</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4114EF23" w14:textId="77777777">
            <w:pPr>
              <w:cnfStyle w:val="100000000000" w:firstRow="1" w:lastRow="0" w:firstColumn="0" w:lastColumn="0" w:oddVBand="0" w:evenVBand="0" w:oddHBand="0" w:evenHBand="0" w:firstRowFirstColumn="0" w:firstRowLastColumn="0" w:lastRowFirstColumn="0" w:lastRowLastColumn="0"/>
              <w:rPr>
                <w:color w:val="auto"/>
              </w:rPr>
            </w:pPr>
            <w:r w:rsidRPr="682CF20B" w:rsidR="6A99A23E">
              <w:rPr>
                <w:color w:val="auto"/>
              </w:rPr>
              <w:t>Before attempting replication</w:t>
            </w:r>
          </w:p>
        </w:tc>
      </w:tr>
      <w:tr w:rsidR="002F6F0D" w:rsidTr="682CF20B" w14:paraId="7D28DB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tcMar/>
          </w:tcPr>
          <w:p w:rsidR="002F6F0D" w:rsidP="682CF20B" w:rsidRDefault="00000000" w14:paraId="7CA954F7" w14:textId="77777777">
            <w:pPr>
              <w:rPr>
                <w:color w:val="auto"/>
              </w:rPr>
            </w:pPr>
            <w:r w:rsidRPr="682CF20B" w:rsidR="6A99A23E">
              <w:rPr>
                <w:color w:val="auto"/>
              </w:rPr>
              <w:t>Meta Quest 3 / tracked hands</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072D81A5" w14:textId="77777777">
            <w:pPr>
              <w:cnfStyle w:val="000000100000" w:firstRow="0" w:lastRow="0" w:firstColumn="0" w:lastColumn="0" w:oddVBand="0" w:evenVBand="0" w:oddHBand="1" w:evenHBand="0" w:firstRowFirstColumn="0" w:firstRowLastColumn="0" w:lastRowFirstColumn="0" w:lastRowLastColumn="0"/>
              <w:rPr>
                <w:color w:val="auto"/>
              </w:rPr>
            </w:pPr>
            <w:r w:rsidRPr="682CF20B" w:rsidR="6A99A23E">
              <w:rPr>
                <w:color w:val="auto"/>
              </w:rPr>
              <w:t>Tracks the wearer’s hands and supports VR interaction</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77D3386E" w14:textId="3491233B">
            <w:pPr>
              <w:cnfStyle w:val="000000100000" w:firstRow="0" w:lastRow="0" w:firstColumn="0" w:lastColumn="0" w:oddVBand="0" w:evenVBand="0" w:oddHBand="1" w:evenHBand="0" w:firstRowFirstColumn="0" w:firstRowLastColumn="0" w:lastRowFirstColumn="0" w:lastRowLastColumn="0"/>
              <w:rPr>
                <w:color w:val="auto"/>
              </w:rPr>
            </w:pPr>
            <w:r w:rsidRPr="682CF20B" w:rsidR="6A99A23E">
              <w:rPr>
                <w:color w:val="auto"/>
              </w:rPr>
              <w:t xml:space="preserve">Check headset setup, </w:t>
            </w:r>
            <w:r w:rsidRPr="682CF20B" w:rsidR="6EBE7FC5">
              <w:rPr>
                <w:color w:val="auto"/>
              </w:rPr>
              <w:t>permissions,</w:t>
            </w:r>
            <w:r w:rsidRPr="682CF20B" w:rsidR="6A99A23E">
              <w:rPr>
                <w:color w:val="auto"/>
              </w:rPr>
              <w:t xml:space="preserve"> and stable hand visibility</w:t>
            </w:r>
          </w:p>
        </w:tc>
      </w:tr>
      <w:tr w:rsidR="002F6F0D" w:rsidTr="682CF20B" w14:paraId="4B58BED1" w14:textId="77777777">
        <w:trPr>
          <w:jc w:val="center"/>
        </w:trPr>
        <w:tc>
          <w:tcPr>
            <w:cnfStyle w:val="001000000000" w:firstRow="0" w:lastRow="0" w:firstColumn="1" w:lastColumn="0" w:oddVBand="0" w:evenVBand="0" w:oddHBand="0" w:evenHBand="0" w:firstRowFirstColumn="0" w:firstRowLastColumn="0" w:lastRowFirstColumn="0" w:lastRowLastColumn="0"/>
            <w:tcW w:w="3283" w:type="dxa"/>
            <w:tcMar/>
          </w:tcPr>
          <w:p w:rsidR="002F6F0D" w:rsidP="682CF20B" w:rsidRDefault="00000000" w14:paraId="237CB447" w14:textId="77777777">
            <w:pPr>
              <w:rPr>
                <w:color w:val="auto"/>
              </w:rPr>
            </w:pPr>
            <w:r w:rsidRPr="682CF20B" w:rsidR="6A99A23E">
              <w:rPr>
                <w:color w:val="auto"/>
              </w:rPr>
              <w:t>Unreal Engine project / interaction plugins</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021CD6D9" w14:textId="77777777">
            <w:pPr>
              <w:cnfStyle w:val="000000000000" w:firstRow="0" w:lastRow="0" w:firstColumn="0" w:lastColumn="0" w:oddVBand="0" w:evenVBand="0" w:oddHBand="0" w:evenHBand="0" w:firstRowFirstColumn="0" w:firstRowLastColumn="0" w:lastRowFirstColumn="0" w:lastRowLastColumn="0"/>
              <w:rPr>
                <w:color w:val="auto"/>
              </w:rPr>
            </w:pPr>
            <w:r w:rsidRPr="682CF20B" w:rsidR="6A99A23E">
              <w:rPr>
                <w:color w:val="auto"/>
              </w:rPr>
              <w:t>Runs the original VR implementation</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276AE826" w14:textId="77777777">
            <w:pPr>
              <w:cnfStyle w:val="000000000000" w:firstRow="0" w:lastRow="0" w:firstColumn="0" w:lastColumn="0" w:oddVBand="0" w:evenVBand="0" w:oddHBand="0" w:evenHBand="0" w:firstRowFirstColumn="0" w:firstRowLastColumn="0" w:lastRowFirstColumn="0" w:lastRowLastColumn="0"/>
              <w:rPr>
                <w:color w:val="auto"/>
              </w:rPr>
            </w:pPr>
            <w:r w:rsidRPr="682CF20B" w:rsidR="6A99A23E">
              <w:rPr>
                <w:color w:val="auto"/>
              </w:rPr>
              <w:t>Confirm exact engine and plugin versions from the archived project</w:t>
            </w:r>
          </w:p>
        </w:tc>
      </w:tr>
      <w:tr w:rsidR="002F6F0D" w:rsidTr="682CF20B" w14:paraId="61FAC92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tcMar/>
          </w:tcPr>
          <w:p w:rsidR="002F6F0D" w:rsidP="682CF20B" w:rsidRDefault="00000000" w14:paraId="269D2D92" w14:textId="77777777">
            <w:pPr>
              <w:rPr>
                <w:color w:val="auto"/>
              </w:rPr>
            </w:pPr>
            <w:r w:rsidRPr="682CF20B" w:rsidR="6A99A23E">
              <w:rPr>
                <w:color w:val="auto"/>
              </w:rPr>
              <w:t>Real tabletop</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76EA051D" w14:textId="77777777">
            <w:pPr>
              <w:cnfStyle w:val="000000100000" w:firstRow="0" w:lastRow="0" w:firstColumn="0" w:lastColumn="0" w:oddVBand="0" w:evenVBand="0" w:oddHBand="1" w:evenHBand="0" w:firstRowFirstColumn="0" w:firstRowLastColumn="0" w:lastRowFirstColumn="0" w:lastRowLastColumn="0"/>
              <w:rPr>
                <w:color w:val="auto"/>
              </w:rPr>
            </w:pPr>
            <w:r w:rsidRPr="682CF20B" w:rsidR="6A99A23E">
              <w:rPr>
                <w:color w:val="auto"/>
              </w:rPr>
              <w:t>Provides a stable contact and calibration surface</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0AD329E4" w14:textId="3B9C18B8">
            <w:pPr>
              <w:cnfStyle w:val="000000100000" w:firstRow="0" w:lastRow="0" w:firstColumn="0" w:lastColumn="0" w:oddVBand="0" w:evenVBand="0" w:oddHBand="1" w:evenHBand="0" w:firstRowFirstColumn="0" w:firstRowLastColumn="0" w:lastRowFirstColumn="0" w:lastRowLastColumn="0"/>
              <w:rPr>
                <w:color w:val="auto"/>
              </w:rPr>
            </w:pPr>
            <w:r w:rsidRPr="682CF20B" w:rsidR="6A99A23E">
              <w:rPr>
                <w:color w:val="auto"/>
              </w:rPr>
              <w:t xml:space="preserve">Record height, accessible </w:t>
            </w:r>
            <w:r w:rsidRPr="682CF20B" w:rsidR="6EBE7FC5">
              <w:rPr>
                <w:color w:val="auto"/>
              </w:rPr>
              <w:t>area,</w:t>
            </w:r>
            <w:r w:rsidRPr="682CF20B" w:rsidR="6A99A23E">
              <w:rPr>
                <w:color w:val="auto"/>
              </w:rPr>
              <w:t xml:space="preserve"> and safe reach</w:t>
            </w:r>
          </w:p>
        </w:tc>
      </w:tr>
      <w:tr w:rsidR="002F6F0D" w:rsidTr="682CF20B" w14:paraId="6866A207" w14:textId="77777777">
        <w:trPr>
          <w:jc w:val="center"/>
        </w:trPr>
        <w:tc>
          <w:tcPr>
            <w:cnfStyle w:val="001000000000" w:firstRow="0" w:lastRow="0" w:firstColumn="1" w:lastColumn="0" w:oddVBand="0" w:evenVBand="0" w:oddHBand="0" w:evenHBand="0" w:firstRowFirstColumn="0" w:firstRowLastColumn="0" w:lastRowFirstColumn="0" w:lastRowLastColumn="0"/>
            <w:tcW w:w="3283" w:type="dxa"/>
            <w:tcMar/>
          </w:tcPr>
          <w:p w:rsidR="002F6F0D" w:rsidP="682CF20B" w:rsidRDefault="00000000" w14:paraId="6D038EEB" w14:textId="77777777">
            <w:pPr>
              <w:rPr>
                <w:color w:val="auto"/>
              </w:rPr>
            </w:pPr>
            <w:r w:rsidRPr="682CF20B" w:rsidR="6A99A23E">
              <w:rPr>
                <w:color w:val="auto"/>
              </w:rPr>
              <w:t>Marked cloth or equivalent markers</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3C8EBE97" w14:textId="77777777">
            <w:pPr>
              <w:cnfStyle w:val="000000000000" w:firstRow="0" w:lastRow="0" w:firstColumn="0" w:lastColumn="0" w:oddVBand="0" w:evenVBand="0" w:oddHBand="0" w:evenHBand="0" w:firstRowFirstColumn="0" w:firstRowLastColumn="0" w:lastRowFirstColumn="0" w:lastRowLastColumn="0"/>
              <w:rPr>
                <w:color w:val="auto"/>
              </w:rPr>
            </w:pPr>
            <w:r w:rsidRPr="682CF20B" w:rsidR="6A99A23E">
              <w:rPr>
                <w:color w:val="auto"/>
              </w:rPr>
              <w:t>Defines repeatable starting locations</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4B326C04" w14:textId="77777777">
            <w:pPr>
              <w:cnfStyle w:val="000000000000" w:firstRow="0" w:lastRow="0" w:firstColumn="0" w:lastColumn="0" w:oddVBand="0" w:evenVBand="0" w:oddHBand="0" w:evenHBand="0" w:firstRowFirstColumn="0" w:firstRowLastColumn="0" w:lastRowFirstColumn="0" w:lastRowLastColumn="0"/>
              <w:rPr>
                <w:color w:val="auto"/>
              </w:rPr>
            </w:pPr>
            <w:r w:rsidRPr="682CF20B" w:rsidR="6A99A23E">
              <w:rPr>
                <w:color w:val="auto"/>
              </w:rPr>
              <w:t>Record marker spacing and placement</w:t>
            </w:r>
          </w:p>
        </w:tc>
      </w:tr>
      <w:tr w:rsidR="002F6F0D" w:rsidTr="682CF20B" w14:paraId="2E5BAF9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tcMar/>
          </w:tcPr>
          <w:p w:rsidR="002F6F0D" w:rsidP="682CF20B" w:rsidRDefault="00000000" w14:paraId="4462D8CF" w14:textId="77777777">
            <w:pPr>
              <w:rPr>
                <w:color w:val="auto"/>
              </w:rPr>
            </w:pPr>
            <w:r w:rsidRPr="682CF20B" w:rsidR="6A99A23E">
              <w:rPr>
                <w:color w:val="auto"/>
              </w:rPr>
              <w:t>Physical cubes</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1F24571E" w14:textId="77777777">
            <w:pPr>
              <w:cnfStyle w:val="000000100000" w:firstRow="0" w:lastRow="0" w:firstColumn="0" w:lastColumn="0" w:oddVBand="0" w:evenVBand="0" w:oddHBand="1" w:evenHBand="0" w:firstRowFirstColumn="0" w:firstRowLastColumn="0" w:lastRowFirstColumn="0" w:lastRowLastColumn="0"/>
              <w:rPr>
                <w:color w:val="auto"/>
              </w:rPr>
            </w:pPr>
            <w:r w:rsidRPr="682CF20B" w:rsidR="6A99A23E">
              <w:rPr>
                <w:color w:val="auto"/>
              </w:rPr>
              <w:t>Provide graspable contact surfaces for virtual counterparts</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502ECC2D" w14:textId="5B84FAAE">
            <w:pPr>
              <w:cnfStyle w:val="000000100000" w:firstRow="0" w:lastRow="0" w:firstColumn="0" w:lastColumn="0" w:oddVBand="0" w:evenVBand="0" w:oddHBand="1" w:evenHBand="0" w:firstRowFirstColumn="0" w:firstRowLastColumn="0" w:lastRowFirstColumn="0" w:lastRowLastColumn="0"/>
              <w:rPr>
                <w:color w:val="auto"/>
              </w:rPr>
            </w:pPr>
            <w:r w:rsidRPr="682CF20B" w:rsidR="6A99A23E">
              <w:rPr>
                <w:color w:val="auto"/>
              </w:rPr>
              <w:t xml:space="preserve">Verify original dimensions, </w:t>
            </w:r>
            <w:r w:rsidRPr="682CF20B" w:rsidR="6EBE7FC5">
              <w:rPr>
                <w:color w:val="auto"/>
              </w:rPr>
              <w:t>weight,</w:t>
            </w:r>
            <w:r w:rsidRPr="682CF20B" w:rsidR="6A99A23E">
              <w:rPr>
                <w:color w:val="auto"/>
              </w:rPr>
              <w:t xml:space="preserve"> and handling properties</w:t>
            </w:r>
          </w:p>
        </w:tc>
      </w:tr>
      <w:tr w:rsidR="002F6F0D" w:rsidTr="682CF20B" w14:paraId="685E6860" w14:textId="77777777">
        <w:trPr>
          <w:jc w:val="center"/>
        </w:trPr>
        <w:tc>
          <w:tcPr>
            <w:cnfStyle w:val="001000000000" w:firstRow="0" w:lastRow="0" w:firstColumn="1" w:lastColumn="0" w:oddVBand="0" w:evenVBand="0" w:oddHBand="0" w:evenHBand="0" w:firstRowFirstColumn="0" w:firstRowLastColumn="0" w:lastRowFirstColumn="0" w:lastRowLastColumn="0"/>
            <w:tcW w:w="3283" w:type="dxa"/>
            <w:tcMar/>
          </w:tcPr>
          <w:p w:rsidR="002F6F0D" w:rsidP="682CF20B" w:rsidRDefault="00000000" w14:paraId="0E6D0F00" w14:textId="77777777">
            <w:pPr>
              <w:rPr>
                <w:color w:val="auto"/>
              </w:rPr>
            </w:pPr>
            <w:r w:rsidRPr="682CF20B" w:rsidR="6A99A23E">
              <w:rPr>
                <w:color w:val="auto"/>
              </w:rPr>
              <w:t>Physical chest / box</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08E53B3C" w14:textId="39355EF4">
            <w:pPr>
              <w:cnfStyle w:val="000000000000" w:firstRow="0" w:lastRow="0" w:firstColumn="0" w:lastColumn="0" w:oddVBand="0" w:evenVBand="0" w:oddHBand="0" w:evenHBand="0" w:firstRowFirstColumn="0" w:firstRowLastColumn="0" w:lastRowFirstColumn="0" w:lastRowLastColumn="0"/>
              <w:rPr>
                <w:color w:val="auto"/>
              </w:rPr>
            </w:pPr>
            <w:r w:rsidRPr="682CF20B" w:rsidR="6A99A23E">
              <w:rPr>
                <w:color w:val="auto"/>
              </w:rPr>
              <w:t xml:space="preserve">Provides physical contact, </w:t>
            </w:r>
            <w:r w:rsidRPr="682CF20B" w:rsidR="6EBE7FC5">
              <w:rPr>
                <w:color w:val="auto"/>
              </w:rPr>
              <w:t>containment,</w:t>
            </w:r>
            <w:r w:rsidRPr="682CF20B" w:rsidR="6A99A23E">
              <w:rPr>
                <w:color w:val="auto"/>
              </w:rPr>
              <w:t xml:space="preserve"> and lid interaction</w:t>
            </w:r>
          </w:p>
        </w:tc>
        <w:tc>
          <w:tcPr>
            <w:cnfStyle w:val="000000000000" w:firstRow="0" w:lastRow="0" w:firstColumn="0" w:lastColumn="0" w:oddVBand="0" w:evenVBand="0" w:oddHBand="0" w:evenHBand="0" w:firstRowFirstColumn="0" w:firstRowLastColumn="0" w:lastRowFirstColumn="0" w:lastRowLastColumn="0"/>
            <w:tcW w:w="3283" w:type="dxa"/>
            <w:tcMar/>
          </w:tcPr>
          <w:p w:rsidR="002F6F0D" w:rsidP="682CF20B" w:rsidRDefault="00000000" w14:paraId="5D1E242B" w14:textId="77777777">
            <w:pPr>
              <w:cnfStyle w:val="000000000000" w:firstRow="0" w:lastRow="0" w:firstColumn="0" w:lastColumn="0" w:oddVBand="0" w:evenVBand="0" w:oddHBand="0" w:evenHBand="0" w:firstRowFirstColumn="0" w:firstRowLastColumn="0" w:lastRowFirstColumn="0" w:lastRowLastColumn="0"/>
              <w:rPr>
                <w:color w:val="auto"/>
              </w:rPr>
            </w:pPr>
            <w:r w:rsidRPr="682CF20B" w:rsidR="6A99A23E">
              <w:rPr>
                <w:color w:val="auto"/>
              </w:rPr>
              <w:t>Measure exterior, interior and lid motion</w:t>
            </w:r>
          </w:p>
        </w:tc>
      </w:tr>
    </w:tbl>
    <w:p w:rsidR="002F6F0D" w:rsidP="682CF20B" w:rsidRDefault="00000000" w14:paraId="08D71427" w14:textId="77777777">
      <w:pPr>
        <w:pStyle w:val="Heading1"/>
        <w:widowControl w:val="1"/>
        <w:rPr>
          <w:color w:val="auto"/>
        </w:rPr>
      </w:pPr>
      <w:r w:rsidRPr="682CF20B" w:rsidR="6A99A23E">
        <w:rPr>
          <w:color w:val="auto"/>
        </w:rPr>
        <w:t>Original objects versus substitutes</w:t>
      </w:r>
    </w:p>
    <w:p w:rsidR="002F6F0D" w:rsidP="682CF20B" w:rsidRDefault="00000000" w14:paraId="3E2CD783" w14:textId="68E823C0">
      <w:pPr>
        <w:widowControl w:val="1"/>
        <w:rPr>
          <w:color w:val="auto"/>
        </w:rPr>
      </w:pPr>
      <w:r w:rsidRPr="682CF20B" w:rsidR="6A99A23E">
        <w:rPr>
          <w:color w:val="auto"/>
        </w:rPr>
        <w:t xml:space="preserve">The original props were sourced from everyday retail/craft suppliers, including Big W and </w:t>
      </w:r>
      <w:r w:rsidRPr="682CF20B" w:rsidR="6A99A23E">
        <w:rPr>
          <w:color w:val="auto"/>
        </w:rPr>
        <w:t>Kaisercraft</w:t>
      </w:r>
      <w:r w:rsidRPr="682CF20B" w:rsidR="6A99A23E">
        <w:rPr>
          <w:color w:val="auto"/>
        </w:rPr>
        <w:t xml:space="preserve">. Brand or product appearance alone is not enough to </w:t>
      </w:r>
      <w:r w:rsidRPr="682CF20B" w:rsidR="6A99A23E">
        <w:rPr>
          <w:color w:val="auto"/>
        </w:rPr>
        <w:t>establish</w:t>
      </w:r>
      <w:r w:rsidRPr="682CF20B" w:rsidR="6A99A23E">
        <w:rPr>
          <w:color w:val="auto"/>
        </w:rPr>
        <w:t xml:space="preserve"> equivalence. What matters is whether the replacement preserves the physical properties required by the intended action. </w:t>
      </w:r>
      <w:r w:rsidRPr="682CF20B" w:rsidR="57476A93">
        <w:rPr>
          <w:color w:val="auto"/>
        </w:rPr>
        <w:t>Record substitutions and evaluate them; do not describe them as verified until the interaction is examined.</w:t>
      </w:r>
    </w:p>
    <w:p w:rsidR="002F6F0D" w:rsidP="682CF20B" w:rsidRDefault="00000000" w14:paraId="59549108" w14:textId="77777777">
      <w:pPr>
        <w:widowControl w:val="1"/>
        <w:rPr>
          <w:color w:val="auto"/>
        </w:rPr>
      </w:pPr>
      <w:r w:rsidRPr="682CF20B" w:rsidR="6A99A23E">
        <w:rPr>
          <w:color w:val="auto"/>
        </w:rPr>
        <w:t>Scope: This guide covers the original untracked-prop Honours artefact only. Later tracking experiments and conference demonstration work are outside its scope.</w:t>
      </w:r>
    </w:p>
    <w:p w:rsidR="002F6F0D" w:rsidP="682CF20B" w:rsidRDefault="00000000" w14:paraId="1C4CD4F2" w14:textId="44179CAC">
      <w:pPr>
        <w:pStyle w:val="Heading1"/>
        <w:widowControl w:val="1"/>
        <w:rPr>
          <w:color w:val="auto"/>
        </w:rPr>
      </w:pPr>
      <w:r>
        <w:t>Physical and Virtual Measurement Specifications</w:t>
      </w:r>
    </w:p>
    <w:p>
      <w:r>
        <w:t>The table distinguishes documented physical and virtual setup features from measurements that remain to be verified. Unreal Engine dimensions are expressed in centimetres. The 35 mm cube measurement relates to later QR-code development and must not be assumed to describe the original Honours props.</w:t>
      </w:r>
    </w:p>
    <w:tbl>
      <w:tblPr>
        <w:tblStyle w:val="TableGrid"/>
        <w:tblW w:type="auto" w:w="0"/>
        <w:tblLook w:firstColumn="1" w:firstRow="1" w:lastColumn="0" w:lastRow="0" w:noHBand="0" w:noVBand="1" w:val="04A0"/>
      </w:tblPr>
      <w:tblGrid>
        <w:gridCol w:w="2462"/>
        <w:gridCol w:w="2462"/>
        <w:gridCol w:w="2462"/>
        <w:gridCol w:w="2462"/>
      </w:tblGrid>
      <w:tr>
        <w:tc>
          <w:tcPr>
            <w:tcW w:type="dxa" w:w="2462"/>
          </w:tcPr>
          <w:p>
            <w:pPr>
              <w:spacing w:after="20"/>
            </w:pPr>
            <w:r>
              <w:rPr>
                <w:b/>
                <w:sz w:val="16"/>
              </w:rPr>
              <w:t>Component</w:t>
            </w:r>
          </w:p>
        </w:tc>
        <w:tc>
          <w:tcPr>
            <w:tcW w:type="dxa" w:w="2462"/>
          </w:tcPr>
          <w:p>
            <w:pPr>
              <w:spacing w:after="20"/>
            </w:pPr>
            <w:r>
              <w:rPr>
                <w:b/>
                <w:sz w:val="16"/>
              </w:rPr>
              <w:t>Physical specification</w:t>
            </w:r>
          </w:p>
        </w:tc>
        <w:tc>
          <w:tcPr>
            <w:tcW w:type="dxa" w:w="2462"/>
          </w:tcPr>
          <w:p>
            <w:pPr>
              <w:spacing w:after="20"/>
            </w:pPr>
            <w:r>
              <w:rPr>
                <w:b/>
                <w:sz w:val="16"/>
              </w:rPr>
              <w:t>Virtual specification</w:t>
            </w:r>
          </w:p>
        </w:tc>
        <w:tc>
          <w:tcPr>
            <w:tcW w:type="dxa" w:w="2462"/>
          </w:tcPr>
          <w:p>
            <w:pPr>
              <w:spacing w:after="20"/>
            </w:pPr>
            <w:r>
              <w:rPr>
                <w:b/>
                <w:sz w:val="16"/>
              </w:rPr>
              <w:t>Verification status</w:t>
            </w:r>
          </w:p>
        </w:tc>
      </w:tr>
      <w:tr>
        <w:tc>
          <w:tcPr>
            <w:tcW w:type="dxa" w:w="2462"/>
          </w:tcPr>
          <w:p>
            <w:pPr>
              <w:spacing w:after="20"/>
            </w:pPr>
            <w:r>
              <w:rPr>
                <w:sz w:val="16"/>
              </w:rPr>
              <w:t>Wooden cubes</w:t>
            </w:r>
          </w:p>
        </w:tc>
        <w:tc>
          <w:tcPr>
            <w:tcW w:type="dxa" w:w="2462"/>
          </w:tcPr>
          <w:p>
            <w:pPr>
              <w:spacing w:after="20"/>
            </w:pPr>
            <w:r>
              <w:rPr>
                <w:sz w:val="16"/>
              </w:rPr>
              <w:t>Kaisercraft 35 × 35 × 35 mm cubes documented for later QR demonstration</w:t>
            </w:r>
          </w:p>
        </w:tc>
        <w:tc>
          <w:tcPr>
            <w:tcW w:type="dxa" w:w="2462"/>
          </w:tcPr>
          <w:p>
            <w:pPr>
              <w:spacing w:after="20"/>
            </w:pPr>
            <w:r>
              <w:rPr>
                <w:sz w:val="16"/>
              </w:rPr>
              <w:t>3.5 × 3.5 × 3.5 cm at intended 1:1 scale; original mesh dimensions not verified</w:t>
            </w:r>
          </w:p>
        </w:tc>
        <w:tc>
          <w:tcPr>
            <w:tcW w:type="dxa" w:w="2462"/>
          </w:tcPr>
          <w:p>
            <w:pPr>
              <w:spacing w:after="20"/>
            </w:pPr>
            <w:r>
              <w:rPr>
                <w:sz w:val="16"/>
              </w:rPr>
              <w:t>Not verified for original Honours artefact</w:t>
            </w:r>
          </w:p>
        </w:tc>
      </w:tr>
      <w:tr>
        <w:tc>
          <w:tcPr>
            <w:tcW w:type="dxa" w:w="2462"/>
          </w:tcPr>
          <w:p>
            <w:pPr>
              <w:spacing w:after="20"/>
            </w:pPr>
            <w:r>
              <w:rPr>
                <w:sz w:val="16"/>
              </w:rPr>
              <w:t>Chest / box</w:t>
            </w:r>
          </w:p>
        </w:tc>
        <w:tc>
          <w:tcPr>
            <w:tcW w:type="dxa" w:w="2462"/>
          </w:tcPr>
          <w:p>
            <w:pPr>
              <w:spacing w:after="20"/>
            </w:pPr>
            <w:r>
              <w:rPr>
                <w:sz w:val="16"/>
              </w:rPr>
              <w:t>Retail/craft box; exterior, interior and lid dimensions not recorded</w:t>
            </w:r>
          </w:p>
        </w:tc>
        <w:tc>
          <w:tcPr>
            <w:tcW w:type="dxa" w:w="2462"/>
          </w:tcPr>
          <w:p>
            <w:pPr>
              <w:spacing w:after="20"/>
            </w:pPr>
            <w:r>
              <w:rPr>
                <w:sz w:val="16"/>
              </w:rPr>
              <w:t>Virtual counterpart with interior and lid interaction; dimensions not recorded</w:t>
            </w:r>
          </w:p>
        </w:tc>
        <w:tc>
          <w:tcPr>
            <w:tcW w:type="dxa" w:w="2462"/>
          </w:tcPr>
          <w:p>
            <w:pPr>
              <w:spacing w:after="20"/>
            </w:pPr>
            <w:r>
              <w:rPr>
                <w:sz w:val="16"/>
              </w:rPr>
              <w:t>Measure original and check archived mesh</w:t>
            </w:r>
          </w:p>
        </w:tc>
      </w:tr>
      <w:tr>
        <w:tc>
          <w:tcPr>
            <w:tcW w:type="dxa" w:w="2462"/>
          </w:tcPr>
          <w:p>
            <w:pPr>
              <w:spacing w:after="20"/>
            </w:pPr>
            <w:r>
              <w:rPr>
                <w:sz w:val="16"/>
              </w:rPr>
              <w:t>Chest lid</w:t>
            </w:r>
          </w:p>
        </w:tc>
        <w:tc>
          <w:tcPr>
            <w:tcW w:type="dxa" w:w="2462"/>
          </w:tcPr>
          <w:p>
            <w:pPr>
              <w:spacing w:after="20"/>
            </w:pPr>
            <w:r>
              <w:rPr>
                <w:sz w:val="16"/>
              </w:rPr>
              <w:t>Physical lid; opening range not measured for original artefact</w:t>
            </w:r>
          </w:p>
        </w:tc>
        <w:tc>
          <w:tcPr>
            <w:tcW w:type="dxa" w:w="2462"/>
          </w:tcPr>
          <w:p>
            <w:pPr>
              <w:spacing w:after="20"/>
            </w:pPr>
            <w:r>
              <w:rPr>
                <w:sz w:val="16"/>
              </w:rPr>
              <w:t>Virtual interactive lid; rotation limits not verified</w:t>
            </w:r>
          </w:p>
        </w:tc>
        <w:tc>
          <w:tcPr>
            <w:tcW w:type="dxa" w:w="2462"/>
          </w:tcPr>
          <w:p>
            <w:pPr>
              <w:spacing w:after="20"/>
            </w:pPr>
            <w:r>
              <w:rPr>
                <w:sz w:val="16"/>
              </w:rPr>
              <w:t>Check original prop and Blueprint</w:t>
            </w:r>
          </w:p>
        </w:tc>
      </w:tr>
      <w:tr>
        <w:tc>
          <w:tcPr>
            <w:tcW w:type="dxa" w:w="2462"/>
          </w:tcPr>
          <w:p>
            <w:pPr>
              <w:spacing w:after="20"/>
            </w:pPr>
            <w:r>
              <w:rPr>
                <w:sz w:val="16"/>
              </w:rPr>
              <w:t>Table</w:t>
            </w:r>
          </w:p>
        </w:tc>
        <w:tc>
          <w:tcPr>
            <w:tcW w:type="dxa" w:w="2462"/>
          </w:tcPr>
          <w:p>
            <w:pPr>
              <w:spacing w:after="20"/>
            </w:pPr>
            <w:r>
              <w:rPr>
                <w:sz w:val="16"/>
              </w:rPr>
              <w:t>Stable physical tabletop; height and usable area not recorded</w:t>
            </w:r>
          </w:p>
        </w:tc>
        <w:tc>
          <w:tcPr>
            <w:tcW w:type="dxa" w:w="2462"/>
          </w:tcPr>
          <w:p>
            <w:pPr>
              <w:spacing w:after="20"/>
            </w:pPr>
            <w:r>
              <w:rPr>
                <w:sz w:val="16"/>
              </w:rPr>
              <w:t>Virtual tabletop aligned during hand-based calibration</w:t>
            </w:r>
          </w:p>
        </w:tc>
        <w:tc>
          <w:tcPr>
            <w:tcW w:type="dxa" w:w="2462"/>
          </w:tcPr>
          <w:p>
            <w:pPr>
              <w:spacing w:after="20"/>
            </w:pPr>
            <w:r>
              <w:rPr>
                <w:sz w:val="16"/>
              </w:rPr>
              <w:t>Dimensions and offset unverified</w:t>
            </w:r>
          </w:p>
        </w:tc>
      </w:tr>
      <w:tr>
        <w:tc>
          <w:tcPr>
            <w:tcW w:type="dxa" w:w="2462"/>
          </w:tcPr>
          <w:p>
            <w:pPr>
              <w:spacing w:after="20"/>
            </w:pPr>
            <w:r>
              <w:rPr>
                <w:sz w:val="16"/>
              </w:rPr>
              <w:t>Marked cloth</w:t>
            </w:r>
          </w:p>
        </w:tc>
        <w:tc>
          <w:tcPr>
            <w:tcW w:type="dxa" w:w="2462"/>
          </w:tcPr>
          <w:p>
            <w:pPr>
              <w:spacing w:after="20"/>
            </w:pPr>
            <w:r>
              <w:rPr>
                <w:sz w:val="16"/>
              </w:rPr>
              <w:t>Marked hand and prop starting positions; spacing not recorded</w:t>
            </w:r>
          </w:p>
        </w:tc>
        <w:tc>
          <w:tcPr>
            <w:tcW w:type="dxa" w:w="2462"/>
          </w:tcPr>
          <w:p>
            <w:pPr>
              <w:spacing w:after="20"/>
            </w:pPr>
            <w:r>
              <w:rPr>
                <w:sz w:val="16"/>
              </w:rPr>
              <w:t>Corresponding virtual placement arrangement</w:t>
            </w:r>
          </w:p>
        </w:tc>
        <w:tc>
          <w:tcPr>
            <w:tcW w:type="dxa" w:w="2462"/>
          </w:tcPr>
          <w:p>
            <w:pPr>
              <w:spacing w:after="20"/>
            </w:pPr>
            <w:r>
              <w:rPr>
                <w:sz w:val="16"/>
              </w:rPr>
              <w:t>Record marker coordinates</w:t>
            </w:r>
          </w:p>
        </w:tc>
      </w:tr>
      <w:tr>
        <w:tc>
          <w:tcPr>
            <w:tcW w:type="dxa" w:w="2462"/>
          </w:tcPr>
          <w:p>
            <w:pPr>
              <w:spacing w:after="20"/>
            </w:pPr>
            <w:r>
              <w:rPr>
                <w:sz w:val="16"/>
              </w:rPr>
              <w:t>Hand calibration area</w:t>
            </w:r>
          </w:p>
        </w:tc>
        <w:tc>
          <w:tcPr>
            <w:tcW w:type="dxa" w:w="2462"/>
          </w:tcPr>
          <w:p>
            <w:pPr>
              <w:spacing w:after="20"/>
            </w:pPr>
            <w:r>
              <w:rPr>
                <w:sz w:val="16"/>
              </w:rPr>
              <w:t>Both hands placed on designated tabletop areas</w:t>
            </w:r>
          </w:p>
        </w:tc>
        <w:tc>
          <w:tcPr>
            <w:tcW w:type="dxa" w:w="2462"/>
          </w:tcPr>
          <w:p>
            <w:pPr>
              <w:spacing w:after="20"/>
            </w:pPr>
            <w:r>
              <w:rPr>
                <w:sz w:val="16"/>
              </w:rPr>
              <w:t>Hand detection / calibration collision volumes; dimensions not recorded</w:t>
            </w:r>
          </w:p>
        </w:tc>
        <w:tc>
          <w:tcPr>
            <w:tcW w:type="dxa" w:w="2462"/>
          </w:tcPr>
          <w:p>
            <w:pPr>
              <w:spacing w:after="20"/>
            </w:pPr>
            <w:r>
              <w:rPr>
                <w:sz w:val="16"/>
              </w:rPr>
              <w:t>Check archived Blueprint</w:t>
            </w:r>
          </w:p>
        </w:tc>
      </w:tr>
      <w:tr>
        <w:tc>
          <w:tcPr>
            <w:tcW w:type="dxa" w:w="2462"/>
          </w:tcPr>
          <w:p>
            <w:pPr>
              <w:spacing w:after="20"/>
            </w:pPr>
            <w:r>
              <w:rPr>
                <w:sz w:val="16"/>
              </w:rPr>
              <w:t>Hand tracking</w:t>
            </w:r>
          </w:p>
        </w:tc>
        <w:tc>
          <w:tcPr>
            <w:tcW w:type="dxa" w:w="2462"/>
          </w:tcPr>
          <w:p>
            <w:pPr>
              <w:spacing w:after="20"/>
            </w:pPr>
            <w:r>
              <w:rPr>
                <w:sz w:val="16"/>
              </w:rPr>
              <w:t>Meta Quest 3 hand tracking</w:t>
            </w:r>
          </w:p>
        </w:tc>
        <w:tc>
          <w:tcPr>
            <w:tcW w:type="dxa" w:w="2462"/>
          </w:tcPr>
          <w:p>
            <w:pPr>
              <w:spacing w:after="20"/>
            </w:pPr>
            <w:r>
              <w:rPr>
                <w:sz w:val="16"/>
              </w:rPr>
              <w:t>Tracked virtual hand representations</w:t>
            </w:r>
          </w:p>
        </w:tc>
        <w:tc>
          <w:tcPr>
            <w:tcW w:type="dxa" w:w="2462"/>
          </w:tcPr>
          <w:p>
            <w:pPr>
              <w:spacing w:after="20"/>
            </w:pPr>
            <w:r>
              <w:rPr>
                <w:sz w:val="16"/>
              </w:rPr>
              <w:t>Documented; check archived settings</w:t>
            </w:r>
          </w:p>
        </w:tc>
      </w:tr>
      <w:tr>
        <w:tc>
          <w:tcPr>
            <w:tcW w:type="dxa" w:w="2462"/>
          </w:tcPr>
          <w:p>
            <w:pPr>
              <w:spacing w:after="20"/>
            </w:pPr>
            <w:r>
              <w:rPr>
                <w:sz w:val="16"/>
              </w:rPr>
              <w:t>Physical–virtual scale</w:t>
            </w:r>
          </w:p>
        </w:tc>
        <w:tc>
          <w:tcPr>
            <w:tcW w:type="dxa" w:w="2462"/>
          </w:tcPr>
          <w:p>
            <w:pPr>
              <w:spacing w:after="20"/>
            </w:pPr>
            <w:r>
              <w:rPr>
                <w:sz w:val="16"/>
              </w:rPr>
              <w:t>Physical measurements in mm or cm</w:t>
            </w:r>
          </w:p>
        </w:tc>
        <w:tc>
          <w:tcPr>
            <w:tcW w:type="dxa" w:w="2462"/>
          </w:tcPr>
          <w:p>
            <w:pPr>
              <w:spacing w:after="20"/>
            </w:pPr>
            <w:r>
              <w:rPr>
                <w:sz w:val="16"/>
              </w:rPr>
              <w:t>Unreal Engine default: 1 unit = 1 cm</w:t>
            </w:r>
          </w:p>
        </w:tc>
        <w:tc>
          <w:tcPr>
            <w:tcW w:type="dxa" w:w="2462"/>
          </w:tcPr>
          <w:p>
            <w:pPr>
              <w:spacing w:after="20"/>
            </w:pPr>
            <w:r>
              <w:rPr>
                <w:sz w:val="16"/>
              </w:rPr>
              <w:t>Unit convention known; actual asset scale unverified</w:t>
            </w:r>
          </w:p>
        </w:tc>
      </w:tr>
      <w:tr>
        <w:tc>
          <w:tcPr>
            <w:tcW w:type="dxa" w:w="2462"/>
          </w:tcPr>
          <w:p>
            <w:pPr>
              <w:spacing w:after="20"/>
            </w:pPr>
            <w:r>
              <w:rPr>
                <w:sz w:val="16"/>
              </w:rPr>
              <w:t>Object positions</w:t>
            </w:r>
          </w:p>
        </w:tc>
        <w:tc>
          <w:tcPr>
            <w:tcW w:type="dxa" w:w="2462"/>
          </w:tcPr>
          <w:p>
            <w:pPr>
              <w:spacing w:after="20"/>
            </w:pPr>
            <w:r>
              <w:rPr>
                <w:sz w:val="16"/>
              </w:rPr>
              <w:t>Props placed at repeatable starting positions</w:t>
            </w:r>
          </w:p>
        </w:tc>
        <w:tc>
          <w:tcPr>
            <w:tcW w:type="dxa" w:w="2462"/>
          </w:tcPr>
          <w:p>
            <w:pPr>
              <w:spacing w:after="20"/>
            </w:pPr>
            <w:r>
              <w:rPr>
                <w:sz w:val="16"/>
              </w:rPr>
              <w:t>Virtual placement established relative to calibrated tabletop</w:t>
            </w:r>
          </w:p>
        </w:tc>
        <w:tc>
          <w:tcPr>
            <w:tcW w:type="dxa" w:w="2462"/>
          </w:tcPr>
          <w:p>
            <w:pPr>
              <w:spacing w:after="20"/>
            </w:pPr>
            <w:r>
              <w:rPr>
                <w:sz w:val="16"/>
              </w:rPr>
              <w:t>Coordinates unverified</w:t>
            </w:r>
          </w:p>
        </w:tc>
      </w:tr>
      <w:tr>
        <w:tc>
          <w:tcPr>
            <w:tcW w:type="dxa" w:w="2462"/>
          </w:tcPr>
          <w:p>
            <w:pPr>
              <w:spacing w:after="20"/>
            </w:pPr>
            <w:r>
              <w:rPr>
                <w:sz w:val="16"/>
              </w:rPr>
              <w:t>Prop tracking</w:t>
            </w:r>
          </w:p>
        </w:tc>
        <w:tc>
          <w:tcPr>
            <w:tcW w:type="dxa" w:w="2462"/>
          </w:tcPr>
          <w:p>
            <w:pPr>
              <w:spacing w:after="20"/>
            </w:pPr>
            <w:r>
              <w:rPr>
                <w:sz w:val="16"/>
              </w:rPr>
              <w:t>Original physical props not continuously tracked</w:t>
            </w:r>
          </w:p>
        </w:tc>
        <w:tc>
          <w:tcPr>
            <w:tcW w:type="dxa" w:w="2462"/>
          </w:tcPr>
          <w:p>
            <w:pPr>
              <w:spacing w:after="20"/>
            </w:pPr>
            <w:r>
              <w:rPr>
                <w:sz w:val="16"/>
              </w:rPr>
              <w:t>Interaction relies on tracked hands and initial arrangement</w:t>
            </w:r>
          </w:p>
        </w:tc>
        <w:tc>
          <w:tcPr>
            <w:tcW w:type="dxa" w:w="2462"/>
          </w:tcPr>
          <w:p>
            <w:pPr>
              <w:spacing w:after="20"/>
            </w:pPr>
            <w:r>
              <w:rPr>
                <w:sz w:val="16"/>
              </w:rPr>
              <w:t>Documented</w:t>
            </w:r>
          </w:p>
        </w:tc>
      </w:tr>
    </w:tbl>
    <w:p>
      <w:r>
        <w:t>Measurements and references still to confirm: original cube dimensions; chest exterior, interior and lid range; table height and cloth marker spacing; virtual mesh sizes, collision dimensions and starting offsets; archived engine/plugin versions; and verified project/evidence links.</w:t>
      </w:r>
    </w:p>
    <w:p w:rsidR="002F6F0D" w:rsidP="682CF20B" w:rsidRDefault="00000000" w14:paraId="265A1E52" w14:textId="77D66643">
      <w:pPr>
        <w:pStyle w:val="Heading1"/>
        <w:widowControl w:val="1"/>
        <w:rPr>
          <w:color w:val="auto"/>
        </w:rPr>
      </w:pPr>
      <w:r w:rsidRPr="682CF20B" w:rsidR="6A99A23E">
        <w:rPr>
          <w:color w:val="auto"/>
        </w:rPr>
        <w:t xml:space="preserve">Suggested replication </w:t>
      </w:r>
      <w:r w:rsidRPr="682CF20B" w:rsidR="6EBE7FC5">
        <w:rPr>
          <w:color w:val="auto"/>
        </w:rPr>
        <w:t>procedure.</w:t>
      </w:r>
    </w:p>
    <w:p w:rsidR="002F6F0D" w:rsidP="682CF20B" w:rsidRDefault="00000000" w14:paraId="6A49F399" w14:textId="77777777">
      <w:pPr>
        <w:widowControl w:val="1"/>
        <w:rPr>
          <w:color w:val="auto"/>
        </w:rPr>
      </w:pPr>
      <w:r w:rsidRPr="682CF20B" w:rsidR="6A99A23E">
        <w:rPr>
          <w:b w:val="1"/>
          <w:bCs w:val="1"/>
          <w:color w:val="auto"/>
        </w:rPr>
        <w:t xml:space="preserve">1. Prepare the physical area. </w:t>
      </w:r>
      <w:r w:rsidRPr="682CF20B" w:rsidR="6A99A23E">
        <w:rPr>
          <w:color w:val="auto"/>
        </w:rPr>
        <w:t>Choose a stable table with clear reach and sufficient space. Remove unrelated objects and obstacles. Do not position physical props where the wearer might collide with them unexpectedly.</w:t>
      </w:r>
    </w:p>
    <w:p w:rsidR="002F6F0D" w:rsidP="682CF20B" w:rsidRDefault="00000000" w14:paraId="32131D2F" w14:textId="02AA8EC8">
      <w:pPr>
        <w:widowControl w:val="1"/>
        <w:rPr>
          <w:color w:val="auto"/>
        </w:rPr>
      </w:pPr>
      <w:r w:rsidRPr="682CF20B" w:rsidR="6A99A23E">
        <w:rPr>
          <w:b w:val="1"/>
          <w:bCs w:val="1"/>
          <w:color w:val="auto"/>
        </w:rPr>
        <w:t xml:space="preserve">2. Measure and mark the layout. </w:t>
      </w:r>
      <w:r w:rsidRPr="682CF20B" w:rsidR="6A99A23E">
        <w:rPr>
          <w:color w:val="auto"/>
        </w:rPr>
        <w:t xml:space="preserve">Record the physical positions of the chest, </w:t>
      </w:r>
      <w:r w:rsidRPr="682CF20B" w:rsidR="6EBE7FC5">
        <w:rPr>
          <w:color w:val="auto"/>
        </w:rPr>
        <w:t>cubes,</w:t>
      </w:r>
      <w:r w:rsidRPr="682CF20B" w:rsidR="6A99A23E">
        <w:rPr>
          <w:color w:val="auto"/>
        </w:rPr>
        <w:t xml:space="preserve"> and hand placement area. Use the same coordinate reference when describing the virtual arrangement.</w:t>
      </w:r>
    </w:p>
    <w:p w:rsidR="002F6F0D" w:rsidP="682CF20B" w:rsidRDefault="00000000" w14:paraId="22535D6E" w14:textId="77777777">
      <w:pPr>
        <w:widowControl w:val="1"/>
        <w:rPr>
          <w:color w:val="auto"/>
        </w:rPr>
      </w:pPr>
      <w:r w:rsidRPr="682CF20B" w:rsidR="6A99A23E">
        <w:rPr>
          <w:b w:val="1"/>
          <w:bCs w:val="1"/>
          <w:color w:val="auto"/>
        </w:rPr>
        <w:t xml:space="preserve">3. Check the software environment. </w:t>
      </w:r>
      <w:r w:rsidRPr="682CF20B" w:rsidR="6A99A23E">
        <w:rPr>
          <w:color w:val="auto"/>
        </w:rPr>
        <w:t>Open the archived project in a verified compatible Unreal Engine and plugin configuration. Confirm the hand-tracking components function before testing prop correspondence.</w:t>
      </w:r>
    </w:p>
    <w:p w:rsidR="002F6F0D" w:rsidP="682CF20B" w:rsidRDefault="00000000" w14:paraId="73341821" w14:textId="77777777">
      <w:pPr>
        <w:widowControl w:val="1"/>
        <w:rPr>
          <w:color w:val="auto"/>
        </w:rPr>
      </w:pPr>
      <w:r w:rsidRPr="682CF20B" w:rsidR="6A99A23E">
        <w:rPr>
          <w:b w:val="1"/>
          <w:bCs w:val="1"/>
          <w:color w:val="auto"/>
        </w:rPr>
        <w:t xml:space="preserve">4. Begin with physical-world onboarding. </w:t>
      </w:r>
      <w:r w:rsidRPr="682CF20B" w:rsidR="6A99A23E">
        <w:rPr>
          <w:color w:val="auto"/>
        </w:rPr>
        <w:t>Let the wearer locate the table and props using the intended passthrough/instruction sequence before the virtual environment is revealed.</w:t>
      </w:r>
    </w:p>
    <w:p w:rsidR="002F6F0D" w:rsidP="682CF20B" w:rsidRDefault="00000000" w14:paraId="308E9BA8" w14:textId="38124DF1">
      <w:pPr>
        <w:widowControl w:val="1"/>
        <w:rPr>
          <w:color w:val="auto"/>
        </w:rPr>
      </w:pPr>
      <w:r w:rsidRPr="682CF20B" w:rsidR="6A99A23E">
        <w:rPr>
          <w:b w:val="1"/>
          <w:bCs w:val="1"/>
          <w:color w:val="auto"/>
        </w:rPr>
        <w:t xml:space="preserve">5. Perform hands-on-table calibration. </w:t>
      </w:r>
      <w:r w:rsidRPr="682CF20B" w:rsidR="6A99A23E">
        <w:rPr>
          <w:color w:val="auto"/>
        </w:rPr>
        <w:t xml:space="preserve">Have the wearer complete the physical table-contact action. </w:t>
      </w:r>
      <w:r w:rsidRPr="682CF20B" w:rsidR="3B5CDC0B">
        <w:rPr>
          <w:color w:val="auto"/>
        </w:rPr>
        <w:t>Confirm that</w:t>
      </w:r>
      <w:r w:rsidRPr="682CF20B" w:rsidR="6A99A23E">
        <w:rPr>
          <w:color w:val="auto"/>
        </w:rPr>
        <w:t xml:space="preserve"> the virtual table appears in the intended relationship to the real surface.</w:t>
      </w:r>
    </w:p>
    <w:p w:rsidR="002F6F0D" w:rsidP="682CF20B" w:rsidRDefault="00000000" w14:paraId="69F644A2" w14:textId="6BDFAA05">
      <w:pPr>
        <w:widowControl w:val="1"/>
        <w:rPr>
          <w:color w:val="auto"/>
        </w:rPr>
      </w:pPr>
      <w:r w:rsidRPr="682CF20B" w:rsidR="6A99A23E">
        <w:rPr>
          <w:b w:val="1"/>
          <w:bCs w:val="1"/>
          <w:color w:val="auto"/>
        </w:rPr>
        <w:t xml:space="preserve">6. Test each intended action. </w:t>
      </w:r>
      <w:r w:rsidRPr="682CF20B" w:rsidR="6A99A23E">
        <w:rPr>
          <w:color w:val="auto"/>
        </w:rPr>
        <w:t xml:space="preserve">Check the physical contact points </w:t>
      </w:r>
      <w:r w:rsidRPr="682CF20B" w:rsidR="14EEF71C">
        <w:rPr>
          <w:color w:val="auto"/>
        </w:rPr>
        <w:t>while</w:t>
      </w:r>
      <w:r w:rsidRPr="682CF20B" w:rsidR="6A99A23E">
        <w:rPr>
          <w:color w:val="auto"/>
        </w:rPr>
        <w:t xml:space="preserve"> reaching, grasping, </w:t>
      </w:r>
      <w:r w:rsidRPr="682CF20B" w:rsidR="6EBE7FC5">
        <w:rPr>
          <w:color w:val="auto"/>
        </w:rPr>
        <w:t>placing,</w:t>
      </w:r>
      <w:r w:rsidRPr="682CF20B" w:rsidR="6A99A23E">
        <w:rPr>
          <w:color w:val="auto"/>
        </w:rPr>
        <w:t xml:space="preserve"> and interacting with the chest. Record any mismatch, </w:t>
      </w:r>
      <w:r w:rsidRPr="682CF20B" w:rsidR="6EBE7FC5">
        <w:rPr>
          <w:color w:val="auto"/>
        </w:rPr>
        <w:t>drift,</w:t>
      </w:r>
      <w:r w:rsidRPr="682CF20B" w:rsidR="6A99A23E">
        <w:rPr>
          <w:color w:val="auto"/>
        </w:rPr>
        <w:t xml:space="preserve"> or loss of tracking.</w:t>
      </w:r>
    </w:p>
    <w:p w:rsidR="002F6F0D" w:rsidP="682CF20B" w:rsidRDefault="00000000" w14:paraId="27B3FB6E" w14:textId="12BEA157">
      <w:pPr>
        <w:widowControl w:val="1"/>
        <w:rPr>
          <w:color w:val="auto"/>
        </w:rPr>
      </w:pPr>
      <w:r w:rsidRPr="682CF20B" w:rsidR="6A99A23E">
        <w:rPr>
          <w:b w:val="1"/>
          <w:bCs w:val="1"/>
          <w:color w:val="auto"/>
        </w:rPr>
        <w:t xml:space="preserve">7. Document and revise. </w:t>
      </w:r>
      <w:r w:rsidRPr="682CF20B" w:rsidR="6A99A23E">
        <w:rPr>
          <w:color w:val="auto"/>
        </w:rPr>
        <w:t xml:space="preserve">Complete the developer worksheet. Note the exact prop measurements, setup conditions, </w:t>
      </w:r>
      <w:r w:rsidRPr="682CF20B" w:rsidR="6EBE7FC5">
        <w:rPr>
          <w:color w:val="auto"/>
        </w:rPr>
        <w:t>observations,</w:t>
      </w:r>
      <w:r w:rsidRPr="682CF20B" w:rsidR="6A99A23E">
        <w:rPr>
          <w:color w:val="auto"/>
        </w:rPr>
        <w:t xml:space="preserve"> and any substitutions.</w:t>
      </w:r>
    </w:p>
    <w:p w:rsidR="002F6F0D" w:rsidP="682CF20B" w:rsidRDefault="00000000" w14:paraId="3EC1791D" w14:textId="69278F3F">
      <w:pPr>
        <w:pStyle w:val="Heading1"/>
        <w:widowControl w:val="1"/>
        <w:rPr>
          <w:color w:val="auto"/>
        </w:rPr>
      </w:pPr>
      <w:r w:rsidRPr="682CF20B" w:rsidR="6A99A23E">
        <w:rPr>
          <w:color w:val="auto"/>
        </w:rPr>
        <w:t>What successful replication can and cannot establish</w:t>
      </w:r>
    </w:p>
    <w:p w:rsidR="002F6F0D" w:rsidP="682CF20B" w:rsidRDefault="00000000" w14:paraId="1F501252" w14:textId="02282D06">
      <w:pPr>
        <w:widowControl w:val="1"/>
        <w:rPr>
          <w:color w:val="auto"/>
        </w:rPr>
      </w:pPr>
      <w:r w:rsidRPr="682CF20B" w:rsidR="6A99A23E">
        <w:rPr>
          <w:color w:val="auto"/>
        </w:rPr>
        <w:t xml:space="preserve">A successful local recreation can demonstrate that the interaction runs under documented conditions and that the intended physical contacts are plausible in that setup. It does not, by itself, demonstrate general usability, improved immersion, or suitability for different rooms, </w:t>
      </w:r>
      <w:r w:rsidRPr="682CF20B" w:rsidR="6EBE7FC5">
        <w:rPr>
          <w:color w:val="auto"/>
        </w:rPr>
        <w:t>props,</w:t>
      </w:r>
      <w:r w:rsidRPr="682CF20B" w:rsidR="6A99A23E">
        <w:rPr>
          <w:color w:val="auto"/>
        </w:rPr>
        <w:t xml:space="preserve"> or players. If the setup differs, report the differences instead of treating the outcome as directly equivalent.</w:t>
      </w:r>
    </w:p>
    <w:p w:rsidR="002F6F0D" w:rsidP="682CF20B" w:rsidRDefault="00000000" w14:paraId="5DDBA3E3" w14:textId="1370DE92">
      <w:pPr>
        <w:pStyle w:val="Heading1"/>
        <w:widowControl w:val="1"/>
        <w:rPr>
          <w:color w:val="auto"/>
        </w:rPr>
      </w:pPr>
      <w:r w:rsidRPr="682CF20B" w:rsidR="6A99A23E">
        <w:rPr>
          <w:color w:val="auto"/>
        </w:rPr>
        <w:t>Evidence and links to verify before sharing</w:t>
      </w:r>
    </w:p>
    <w:p w:rsidR="002F6F0D" w:rsidP="01B8B6D7" w:rsidRDefault="00000000" w14:paraId="4E2B1BF9" w14:textId="6B5F2534">
      <w:pPr>
        <w:pStyle w:val="ListBullet"/>
        <w:widowControl w:val="1"/>
        <w:rPr>
          <w:noProof w:val="0"/>
          <w:lang w:val="en-AU"/>
        </w:rPr>
      </w:pPr>
      <w:r w:rsidRPr="01B8B6D7" w:rsidR="7F90009D">
        <w:rPr>
          <w:color w:val="auto"/>
        </w:rPr>
        <w:t xml:space="preserve">Honours project repository / archived version: </w:t>
      </w:r>
      <w:hyperlink r:id="R11057354503e4b16">
        <w:r w:rsidRPr="01B8B6D7" w:rsidR="19B10883">
          <w:rPr>
            <w:rStyle w:val="Hyperlink"/>
            <w:b w:val="0"/>
            <w:bCs w:val="0"/>
            <w:i w:val="0"/>
            <w:iCs w:val="0"/>
            <w:caps w:val="0"/>
            <w:smallCaps w:val="0"/>
            <w:strike w:val="0"/>
            <w:dstrike w:val="0"/>
            <w:noProof w:val="0"/>
            <w:lang w:val="en-AU"/>
          </w:rPr>
          <w:t>ghost20053/VR_HandTracking</w:t>
        </w:r>
      </w:hyperlink>
    </w:p>
    <w:p w:rsidR="002F6F0D" w:rsidP="01B8B6D7" w:rsidRDefault="00000000" w14:paraId="66DCF77F" w14:textId="14F3F779">
      <w:pPr>
        <w:pStyle w:val="ListBullet"/>
        <w:widowControl w:val="1"/>
        <w:rPr>
          <w:noProof w:val="0"/>
          <w:lang w:val="en-AU"/>
        </w:rPr>
      </w:pPr>
      <w:r w:rsidRPr="01B8B6D7" w:rsidR="7F90009D">
        <w:rPr>
          <w:color w:val="auto"/>
        </w:rPr>
        <w:t>Original demonstration recording:</w:t>
      </w:r>
      <w:r w:rsidRPr="01B8B6D7" w:rsidR="53CD0813">
        <w:rPr>
          <w:color w:val="auto"/>
        </w:rPr>
        <w:t xml:space="preserve"> </w:t>
      </w:r>
      <w:hyperlink r:id="R17bb3a2db88e4f73">
        <w:r w:rsidRPr="01B8B6D7" w:rsidR="3AC5890F">
          <w:rPr>
            <w:rStyle w:val="Hyperlink"/>
            <w:b w:val="0"/>
            <w:bCs w:val="0"/>
            <w:i w:val="0"/>
            <w:iCs w:val="0"/>
            <w:caps w:val="0"/>
            <w:smallCaps w:val="0"/>
            <w:strike w:val="0"/>
            <w:dstrike w:val="0"/>
            <w:noProof w:val="0"/>
            <w:lang w:val="en-AU"/>
          </w:rPr>
          <w:t>YouTube Link</w:t>
        </w:r>
      </w:hyperlink>
    </w:p>
    <w:p w:rsidR="002F6F0D" w:rsidP="01B8B6D7" w:rsidRDefault="00000000" w14:paraId="460FAD63" w14:textId="72C8ED07">
      <w:pPr>
        <w:pStyle w:val="ListBullet"/>
        <w:widowControl w:val="1"/>
        <w:rPr/>
      </w:pPr>
      <w:r w:rsidRPr="01B8B6D7" w:rsidR="7F90009D">
        <w:rPr>
          <w:color w:val="auto"/>
        </w:rPr>
        <w:t>Reflective development journal / evidence archive:</w:t>
      </w:r>
      <w:r w:rsidRPr="01B8B6D7" w:rsidR="23EFA615">
        <w:rPr>
          <w:color w:val="auto"/>
        </w:rPr>
        <w:t xml:space="preserve"> </w:t>
      </w:r>
      <w:hyperlink r:id="Rb791820977f8448b">
        <w:r w:rsidRPr="01B8B6D7" w:rsidR="23EFA615">
          <w:rPr>
            <w:rStyle w:val="Hyperlink"/>
          </w:rPr>
          <w:t>Honours Evidence</w:t>
        </w:r>
      </w:hyperlink>
    </w:p>
    <w:p w:rsidR="002F6F0D" w:rsidP="682CF20B" w:rsidRDefault="00000000" w14:paraId="35BDF538" w14:textId="77777777">
      <w:pPr>
        <w:widowControl w:val="1"/>
        <w:rPr>
          <w:color w:val="auto"/>
        </w:rPr>
      </w:pPr>
      <w:r w:rsidRPr="682CF20B" w:rsidR="6A99A23E">
        <w:rPr>
          <w:color w:val="auto"/>
        </w:rPr>
        <w:t>Document status: Editable replication companion. Before describing it as a complete reproduction guide, verify the physical measurements, exact archived Unreal Engine and plugin configuration, and project/evidence links. Record any substituted props and differences from the original setup.</w:t>
      </w:r>
    </w:p>
    <w:sectPr w:rsidR="002F6F0D" w:rsidSect="00034616">
      <w:footerReference w:type="default" r:id="rId8"/>
      <w:pgSz w:w="12240" w:h="15840" w:orient="portrait"/>
      <w:pgMar w:top="936" w:right="1195" w:bottom="936"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34F1" w:rsidRDefault="00DF34F1" w14:paraId="5324771A" w14:textId="77777777">
      <w:pPr>
        <w:spacing w:after="0" w:line="240" w:lineRule="auto"/>
      </w:pPr>
      <w:r>
        <w:separator/>
      </w:r>
    </w:p>
  </w:endnote>
  <w:endnote w:type="continuationSeparator" w:id="0">
    <w:p w:rsidR="00DF34F1" w:rsidRDefault="00DF34F1" w14:paraId="6873DA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6F0D" w:rsidRDefault="00000000" w14:paraId="5907FEB0" w14:textId="055A70A1">
    <w:pPr>
      <w:pStyle w:val="Footer"/>
      <w:jc w:val="center"/>
    </w:pPr>
    <w:r>
      <w:t xml:space="preserve">Physical–Virtual Correspondence Design </w:t>
    </w:r>
    <w:r w:rsidR="00A12855">
      <w:t>Toolkit | Practice</w:t>
    </w:r>
    <w:r>
      <w:t>-derived resource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34F1" w:rsidRDefault="00DF34F1" w14:paraId="2E99B2A0" w14:textId="77777777">
      <w:pPr>
        <w:spacing w:after="0" w:line="240" w:lineRule="auto"/>
      </w:pPr>
      <w:r>
        <w:separator/>
      </w:r>
    </w:p>
  </w:footnote>
  <w:footnote w:type="continuationSeparator" w:id="0">
    <w:p w:rsidR="00DF34F1" w:rsidRDefault="00DF34F1" w14:paraId="476C32E9"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Uzr1qO8y3LFgt/" int2:id="0MabuUQH">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424d3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1491289724">
    <w:abstractNumId w:val="8"/>
  </w:num>
  <w:num w:numId="2" w16cid:durableId="181744884">
    <w:abstractNumId w:val="6"/>
  </w:num>
  <w:num w:numId="3" w16cid:durableId="59794874">
    <w:abstractNumId w:val="5"/>
  </w:num>
  <w:num w:numId="4" w16cid:durableId="1094396790">
    <w:abstractNumId w:val="4"/>
  </w:num>
  <w:num w:numId="5" w16cid:durableId="339741586">
    <w:abstractNumId w:val="7"/>
  </w:num>
  <w:num w:numId="6" w16cid:durableId="1159538087">
    <w:abstractNumId w:val="3"/>
  </w:num>
  <w:num w:numId="7" w16cid:durableId="1337416037">
    <w:abstractNumId w:val="2"/>
  </w:num>
  <w:num w:numId="8" w16cid:durableId="1753238236">
    <w:abstractNumId w:val="1"/>
  </w:num>
  <w:num w:numId="9" w16cid:durableId="102675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F0D"/>
    <w:rsid w:val="00326F90"/>
    <w:rsid w:val="00A12855"/>
    <w:rsid w:val="00AA1D8D"/>
    <w:rsid w:val="00B47730"/>
    <w:rsid w:val="00CB0664"/>
    <w:rsid w:val="00DF34F1"/>
    <w:rsid w:val="00E748EC"/>
    <w:rsid w:val="00FC693F"/>
    <w:rsid w:val="01B8B6D7"/>
    <w:rsid w:val="1436B263"/>
    <w:rsid w:val="14EEF71C"/>
    <w:rsid w:val="19B10883"/>
    <w:rsid w:val="1EDE7D26"/>
    <w:rsid w:val="23EFA615"/>
    <w:rsid w:val="3686E6D8"/>
    <w:rsid w:val="3AC5890F"/>
    <w:rsid w:val="3B5CDC0B"/>
    <w:rsid w:val="4ECE8A57"/>
    <w:rsid w:val="5151FF6E"/>
    <w:rsid w:val="53CD0813"/>
    <w:rsid w:val="57476A93"/>
    <w:rsid w:val="682CF20B"/>
    <w:rsid w:val="6A99A23E"/>
    <w:rsid w:val="6EBE7FC5"/>
    <w:rsid w:val="7F7B97DD"/>
    <w:rsid w:val="7F9000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2AF48"/>
  <w14:defaultImageDpi w14:val="300"/>
  <w15:docId w15:val="{31ED2474-3B46-4D70-8E3E-DEA468A3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82CF20B"/>
    <w:rPr>
      <w:rFonts w:ascii="Aptos" w:hAnsi="Aptos"/>
      <w:noProof w:val="0"/>
      <w:sz w:val="20"/>
      <w:szCs w:val="20"/>
      <w:lang w:val="en-AU"/>
    </w:rPr>
    <w:pPr>
      <w:spacing w:after="120"/>
    </w:pPr>
  </w:style>
  <w:style w:type="paragraph" w:styleId="Heading1">
    <w:uiPriority w:val="9"/>
    <w:name w:val="heading 1"/>
    <w:basedOn w:val="Normal"/>
    <w:next w:val="Normal"/>
    <w:link w:val="Heading1Char"/>
    <w:qFormat/>
    <w:rsid w:val="682CF20B"/>
    <w:rPr>
      <w:rFonts w:ascii="Calibri" w:hAnsi="Calibri" w:eastAsia="ＭＳ ゴシック" w:cs="" w:asciiTheme="majorAscii" w:hAnsiTheme="majorAscii" w:eastAsiaTheme="majorEastAsia" w:cstheme="majorBidi"/>
      <w:b w:val="1"/>
      <w:bCs w:val="1"/>
      <w:color w:val="184157"/>
      <w:sz w:val="26"/>
      <w:szCs w:val="26"/>
    </w:rPr>
    <w:pPr>
      <w:keepNext w:val="1"/>
      <w:keepLines w:val="1"/>
      <w:spacing w:before="480" w:after="0"/>
      <w:outlineLvl w:val="0"/>
    </w:pPr>
  </w:style>
  <w:style w:type="paragraph" w:styleId="Heading2">
    <w:uiPriority w:val="9"/>
    <w:name w:val="heading 2"/>
    <w:basedOn w:val="Normal"/>
    <w:next w:val="Normal"/>
    <w:unhideWhenUsed/>
    <w:link w:val="Heading2Char"/>
    <w:qFormat/>
    <w:rsid w:val="682CF20B"/>
    <w:rPr>
      <w:rFonts w:ascii="Calibri" w:hAnsi="Calibri" w:eastAsia="ＭＳ ゴシック" w:cs="" w:asciiTheme="majorAscii" w:hAnsiTheme="majorAscii" w:eastAsiaTheme="majorEastAsia" w:cstheme="majorBidi"/>
      <w:b w:val="1"/>
      <w:bCs w:val="1"/>
      <w:color w:val="184157"/>
      <w:sz w:val="22"/>
      <w:szCs w:val="22"/>
    </w:rPr>
    <w:pPr>
      <w:keepNext w:val="1"/>
      <w:keepLines w:val="1"/>
      <w:spacing w:before="200" w:after="0"/>
      <w:outlineLvl w:val="1"/>
    </w:pPr>
  </w:style>
  <w:style w:type="paragraph" w:styleId="Heading3">
    <w:uiPriority w:val="9"/>
    <w:name w:val="heading 3"/>
    <w:basedOn w:val="Normal"/>
    <w:next w:val="Normal"/>
    <w:unhideWhenUsed/>
    <w:link w:val="Heading3Char"/>
    <w:qFormat/>
    <w:rsid w:val="682CF20B"/>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682CF20B"/>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682CF20B"/>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682CF20B"/>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682CF20B"/>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682CF20B"/>
    <w:rPr>
      <w:rFonts w:ascii="Calibri" w:hAnsi="Calibri" w:eastAsia="ＭＳ ゴシック" w:cs="" w:asciiTheme="majorAscii" w:hAnsiTheme="majorAscii" w:eastAsiaTheme="majorEastAsia" w:cstheme="majorBidi"/>
      <w:color w:val="4F81BD" w:themeColor="accent1" w:themeTint="FF" w:themeShade="FF"/>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682CF20B"/>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682CF20B"/>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682CF20B"/>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682CF20B"/>
    <w:rPr>
      <w:rFonts w:ascii="Calibri" w:hAnsi="Calibri" w:eastAsia="ＭＳ ゴシック" w:cs="" w:asciiTheme="majorAscii" w:hAnsiTheme="majorAscii" w:eastAsiaTheme="majorEastAsia" w:cstheme="majorBidi"/>
      <w:b w:val="1"/>
      <w:bCs w:val="1"/>
      <w:color w:val="184157"/>
      <w:sz w:val="40"/>
      <w:szCs w:val="40"/>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682CF20B"/>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682CF20B"/>
    <w:pPr>
      <w:spacing/>
      <w:ind w:left="720"/>
      <w:contextualSpacing/>
    </w:pPr>
  </w:style>
  <w:style w:type="paragraph" w:styleId="BodyText">
    <w:uiPriority w:val="99"/>
    <w:name w:val="Body Text"/>
    <w:basedOn w:val="Normal"/>
    <w:unhideWhenUsed/>
    <w:link w:val="BodyTextChar"/>
    <w:rsid w:val="682CF20B"/>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682CF20B"/>
    <w:pPr>
      <w:spacing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682CF20B"/>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682CF20B"/>
    <w:pPr>
      <w:spacing/>
      <w:ind w:left="360" w:hanging="360"/>
      <w:contextualSpacing/>
    </w:pPr>
  </w:style>
  <w:style w:type="paragraph" w:styleId="List2">
    <w:uiPriority w:val="99"/>
    <w:name w:val="List 2"/>
    <w:basedOn w:val="Normal"/>
    <w:unhideWhenUsed/>
    <w:rsid w:val="682CF20B"/>
    <w:pPr>
      <w:spacing/>
      <w:ind w:left="720" w:hanging="360"/>
      <w:contextualSpacing/>
    </w:pPr>
  </w:style>
  <w:style w:type="paragraph" w:styleId="List3">
    <w:uiPriority w:val="99"/>
    <w:name w:val="List 3"/>
    <w:basedOn w:val="Normal"/>
    <w:unhideWhenUsed/>
    <w:rsid w:val="682CF20B"/>
    <w:pPr>
      <w:spacing/>
      <w:ind w:left="1080" w:hanging="360"/>
      <w:contextualSpacing/>
    </w:pPr>
  </w:style>
  <w:style w:type="paragraph" w:styleId="ListBullet">
    <w:uiPriority w:val="99"/>
    <w:name w:val="List Bullet"/>
    <w:basedOn w:val="Normal"/>
    <w:unhideWhenUsed/>
    <w:rsid w:val="682CF20B"/>
    <w:pPr>
      <w:numPr>
        <w:numId w:val="1"/>
      </w:numPr>
      <w:spacing/>
      <w:contextualSpacing/>
    </w:pPr>
  </w:style>
  <w:style w:type="paragraph" w:styleId="ListBullet2">
    <w:uiPriority w:val="99"/>
    <w:name w:val="List Bullet 2"/>
    <w:basedOn w:val="Normal"/>
    <w:unhideWhenUsed/>
    <w:rsid w:val="682CF20B"/>
    <w:pPr>
      <w:numPr>
        <w:numId w:val="2"/>
      </w:numPr>
      <w:spacing/>
      <w:contextualSpacing/>
    </w:pPr>
  </w:style>
  <w:style w:type="paragraph" w:styleId="ListBullet3">
    <w:uiPriority w:val="99"/>
    <w:name w:val="List Bullet 3"/>
    <w:basedOn w:val="Normal"/>
    <w:unhideWhenUsed/>
    <w:rsid w:val="682CF20B"/>
    <w:pPr>
      <w:numPr>
        <w:numId w:val="3"/>
      </w:numPr>
      <w:spacing/>
      <w:contextualSpacing/>
    </w:pPr>
  </w:style>
  <w:style w:type="paragraph" w:styleId="ListNumber">
    <w:uiPriority w:val="99"/>
    <w:name w:val="List Number"/>
    <w:basedOn w:val="Normal"/>
    <w:unhideWhenUsed/>
    <w:rsid w:val="682CF20B"/>
    <w:pPr>
      <w:numPr>
        <w:numId w:val="5"/>
      </w:numPr>
      <w:spacing/>
      <w:contextualSpacing/>
    </w:pPr>
  </w:style>
  <w:style w:type="paragraph" w:styleId="ListNumber2">
    <w:uiPriority w:val="99"/>
    <w:name w:val="List Number 2"/>
    <w:basedOn w:val="Normal"/>
    <w:unhideWhenUsed/>
    <w:rsid w:val="682CF20B"/>
    <w:pPr>
      <w:numPr>
        <w:numId w:val="6"/>
      </w:numPr>
      <w:spacing/>
      <w:contextualSpacing/>
    </w:pPr>
  </w:style>
  <w:style w:type="paragraph" w:styleId="ListNumber3">
    <w:uiPriority w:val="99"/>
    <w:name w:val="List Number 3"/>
    <w:basedOn w:val="Normal"/>
    <w:unhideWhenUsed/>
    <w:rsid w:val="682CF20B"/>
    <w:pPr>
      <w:numPr>
        <w:numId w:val="7"/>
      </w:numPr>
      <w:spacing/>
      <w:contextualSpacing/>
    </w:pPr>
  </w:style>
  <w:style w:type="paragraph" w:styleId="ListContinue">
    <w:uiPriority w:val="99"/>
    <w:name w:val="List Continue"/>
    <w:basedOn w:val="Normal"/>
    <w:unhideWhenUsed/>
    <w:rsid w:val="682CF20B"/>
    <w:pPr>
      <w:spacing/>
      <w:ind w:left="360"/>
      <w:contextualSpacing/>
    </w:pPr>
  </w:style>
  <w:style w:type="paragraph" w:styleId="ListContinue2">
    <w:uiPriority w:val="99"/>
    <w:name w:val="List Continue 2"/>
    <w:basedOn w:val="Normal"/>
    <w:unhideWhenUsed/>
    <w:rsid w:val="682CF20B"/>
    <w:pPr>
      <w:spacing/>
      <w:ind w:left="720"/>
      <w:contextualSpacing/>
    </w:pPr>
  </w:style>
  <w:style w:type="paragraph" w:styleId="ListContinue3">
    <w:uiPriority w:val="99"/>
    <w:name w:val="List Continue 3"/>
    <w:basedOn w:val="Normal"/>
    <w:unhideWhenUsed/>
    <w:rsid w:val="682CF20B"/>
    <w:pPr>
      <w:spacing/>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682CF20B"/>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682CF20B"/>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682CF20B"/>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01B8B6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83f9a23b0fb24d3c" Type="http://schemas.microsoft.com/office/2020/10/relationships/intelligence" Target="intelligence2.xml"/><Relationship Id="R11057354503e4b16" Type="http://schemas.openxmlformats.org/officeDocument/2006/relationships/hyperlink" Target="https://github.com/ghost20053/VR_HandTracking" TargetMode="External"/><Relationship Id="R17bb3a2db88e4f73" Type="http://schemas.openxmlformats.org/officeDocument/2006/relationships/hyperlink" Target="https://youtu.be/ANQCv5A1SBs" TargetMode="External"/><Relationship Id="Rb791820977f8448b" Type="http://schemas.openxmlformats.org/officeDocument/2006/relationships/hyperlink" Target="https://griffitheduau-my.sharepoint.com/:f:/r/personal/holden_phillips_griffithuni_edu_au/Documents/Final%20Draft/Appendix%20A?d=wb45c9e458b284b9fbb992d9c3ec203fc&amp;csf=1&amp;web=1&amp;e=0x6j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Appendix C 03 Physical Setup Replication Guide</dc:title>
  <dc:subject/>
  <dc:creator>python-docx</dc:creator>
  <keywords/>
  <dc:description>generated by python-docx</dc:description>
  <lastModifiedBy>Holden Phillips</lastModifiedBy>
  <revision>4</revision>
  <dcterms:created xsi:type="dcterms:W3CDTF">2013-12-23T23:15:00.0000000Z</dcterms:created>
  <dcterms:modified xsi:type="dcterms:W3CDTF">2026-10-21T00:19:06.3775441Z</dcterms:modified>
  <category/>
</coreProperties>
</file>