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VaR / ES Model Validation Report</w:t>
      </w:r>
    </w:p>
    <w:p>
      <w:pPr>
        <w:spacing w:after="60"/>
      </w:pPr>
      <w:r>
        <w:rPr>
          <w:color w:val="5B6B85"/>
          <w:sz w:val="24"/>
          <w:szCs w:val="24"/>
        </w:rPr>
        <w:t xml:space="preserve">Independent Backtesting &amp; Performance Assessment of Three Value-at-Risk Methodologies</w:t>
      </w:r>
    </w:p>
    <w:p>
      <w:pPr>
        <w:spacing w:after="400"/>
      </w:pPr>
      <w:r>
        <w:rPr>
          <w:color w:val="5B6B85"/>
          <w:sz w:val="20"/>
          <w:szCs w:val="20"/>
        </w:rPr>
        <w:t xml:space="preserve">Backtest period: 2014-12-31 to 2026-07-02  |  Prepared: 2026-07-04</w:t>
      </w:r>
    </w:p>
    <w:p>
      <w:pPr>
        <w:pStyle w:val="Heading2"/>
      </w:pPr>
      <w:r>
        <w:t xml:space="preserve">Scope</w:t>
      </w:r>
    </w:p>
    <w:p>
      <w:pPr>
        <w:spacing w:after="160"/>
      </w:pPr>
      <w:r>
        <w:rPr>
          <w:sz w:val="21"/>
          <w:szCs w:val="21"/>
        </w:rPr>
        <w:t xml:space="preserve">This report presents an independent Model Risk assessment of three Value-at-Risk (VaR) methodologies applied to a sample $100M multi-asset portfolio: Historical Simulation, Parametric (Variance-Covariance), and Monte Carlo simulation. Each model is backtested out-of-sample against 2,892 trading days of realized portfolio P&amp;L using real market data, following Basel Committee and FRTB Internal Models Approach (IMA) standards. The assessment covers unconditional and conditional coverage testing, the Basel traffic-light capital framework, a champion/challenger divergence analysis, and ongoing performance-drift monitoring.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9AFF" w:sz="4"/>
              <w:left w:val="single" w:color="4C9AFF" w:sz="4"/>
              <w:bottom w:val="single" w:color="4C9AFF" w:sz="4"/>
              <w:right w:val="single" w:color="4C9AFF" w:sz="4"/>
            </w:tcBorders>
            <w:shd w:fill="E8F0FE" w:val="clear"/>
            <w:tcMar>
              <w:top w:type="dxa" w:w="160"/>
              <w:left w:type="dxa" w:w="200"/>
              <w:bottom w:type="dxa" w:w="160"/>
              <w:right w:type="dxa" w:w="200"/>
            </w:tcMar>
          </w:tcPr>
          <w:p>
            <w:pPr>
              <w:spacing w:after="100"/>
            </w:pPr>
            <w:r>
              <w:rPr>
                <w:b/>
                <w:bCs/>
                <w:color w:val="16213E"/>
                <w:sz w:val="20"/>
                <w:szCs w:val="20"/>
              </w:rPr>
              <w:t xml:space="preserve">DAILY MODEL RISK BRIEF — 2026-07-02</w:t>
            </w:r>
          </w:p>
          <w:p>
            <w:pPr>
              <w:spacing w:after="80"/>
            </w:pPr>
            <w:r>
              <w:rPr>
                <w:color w:val="1B2A4A"/>
                <w:sz w:val="20"/>
                <w:szCs w:val="20"/>
              </w:rPr>
              <w:t xml:space="preserve">Portfolio P&amp;L for 2026-07-02 came in at -$208K, within all three models' VaR thresholds -- no new exceptions today.</w:t>
            </w:r>
          </w:p>
          <w:p>
            <w:pPr>
              <w:spacing w:after="100"/>
            </w:pPr>
            <w:r>
              <w:rPr>
                <w:color w:val="1B2A4A"/>
                <w:sz w:val="20"/>
                <w:szCs w:val="20"/>
              </w:rPr>
              <w:t xml:space="preserve">Zone status is unchanged from the prior run: Historical Simulation remains Green (1 exception in the trailing 250 days), while Parametric (7) and Monte Carlo (6) remain in the Yellow zone. Both Yellow-zone models are getting closer to Red (10) than to Green; if either adds 3 more exceptions in the next 250-day window, a capital multiplier add-on and desk-level review would be triggered.</w:t>
            </w:r>
          </w:p>
          <w:p>
            <w:pPr>
              <w:spacing w:after="100"/>
            </w:pPr>
            <w:r>
              <w:rPr>
                <w:color w:val="1B2A4A"/>
                <w:sz w:val="20"/>
                <w:szCs w:val="20"/>
              </w:rPr>
              <w:t xml:space="preserve">No material shift in the champion/challenger divergence today -- Parametric continues to run persistently below Historical Simulation's VaR, consistent with the systematic low bias flagged in the full validation report. No new drift signal: the rolling breach rate and calibration ratio for all three models remain within recent ranges, with no fresh stress-period clustering since the last run.</w:t>
            </w:r>
          </w:p>
          <w:p>
            <w:pPr>
              <w:spacing w:after="100"/>
            </w:pPr>
            <w:r>
              <w:rPr>
                <w:color w:val="1B2A4A"/>
                <w:sz w:val="20"/>
                <w:szCs w:val="20"/>
              </w:rPr>
              <w:t xml:space="preserve">Recommended action: no escalation needed today. Continue daily monitoring; flag if Parametric or Monte Carlo cross into Red zone, or if a single-day loss exceeds the Historical Simulation VaR (which would be this portfolio's first HS exception since the last recorded breach).</w:t>
            </w:r>
          </w:p>
        </w:tc>
      </w:tr>
    </w:tbl>
    <w:p>
      <w:r>
        <w:br w:type="page"/>
      </w:r>
    </w:p>
    <w:p>
      <w:pPr>
        <w:pStyle w:val="Heading1"/>
      </w:pPr>
      <w:r>
        <w:t xml:space="preserve">Table of Contents</w:t>
      </w:r>
    </w:p>
    <w:p>
      <w:pPr>
        <w:spacing w:after="160"/>
      </w:pPr>
      <w:r>
        <w:rPr>
          <w:sz w:val="21"/>
          <w:szCs w:val="21"/>
        </w:rPr>
        <w:t xml:space="preserve">1. Executive Summary</w:t>
      </w:r>
    </w:p>
    <w:p>
      <w:pPr>
        <w:spacing w:after="160"/>
      </w:pPr>
      <w:r>
        <w:rPr>
          <w:sz w:val="21"/>
          <w:szCs w:val="21"/>
        </w:rPr>
        <w:t xml:space="preserve">2. Sample Portfolio &amp; Methodology</w:t>
      </w:r>
    </w:p>
    <w:p>
      <w:pPr>
        <w:spacing w:after="160"/>
      </w:pPr>
      <w:r>
        <w:rPr>
          <w:sz w:val="21"/>
          <w:szCs w:val="21"/>
        </w:rPr>
        <w:t xml:space="preserve">3. Backtesting Results</w:t>
      </w:r>
    </w:p>
    <w:p>
      <w:pPr>
        <w:spacing w:after="160"/>
      </w:pPr>
      <w:r>
        <w:rPr>
          <w:sz w:val="21"/>
          <w:szCs w:val="21"/>
        </w:rPr>
        <w:t xml:space="preserve">4. Basel Traffic-Light Framework</w:t>
      </w:r>
    </w:p>
    <w:p>
      <w:pPr>
        <w:spacing w:after="160"/>
      </w:pPr>
      <w:r>
        <w:rPr>
          <w:sz w:val="21"/>
          <w:szCs w:val="21"/>
        </w:rPr>
        <w:t xml:space="preserve">5. Champion vs. Challenger Analysis</w:t>
      </w:r>
    </w:p>
    <w:p>
      <w:pPr>
        <w:spacing w:after="160"/>
      </w:pPr>
      <w:r>
        <w:rPr>
          <w:sz w:val="21"/>
          <w:szCs w:val="21"/>
        </w:rPr>
        <w:t xml:space="preserve">6. Performance Drift &amp; Ongoing Monitoring</w:t>
      </w:r>
    </w:p>
    <w:p>
      <w:pPr>
        <w:spacing w:after="160"/>
      </w:pPr>
      <w:r>
        <w:rPr>
          <w:sz w:val="21"/>
          <w:szCs w:val="21"/>
        </w:rPr>
        <w:t xml:space="preserve">7. Conclusions</w:t>
      </w:r>
    </w:p>
    <w:p>
      <w:r>
        <w:br w:type="page"/>
      </w:r>
    </w:p>
    <w:p>
      <w:pPr>
        <w:pStyle w:val="Heading1"/>
      </w:pPr>
      <w:r>
        <w:t xml:space="preserve">1. Executive Summary</w:t>
      </w:r>
    </w:p>
    <w:p>
      <w:pPr>
        <w:spacing w:after="160"/>
      </w:pPr>
      <w:r>
        <w:rPr>
          <w:sz w:val="21"/>
          <w:szCs w:val="21"/>
        </w:rPr>
        <w:t xml:space="preserve">Across the full 2,892-day out-of-sample backtest (2014-12-31 to 2026-07-02), only the Historical Simulation model passes the Kupiec unconditional coverage test at the 95% significance level; both the Parametric and Monte Carlo models materially overstate the number of allowable 99% VaR exceptions (69 and 55 exceptions respectively, against 33 for Historical Simulation and an expected 1% × 2892 ≈ 29 exceptions).</w:t>
      </w:r>
    </w:p>
    <w:p>
      <w:pPr>
        <w:spacing w:after="160"/>
      </w:pPr>
      <w:r>
        <w:rPr>
          <w:sz w:val="21"/>
          <w:szCs w:val="21"/>
        </w:rPr>
        <w:t xml:space="preserve">However, all three models — including Historical Simulation — fail the Christoffersen independence test: VaR exceptions cluster in time rather than occurring uniformly, concentrated in known stress regimes (the 2018 volatility spike, the March 2020 COVID crash, and the 2022 rate-hiking sell-off). This is itself a validation finding: correlated tail-loss clustering is precisely the scenario in which capital adequacy matters most, and none of the three models fully captures it.</w:t>
      </w:r>
    </w:p>
    <w:p>
      <w:pPr>
        <w:spacing w:after="160"/>
      </w:pPr>
      <w:r>
        <w:rPr>
          <w:sz w:val="21"/>
          <w:szCs w:val="21"/>
        </w:rPr>
        <w:t xml:space="preserve">As of the most recent observation (2026-07-02), the Historical Simulation model sits in the Basel Green zone (1 exceptions in the trailing 250 days), while both Parametric and Monte Carlo sit in the Yellow zone (7 and 6 exceptions respectively), which under the Basel framework would trigger a capital multiplier add-on and a formal review with the desk.</w:t>
      </w:r>
    </w:p>
    <w:p>
      <w:pPr>
        <w:pStyle w:val="ListParagraph"/>
        <w:numPr>
          <w:ilvl w:val="0"/>
          <w:numId w:val="2"/>
        </w:numPr>
        <w:spacing w:after="100"/>
      </w:pPr>
      <w:r>
        <w:rPr>
          <w:sz w:val="21"/>
          <w:szCs w:val="21"/>
        </w:rPr>
        <w:t xml:space="preserve">Recommendation: retain Historical Simulation as the champion model for regulatory capital purposes given superior unconditional coverage performance.</w:t>
      </w:r>
    </w:p>
    <w:p>
      <w:pPr>
        <w:pStyle w:val="ListParagraph"/>
        <w:numPr>
          <w:ilvl w:val="0"/>
          <w:numId w:val="2"/>
        </w:numPr>
        <w:spacing w:after="100"/>
      </w:pPr>
      <w:r>
        <w:rPr>
          <w:sz w:val="21"/>
          <w:szCs w:val="21"/>
        </w:rPr>
        <w:t xml:space="preserve">Recommendation: escalate the Parametric model for recalibration or retirement — its Normal-distribution assumption understates tail risk across multiple market regimes, most severely in 2018 and 2022.</w:t>
      </w:r>
    </w:p>
    <w:p>
      <w:pPr>
        <w:pStyle w:val="ListParagraph"/>
        <w:numPr>
          <w:ilvl w:val="0"/>
          <w:numId w:val="2"/>
        </w:numPr>
        <w:spacing w:after="100"/>
      </w:pPr>
      <w:r>
        <w:rPr>
          <w:sz w:val="21"/>
          <w:szCs w:val="21"/>
        </w:rPr>
        <w:t xml:space="preserve">Recommendation: investigate exception clustering across all three models; consider a stressed VaR overlay or volatility-scaling adjustment to address the independence failure common to all methodologies.</w:t>
      </w:r>
    </w:p>
    <w:p>
      <w:pPr>
        <w:pStyle w:val="ListParagraph"/>
        <w:numPr>
          <w:ilvl w:val="0"/>
          <w:numId w:val="2"/>
        </w:numPr>
        <w:spacing w:after="100"/>
      </w:pPr>
      <w:r>
        <w:rPr>
          <w:sz w:val="21"/>
          <w:szCs w:val="21"/>
        </w:rPr>
        <w:t xml:space="preserve">Recommendation: continue rolling 250-day monitoring given the current Yellow-zone status of two of the three candidate models.</w:t>
      </w:r>
    </w:p>
    <w:p>
      <w:pPr>
        <w:pStyle w:val="Heading1"/>
      </w:pPr>
      <w:r>
        <w:t xml:space="preserve">2. Sample Portfolio &amp; Methodology</w:t>
      </w:r>
    </w:p>
    <w:p>
      <w:pPr>
        <w:pStyle w:val="Heading2"/>
      </w:pPr>
      <w:r>
        <w:t xml:space="preserve">2.1 Portfolio Composition</w:t>
      </w:r>
    </w:p>
    <w:p>
      <w:pPr>
        <w:spacing w:after="160"/>
      </w:pPr>
      <w:r>
        <w:rPr>
          <w:sz w:val="21"/>
          <w:szCs w:val="21"/>
        </w:rPr>
        <w:t xml:space="preserve">A static-weight, multi-asset-class portfolio was used to stress the models across correlated and diversifying exposures (equities, rates, and 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560"/>
        <w:gridCol w:w="2000"/>
      </w:tblGrid>
      <w:tr>
        <w:trPr>
          <w:tblHeader/>
        </w:trPr>
        <w:tc>
          <w:tcPr>
            <w:tcW w:type="dxa" w:w="16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Ticker</w:t>
            </w:r>
          </w:p>
        </w:tc>
        <w:tc>
          <w:tcPr>
            <w:tcW w:type="dxa" w:w="42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Asset Class</w:t>
            </w:r>
          </w:p>
        </w:tc>
        <w:tc>
          <w:tcPr>
            <w:tcW w:type="dxa" w:w="156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Weight</w:t>
            </w:r>
          </w:p>
        </w:tc>
        <w:tc>
          <w:tcPr>
            <w:tcW w:type="dxa" w:w="20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Notional</w:t>
            </w:r>
          </w:p>
        </w:tc>
      </w:tr>
      <w:tr>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SPY</w:t>
            </w:r>
          </w:p>
        </w:tc>
        <w:tc>
          <w:tcPr>
            <w:tcW w:type="dxa" w:w="4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val="false"/>
                <w:bCs w:val="false"/>
                <w:color w:val="000000"/>
                <w:sz w:val="18"/>
                <w:szCs w:val="18"/>
              </w:rPr>
              <w:t xml:space="preserve">US Large-Cap Equity</w:t>
            </w:r>
          </w:p>
        </w:tc>
        <w:tc>
          <w:tcPr>
            <w:tcW w:type="dxa" w:w="15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30%</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$30.00M</w:t>
            </w:r>
          </w:p>
        </w:tc>
      </w:tr>
      <w:tr>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QQQ</w:t>
            </w:r>
          </w:p>
        </w:tc>
        <w:tc>
          <w:tcPr>
            <w:tcW w:type="dxa" w:w="4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val="false"/>
                <w:bCs w:val="false"/>
                <w:color w:val="000000"/>
                <w:sz w:val="18"/>
                <w:szCs w:val="18"/>
              </w:rPr>
              <w:t xml:space="preserve">US Tech Equity</w:t>
            </w:r>
          </w:p>
        </w:tc>
        <w:tc>
          <w:tcPr>
            <w:tcW w:type="dxa" w:w="15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20%</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$20.00M</w:t>
            </w:r>
          </w:p>
        </w:tc>
      </w:tr>
      <w:tr>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TLT</w:t>
            </w:r>
          </w:p>
        </w:tc>
        <w:tc>
          <w:tcPr>
            <w:tcW w:type="dxa" w:w="4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val="false"/>
                <w:bCs w:val="false"/>
                <w:color w:val="000000"/>
                <w:sz w:val="18"/>
                <w:szCs w:val="18"/>
              </w:rPr>
              <w:t xml:space="preserve">20+Y US Treasury</w:t>
            </w:r>
          </w:p>
        </w:tc>
        <w:tc>
          <w:tcPr>
            <w:tcW w:type="dxa" w:w="15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25%</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$25.00M</w:t>
            </w:r>
          </w:p>
        </w:tc>
      </w:tr>
      <w:tr>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GLD</w:t>
            </w:r>
          </w:p>
        </w:tc>
        <w:tc>
          <w:tcPr>
            <w:tcW w:type="dxa" w:w="4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val="false"/>
                <w:bCs w:val="false"/>
                <w:color w:val="000000"/>
                <w:sz w:val="18"/>
                <w:szCs w:val="18"/>
              </w:rPr>
              <w:t xml:space="preserve">Gold</w:t>
            </w:r>
          </w:p>
        </w:tc>
        <w:tc>
          <w:tcPr>
            <w:tcW w:type="dxa" w:w="15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15%</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$15.00M</w:t>
            </w:r>
          </w:p>
        </w:tc>
      </w:tr>
      <w:tr>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EEM</w:t>
            </w:r>
          </w:p>
        </w:tc>
        <w:tc>
          <w:tcPr>
            <w:tcW w:type="dxa" w:w="4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val="false"/>
                <w:bCs w:val="false"/>
                <w:color w:val="000000"/>
                <w:sz w:val="18"/>
                <w:szCs w:val="18"/>
              </w:rPr>
              <w:t xml:space="preserve">Emerging Markets Equity</w:t>
            </w:r>
          </w:p>
        </w:tc>
        <w:tc>
          <w:tcPr>
            <w:tcW w:type="dxa" w:w="15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10%</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$10.00M</w:t>
            </w:r>
          </w:p>
        </w:tc>
      </w:tr>
    </w:tbl>
    <w:p>
      <w:pPr>
        <w:spacing w:before="200"/>
      </w:pPr>
    </w:p>
    <w:p>
      <w:pPr>
        <w:pStyle w:val="Heading2"/>
      </w:pPr>
      <w:r>
        <w:t xml:space="preserve">2.2 VaR &amp; ES Definitions</w:t>
      </w:r>
    </w:p>
    <w:p>
      <w:pPr>
        <w:pStyle w:val="ListParagraph"/>
        <w:numPr>
          <w:ilvl w:val="0"/>
          <w:numId w:val="2"/>
        </w:numPr>
        <w:spacing w:after="100"/>
      </w:pPr>
      <w:r>
        <w:rPr>
          <w:sz w:val="21"/>
          <w:szCs w:val="21"/>
        </w:rPr>
        <w:t xml:space="preserve">VaR (99%, 1-day holding period): the Basel Committee's minimum standard confidence level for internal models backtesting.</w:t>
      </w:r>
    </w:p>
    <w:p>
      <w:pPr>
        <w:pStyle w:val="ListParagraph"/>
        <w:numPr>
          <w:ilvl w:val="0"/>
          <w:numId w:val="2"/>
        </w:numPr>
        <w:spacing w:after="100"/>
      </w:pPr>
      <w:r>
        <w:rPr>
          <w:sz w:val="21"/>
          <w:szCs w:val="21"/>
        </w:rPr>
        <w:t xml:space="preserve">Expected Shortfall (97.5%): the FRTB Internal Models Approach (IMA) standard risk measure, defined as the average loss beyond the 97.5th percentile.</w:t>
      </w:r>
    </w:p>
    <w:p>
      <w:pPr>
        <w:pStyle w:val="ListParagraph"/>
        <w:numPr>
          <w:ilvl w:val="0"/>
          <w:numId w:val="2"/>
        </w:numPr>
        <w:spacing w:after="100"/>
      </w:pPr>
      <w:r>
        <w:rPr>
          <w:sz w:val="21"/>
          <w:szCs w:val="21"/>
        </w:rPr>
        <w:t xml:space="preserve">Estimation window: a trailing 250 trading-day window, rolled forward one day at a time, so every forecast uses only information available before the forecast date (fully out-of-sample).</w:t>
      </w:r>
    </w:p>
    <w:p>
      <w:pPr>
        <w:pStyle w:val="Heading2"/>
      </w:pPr>
      <w:r>
        <w:t xml:space="preserve">2.3 Model Methodologies</w:t>
      </w:r>
    </w:p>
    <w:p>
      <w:pPr>
        <w:pStyle w:val="ListParagraph"/>
        <w:numPr>
          <w:ilvl w:val="0"/>
          <w:numId w:val="2"/>
        </w:numPr>
        <w:spacing w:after="100"/>
      </w:pPr>
      <w:r>
        <w:rPr>
          <w:sz w:val="21"/>
          <w:szCs w:val="21"/>
        </w:rPr>
        <w:t xml:space="preserve">Historical Simulation — the empirical quantile of the trailing 250-day realized portfolio P&amp;L distribution; makes no distributional assumption.</w:t>
      </w:r>
    </w:p>
    <w:p>
      <w:pPr>
        <w:pStyle w:val="ListParagraph"/>
        <w:numPr>
          <w:ilvl w:val="0"/>
          <w:numId w:val="2"/>
        </w:numPr>
        <w:spacing w:after="100"/>
      </w:pPr>
      <w:r>
        <w:rPr>
          <w:sz w:val="21"/>
          <w:szCs w:val="21"/>
        </w:rPr>
        <w:t xml:space="preserve">Parametric (Variance-Covariance) — assumes jointly Normal asset returns; portfolio variance is computed from the trailing sample covariance matrix, and VaR/ES follow in closed form from the Normal quantile and Normal tail-expectation formulas.</w:t>
      </w:r>
    </w:p>
    <w:p>
      <w:pPr>
        <w:pStyle w:val="ListParagraph"/>
        <w:numPr>
          <w:ilvl w:val="0"/>
          <w:numId w:val="2"/>
        </w:numPr>
        <w:spacing w:after="100"/>
      </w:pPr>
      <w:r>
        <w:rPr>
          <w:sz w:val="21"/>
          <w:szCs w:val="21"/>
        </w:rPr>
        <w:t xml:space="preserve">Monte Carlo — 5,000 correlated draws per forecast day from a multivariate Student-t distribution, with degrees of freedom re-estimated each window from the trailing realized kurtosis of portfolio returns. This is designed to capture fat tails that the Normal-based Parametric model misses.</w:t>
      </w:r>
    </w:p>
    <w:p>
      <w:r>
        <w:br w:type="page"/>
      </w:r>
    </w:p>
    <w:p>
      <w:pPr>
        <w:pStyle w:val="Heading1"/>
      </w:pPr>
      <w:r>
        <w:t xml:space="preserve">3. Backtesting Results</w:t>
      </w:r>
    </w:p>
    <w:p>
      <w:pPr>
        <w:pStyle w:val="Heading2"/>
      </w:pPr>
      <w:r>
        <w:t xml:space="preserve">3.1 Full-Sample Statistical Tests</w:t>
      </w:r>
    </w:p>
    <w:p>
      <w:pPr>
        <w:spacing w:after="160"/>
      </w:pPr>
      <w:r>
        <w:rPr>
          <w:sz w:val="21"/>
          <w:szCs w:val="21"/>
        </w:rPr>
        <w:t xml:space="preserve">The Kupiec proportion-of-failures (POF) test checks whether the observed exception rate is statistically consistent with the model's stated confidence level (unconditional coverage). The Christoffersen independence test checks whether exceptions are serially independent, rather than clustering in time — a model can pass Kupiec yet still fail independence if breaches bunch up during stress periods. Conditional coverage combines both tests. All tests are evaluated at 95% significance (critical values: χ²₁ = 3.84 for Kupiec and independence, χ²₂ = 5.99 for conditional coverage).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100"/>
        <w:gridCol w:w="1100"/>
        <w:gridCol w:w="1200"/>
        <w:gridCol w:w="1260"/>
        <w:gridCol w:w="1200"/>
      </w:tblGrid>
      <w:tr>
        <w:trPr>
          <w:tblHeader/>
        </w:trPr>
        <w:tc>
          <w:tcPr>
            <w:tcW w:type="dxa" w:w="22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Model</w:t>
            </w:r>
          </w:p>
        </w:tc>
        <w:tc>
          <w:tcPr>
            <w:tcW w:type="dxa" w:w="12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Exceptions</w:t>
            </w:r>
          </w:p>
        </w:tc>
        <w:tc>
          <w:tcPr>
            <w:tcW w:type="dxa" w:w="11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Rate</w:t>
            </w:r>
          </w:p>
        </w:tc>
        <w:tc>
          <w:tcPr>
            <w:tcW w:type="dxa" w:w="11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Kupiec LR</w:t>
            </w:r>
          </w:p>
        </w:tc>
        <w:tc>
          <w:tcPr>
            <w:tcW w:type="dxa" w:w="11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Kupiec</w:t>
            </w:r>
          </w:p>
        </w:tc>
        <w:tc>
          <w:tcPr>
            <w:tcW w:type="dxa" w:w="12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Christ. LR</w:t>
            </w:r>
          </w:p>
        </w:tc>
        <w:tc>
          <w:tcPr>
            <w:tcW w:type="dxa" w:w="126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Independence</w:t>
            </w:r>
          </w:p>
        </w:tc>
        <w:tc>
          <w:tcPr>
            <w:tcW w:type="dxa" w:w="12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Cond. Cov.</w:t>
            </w:r>
          </w:p>
        </w:tc>
      </w:tr>
      <w:tr>
        <w:tc>
          <w:tcPr>
            <w:tcW w:type="dxa" w:w="2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Historical Simulation</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33/2892</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1.14%</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0.56</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1B7A4A"/>
                <w:sz w:val="18"/>
                <w:szCs w:val="18"/>
              </w:rPr>
              <w:t xml:space="preserve">PASS</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24.04</w:t>
            </w:r>
          </w:p>
        </w:tc>
        <w:tc>
          <w:tcPr>
            <w:tcW w:type="dxa" w:w="12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B3261E"/>
                <w:sz w:val="18"/>
                <w:szCs w:val="18"/>
              </w:rPr>
              <w:t xml:space="preserve">FAIL</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B3261E"/>
                <w:sz w:val="18"/>
                <w:szCs w:val="18"/>
              </w:rPr>
              <w:t xml:space="preserve">FAIL</w:t>
            </w:r>
          </w:p>
        </w:tc>
      </w:tr>
      <w:tr>
        <w:tc>
          <w:tcPr>
            <w:tcW w:type="dxa" w:w="2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Parametric (Var-Cov)</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69/2892</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2.39%</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40.40</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B3261E"/>
                <w:sz w:val="18"/>
                <w:szCs w:val="18"/>
              </w:rPr>
              <w:t xml:space="preserve">FAIL</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13.84</w:t>
            </w:r>
          </w:p>
        </w:tc>
        <w:tc>
          <w:tcPr>
            <w:tcW w:type="dxa" w:w="12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B3261E"/>
                <w:sz w:val="18"/>
                <w:szCs w:val="18"/>
              </w:rPr>
              <w:t xml:space="preserve">FAIL</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B3261E"/>
                <w:sz w:val="18"/>
                <w:szCs w:val="18"/>
              </w:rPr>
              <w:t xml:space="preserve">FAIL</w:t>
            </w:r>
          </w:p>
        </w:tc>
      </w:tr>
      <w:tr>
        <w:tc>
          <w:tcPr>
            <w:tcW w:type="dxa" w:w="2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Monte Carlo (Student-t)</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55/2892</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1.90%</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18.79</w:t>
            </w:r>
          </w:p>
        </w:tc>
        <w:tc>
          <w:tcPr>
            <w:tcW w:type="dxa" w:w="11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B3261E"/>
                <w:sz w:val="18"/>
                <w:szCs w:val="18"/>
              </w:rPr>
              <w:t xml:space="preserve">FAIL</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16.08</w:t>
            </w:r>
          </w:p>
        </w:tc>
        <w:tc>
          <w:tcPr>
            <w:tcW w:type="dxa" w:w="12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B3261E"/>
                <w:sz w:val="18"/>
                <w:szCs w:val="18"/>
              </w:rPr>
              <w:t xml:space="preserve">FAIL</w:t>
            </w:r>
          </w:p>
        </w:tc>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B3261E"/>
                <w:sz w:val="18"/>
                <w:szCs w:val="18"/>
              </w:rPr>
              <w:t xml:space="preserve">FAIL</w:t>
            </w:r>
          </w:p>
        </w:tc>
      </w:tr>
    </w:tbl>
    <w:p>
      <w:pPr>
        <w:spacing w:before="200"/>
      </w:pPr>
    </w:p>
    <w:p>
      <w:pPr>
        <w:spacing w:after="160"/>
      </w:pPr>
      <w:r>
        <w:rPr>
          <w:sz w:val="21"/>
          <w:szCs w:val="21"/>
        </w:rPr>
        <w:t xml:space="preserve">Historical Simulation is the only model to pass Kupiec (LR = 0.56, p = 0.456), with an exception rate of 1.14% versus an expected 1.00%. The Parametric model's exception rate of 2.39% — more than double the expected rate — is a clear indication that its Normal-distribution assumption underestimates the true frequency of tail losses. All three models fail the Christoffersen independence test, confirming that exceptions are not arriving randomly but are concentrated in specific volatility regimes.</w:t>
      </w:r>
    </w:p>
    <w:p>
      <w:pPr>
        <w:pStyle w:val="Heading2"/>
      </w:pPr>
      <w:r>
        <w:t xml:space="preserve">3.2 Exceptions by Calendar Year</w:t>
      </w:r>
    </w:p>
    <w:p>
      <w:pPr>
        <w:spacing w:after="160"/>
      </w:pPr>
      <w:r>
        <w:rPr>
          <w:sz w:val="21"/>
          <w:szCs w:val="21"/>
        </w:rPr>
        <w:t xml:space="preserve">Annual exception counts show where each model's coverage broke down. Counts shown in red indicate the year individually fails the Kupiec test.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tblGrid>
      <w:tr>
        <w:trPr>
          <w:tblHeader/>
        </w:trPr>
        <w:tc>
          <w:tcPr>
            <w:tcW w:type="dxa" w:w="12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Year</w:t>
            </w:r>
          </w:p>
        </w:tc>
        <w:tc>
          <w:tcPr>
            <w:tcW w:type="dxa" w:w="16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HS Exc.</w:t>
            </w:r>
          </w:p>
        </w:tc>
        <w:tc>
          <w:tcPr>
            <w:tcW w:type="dxa" w:w="16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Param Exc.</w:t>
            </w:r>
          </w:p>
        </w:tc>
        <w:tc>
          <w:tcPr>
            <w:tcW w:type="dxa" w:w="16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MC Exc.</w:t>
            </w:r>
          </w:p>
        </w:tc>
        <w:tc>
          <w:tcPr>
            <w:tcW w:type="dxa" w:w="16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Trading Days</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2015</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5</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6</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6</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252</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2016</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1</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3</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1</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252</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2017</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0</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1</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251</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2018</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5</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13</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9</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251</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2019</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0</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1</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0</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252</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2020</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8</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9</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8</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253</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2021</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0</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1</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252</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2022</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7</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16</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13</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251</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2023</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0</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0</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0</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250</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2024</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3</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5</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5</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252</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2025</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3</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5</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5</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250</w:t>
            </w:r>
          </w:p>
        </w:tc>
      </w:tr>
      <w:tr>
        <w:tc>
          <w:tcPr>
            <w:tcW w:type="dxa" w:w="1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000000"/>
                <w:sz w:val="18"/>
                <w:szCs w:val="18"/>
              </w:rPr>
              <w:t xml:space="preserve">2026</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1</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7</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B3261E"/>
                <w:sz w:val="18"/>
                <w:szCs w:val="18"/>
              </w:rPr>
              <w:t xml:space="preserve">6</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125</w:t>
            </w:r>
          </w:p>
        </w:tc>
      </w:tr>
    </w:tbl>
    <w:p>
      <w:pPr>
        <w:spacing w:before="200"/>
      </w:pPr>
    </w:p>
    <w:p>
      <w:pPr>
        <w:spacing w:after="160"/>
      </w:pPr>
      <w:r>
        <w:rPr>
          <w:sz w:val="21"/>
          <w:szCs w:val="21"/>
        </w:rPr>
        <w:t xml:space="preserve">The Parametric and Monte Carlo models both show severe breakdowns in 2018 (13 and 9 exceptions respectively, versus 5 for Historical Simulation) and 2022 (16 and 13 exceptions, versus 7 for Historical Simulation) — both years in which equities and rates sold off together, a correlation regime the trailing covariance matrix estimated in the preceding calm period failed to anticipate. This is a textbook illustration of parametric model risk: covariance estimated in a low-volatility regime systematically understates risk once correlations shift in a stress event.</w:t>
      </w:r>
    </w:p>
    <w:p>
      <w:r>
        <w:br w:type="page"/>
      </w:r>
    </w:p>
    <w:p>
      <w:pPr>
        <w:pStyle w:val="Heading1"/>
      </w:pPr>
      <w:r>
        <w:t xml:space="preserve">4. Basel Traffic-Light Framework</w:t>
      </w:r>
    </w:p>
    <w:p>
      <w:pPr>
        <w:spacing w:after="160"/>
      </w:pPr>
      <w:r>
        <w:rPr>
          <w:sz w:val="21"/>
          <w:szCs w:val="21"/>
        </w:rPr>
        <w:t xml:space="preserve">The Basel traffic-light framework classifies a model's regulatory standing based on the number of 99% VaR exceptions observed in the trailing 250 trading days: Green (0-4 exceptions, model consistent with 99% confidence), Yellow (5-9 exceptions, triggers a capital multiplier add-on and supervisory scrutiny), or Red (10+ exceptions, model presumed inaccurate and subject to remediation).</w:t>
      </w:r>
    </w:p>
    <w:p>
      <w:pPr>
        <w:pStyle w:val="Heading2"/>
      </w:pPr>
      <w:r>
        <w:t xml:space="preserve">4.1 Current Zone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Model</w:t>
            </w:r>
          </w:p>
        </w:tc>
        <w:tc>
          <w:tcPr>
            <w:tcW w:type="dxa" w:w="20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Exceptions / 250d</w:t>
            </w:r>
          </w:p>
        </w:tc>
        <w:tc>
          <w:tcPr>
            <w:tcW w:type="dxa" w:w="20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Zone</w:t>
            </w:r>
          </w:p>
        </w:tc>
        <w:tc>
          <w:tcPr>
            <w:tcW w:type="dxa" w:w="216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Add-on Multiplier</w:t>
            </w:r>
          </w:p>
        </w:tc>
      </w:tr>
      <w:tr>
        <w:tc>
          <w:tcPr>
            <w:tcW w:type="dxa" w:w="3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Historical Simulation</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1</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1B7A4A"/>
                <w:sz w:val="18"/>
                <w:szCs w:val="18"/>
              </w:rPr>
              <w:t xml:space="preserve">GREEN</w:t>
            </w:r>
          </w:p>
        </w:tc>
        <w:tc>
          <w:tcPr>
            <w:tcW w:type="dxa" w:w="21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0.00</w:t>
            </w:r>
          </w:p>
        </w:tc>
      </w:tr>
      <w:tr>
        <w:tc>
          <w:tcPr>
            <w:tcW w:type="dxa" w:w="3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Parametric (Var-Cov)</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7</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9A6B00"/>
                <w:sz w:val="18"/>
                <w:szCs w:val="18"/>
              </w:rPr>
              <w:t xml:space="preserve">YELLOW</w:t>
            </w:r>
          </w:p>
        </w:tc>
        <w:tc>
          <w:tcPr>
            <w:tcW w:type="dxa" w:w="21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0.65</w:t>
            </w:r>
          </w:p>
        </w:tc>
      </w:tr>
      <w:tr>
        <w:tc>
          <w:tcPr>
            <w:tcW w:type="dxa" w:w="32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Monte Carlo (Student-t)</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6</w:t>
            </w:r>
          </w:p>
        </w:tc>
        <w:tc>
          <w:tcPr>
            <w:tcW w:type="dxa" w:w="20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bCs/>
                <w:color w:val="9A6B00"/>
                <w:sz w:val="18"/>
                <w:szCs w:val="18"/>
              </w:rPr>
              <w:t xml:space="preserve">YELLOW</w:t>
            </w:r>
          </w:p>
        </w:tc>
        <w:tc>
          <w:tcPr>
            <w:tcW w:type="dxa" w:w="21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center"/>
            </w:pPr>
            <w:r>
              <w:rPr>
                <w:b w:val="false"/>
                <w:bCs w:val="false"/>
                <w:color w:val="000000"/>
                <w:sz w:val="18"/>
                <w:szCs w:val="18"/>
              </w:rPr>
              <w:t xml:space="preserve">0.50</w:t>
            </w:r>
          </w:p>
        </w:tc>
      </w:tr>
    </w:tbl>
    <w:p>
      <w:pPr>
        <w:spacing w:before="200"/>
      </w:pPr>
    </w:p>
    <w:p>
      <w:pPr>
        <w:spacing w:after="160"/>
      </w:pPr>
      <w:r>
        <w:rPr>
          <w:sz w:val="21"/>
          <w:szCs w:val="21"/>
        </w:rPr>
        <w:t xml:space="preserve">Two of the three candidate models — Parametric and Monte Carlo — currently sit in the Yellow zone, which would require a capital multiplier add-on if either were used for regulatory capital, and would trigger a formal conversation with the trading desk and regulator under Basel rules. Historical Simulation remains in the Green zone, reinforcing its position as the preferred champion model for this portfolio.</w:t>
      </w:r>
    </w:p>
    <w:p>
      <w:pPr>
        <w:pStyle w:val="Heading1"/>
      </w:pPr>
      <w:r>
        <w:t xml:space="preserve">5. Champion vs. Challenger Analysis</w:t>
      </w:r>
    </w:p>
    <w:p>
      <w:pPr>
        <w:spacing w:after="160"/>
      </w:pPr>
      <w:r>
        <w:rPr>
          <w:sz w:val="21"/>
          <w:szCs w:val="21"/>
        </w:rPr>
        <w:t xml:space="preserve">Historical Simulation is designated the champion model — the assumption-free default typically preferred by Model Risk functions absent a specific reason to prefer a parametric approach. Parametric and Monte Carlo are evaluated as challengers, with days flagged where a challenger's VaR estimate diverges from the champion's by more than 20% in relative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50"/>
        <w:gridCol w:w="1550"/>
        <w:gridCol w:w="2160"/>
      </w:tblGrid>
      <w:tr>
        <w:trPr>
          <w:tblHeader/>
        </w:trPr>
        <w:tc>
          <w:tcPr>
            <w:tcW w:type="dxa" w:w="24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Challenger</w:t>
            </w:r>
          </w:p>
        </w:tc>
        <w:tc>
          <w:tcPr>
            <w:tcW w:type="dxa" w:w="160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 Days Flagged</w:t>
            </w:r>
          </w:p>
        </w:tc>
        <w:tc>
          <w:tcPr>
            <w:tcW w:type="dxa" w:w="165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Mean Diff</w:t>
            </w:r>
          </w:p>
        </w:tc>
        <w:tc>
          <w:tcPr>
            <w:tcW w:type="dxa" w:w="155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Mean |Diff|</w:t>
            </w:r>
          </w:p>
        </w:tc>
        <w:tc>
          <w:tcPr>
            <w:tcW w:type="dxa" w:w="2160"/>
            <w:tcBorders>
              <w:top w:val="single" w:color="CBD3E1" w:sz="2"/>
              <w:left w:val="single" w:color="CBD3E1" w:sz="2"/>
              <w:bottom w:val="single" w:color="CBD3E1" w:sz="2"/>
              <w:right w:val="single" w:color="CBD3E1" w:sz="2"/>
            </w:tcBorders>
            <w:shd w:fill="16213E" w:val="clear"/>
            <w:tcMar>
              <w:top w:type="dxa" w:w="60"/>
              <w:left w:type="dxa" w:w="100"/>
              <w:bottom w:type="dxa" w:w="60"/>
              <w:right w:type="dxa" w:w="100"/>
            </w:tcMar>
          </w:tcPr>
          <w:p>
            <w:pPr>
              <w:jc w:val="left"/>
            </w:pPr>
            <w:r>
              <w:rPr>
                <w:b/>
                <w:bCs/>
                <w:color w:val="FFFFFF"/>
                <w:sz w:val="18"/>
                <w:szCs w:val="18"/>
              </w:rPr>
              <w:t xml:space="preserve">Corr. to Champion</w:t>
            </w:r>
          </w:p>
        </w:tc>
      </w:tr>
      <w:tr>
        <w:tc>
          <w:tcPr>
            <w:tcW w:type="dxa" w:w="24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Parametric (Var-Cov)</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45.1%</w:t>
            </w:r>
          </w:p>
        </w:tc>
        <w:tc>
          <w:tcPr>
            <w:tcW w:type="dxa" w:w="165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-19.6%</w:t>
            </w:r>
          </w:p>
        </w:tc>
        <w:tc>
          <w:tcPr>
            <w:tcW w:type="dxa" w:w="155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20.0%</w:t>
            </w:r>
          </w:p>
        </w:tc>
        <w:tc>
          <w:tcPr>
            <w:tcW w:type="dxa" w:w="21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0.885</w:t>
            </w:r>
          </w:p>
        </w:tc>
      </w:tr>
      <w:tr>
        <w:tc>
          <w:tcPr>
            <w:tcW w:type="dxa" w:w="24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left"/>
            </w:pPr>
            <w:r>
              <w:rPr>
                <w:b/>
                <w:bCs/>
                <w:color w:val="000000"/>
                <w:sz w:val="18"/>
                <w:szCs w:val="18"/>
              </w:rPr>
              <w:t xml:space="preserve">Monte Carlo (Student-t)</w:t>
            </w:r>
          </w:p>
        </w:tc>
        <w:tc>
          <w:tcPr>
            <w:tcW w:type="dxa" w:w="160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29.8%</w:t>
            </w:r>
          </w:p>
        </w:tc>
        <w:tc>
          <w:tcPr>
            <w:tcW w:type="dxa" w:w="165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-13.2%</w:t>
            </w:r>
          </w:p>
        </w:tc>
        <w:tc>
          <w:tcPr>
            <w:tcW w:type="dxa" w:w="155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15.3%</w:t>
            </w:r>
          </w:p>
        </w:tc>
        <w:tc>
          <w:tcPr>
            <w:tcW w:type="dxa" w:w="2160"/>
            <w:tcBorders>
              <w:top w:val="single" w:color="CBD3E1" w:sz="2"/>
              <w:left w:val="single" w:color="CBD3E1" w:sz="2"/>
              <w:bottom w:val="single" w:color="CBD3E1" w:sz="2"/>
              <w:right w:val="single" w:color="CBD3E1" w:sz="2"/>
            </w:tcBorders>
            <w:tcMar>
              <w:top w:type="dxa" w:w="60"/>
              <w:left w:type="dxa" w:w="100"/>
              <w:bottom w:type="dxa" w:w="60"/>
              <w:right w:type="dxa" w:w="100"/>
            </w:tcMar>
          </w:tcPr>
          <w:p>
            <w:pPr>
              <w:jc w:val="right"/>
            </w:pPr>
            <w:r>
              <w:rPr>
                <w:b w:val="false"/>
                <w:bCs w:val="false"/>
                <w:color w:val="000000"/>
                <w:sz w:val="18"/>
                <w:szCs w:val="18"/>
              </w:rPr>
              <w:t xml:space="preserve">0.905</w:t>
            </w:r>
          </w:p>
        </w:tc>
      </w:tr>
    </w:tbl>
    <w:p>
      <w:pPr>
        <w:spacing w:before="200"/>
      </w:pPr>
    </w:p>
    <w:p>
      <w:pPr>
        <w:spacing w:after="160"/>
      </w:pPr>
      <w:r>
        <w:rPr>
          <w:sz w:val="21"/>
          <w:szCs w:val="21"/>
        </w:rPr>
        <w:t xml:space="preserve">The Parametric model diverges materially from the champion on 45% of trading days, with an average divergence of -19.6% — consistently below the champion, meaning it is systematically the more permissive (lower) VaR estimate. This directionally-biased divergence, combined with its weaker backtesting performance, is a red flag: a challenger model that is both more optimistic and less accurate than the champion should not be relied upon for capital adequacy. The Monte Carlo model diverges less frequently (30% of days) and tracks the champion more closely (correlation 0.905 vs. 0.885 for Parametric), consistent with its fat-tailed Student-t design partially correcting for the Normal assumption's shortcomings.</w:t>
      </w:r>
    </w:p>
    <w:p>
      <w:r>
        <w:br w:type="page"/>
      </w:r>
    </w:p>
    <w:p>
      <w:pPr>
        <w:pStyle w:val="Heading1"/>
      </w:pPr>
      <w:r>
        <w:t xml:space="preserve">6. Performance Drift &amp; Ongoing Monitoring</w:t>
      </w:r>
    </w:p>
    <w:p>
      <w:pPr>
        <w:spacing w:after="160"/>
      </w:pPr>
      <w:r>
        <w:rPr>
          <w:sz w:val="21"/>
          <w:szCs w:val="21"/>
        </w:rPr>
        <w:t xml:space="preserve">Rolling 250-day exception rates and a risk-calibration ratio (trailing 60-day realized P&amp;L volatility divided by each model's VaR-implied volatility) were tracked across the full sample to detect gradual model drift rather than relying solely on point-in-time statistics.</w:t>
      </w:r>
    </w:p>
    <w:p>
      <w:pPr>
        <w:pStyle w:val="ListParagraph"/>
        <w:numPr>
          <w:ilvl w:val="0"/>
          <w:numId w:val="2"/>
        </w:numPr>
        <w:spacing w:after="100"/>
      </w:pPr>
      <w:r>
        <w:rPr>
          <w:sz w:val="21"/>
          <w:szCs w:val="21"/>
        </w:rPr>
        <w:t xml:space="preserve">Rolling breach rates for all three models spike sharply around known stress events (2018, March 2020, 2022) and revert toward the 1% expected rate in calmer periods — consistent with volatility clustering rather than a persistent, structural miscalibration in any single model.</w:t>
      </w:r>
    </w:p>
    <w:p>
      <w:pPr>
        <w:pStyle w:val="ListParagraph"/>
        <w:numPr>
          <w:ilvl w:val="0"/>
          <w:numId w:val="2"/>
        </w:numPr>
        <w:spacing w:after="100"/>
      </w:pPr>
      <w:r>
        <w:rPr>
          <w:sz w:val="21"/>
          <w:szCs w:val="21"/>
        </w:rPr>
        <w:t xml:space="preserve">The calibration ratio (realized vol ÷ VaR-implied vol) for the Parametric model shows the largest and most frequent excursions above 1.0, meaning realized risk repeatedly ran hotter than the model predicted — the practical, ongoing manifestation of its weak backtesting results.</w:t>
      </w:r>
    </w:p>
    <w:p>
      <w:pPr>
        <w:pStyle w:val="ListParagraph"/>
        <w:numPr>
          <w:ilvl w:val="0"/>
          <w:numId w:val="2"/>
        </w:numPr>
        <w:spacing w:after="100"/>
      </w:pPr>
      <w:r>
        <w:rPr>
          <w:sz w:val="21"/>
          <w:szCs w:val="21"/>
        </w:rPr>
        <w:t xml:space="preserve">Historical Simulation's calibration ratio is the most stable of the three, though it still shows brief excursions above 1.0 during the fastest-moving drawdowns (e.g. March 2020), where even a 250-day empirical window lags a sudden regime shift.</w:t>
      </w:r>
    </w:p>
    <w:p>
      <w:pPr>
        <w:spacing w:after="160"/>
      </w:pPr>
      <w:r>
        <w:rPr>
          <w:sz w:val="21"/>
          <w:szCs w:val="21"/>
        </w:rPr>
        <w:t xml:space="preserve">Given the current Yellow-zone status of two of the three models, continued daily monitoring of rolling breach rates is warranted, with a formal recalibration review triggered if any model's trailing 250-day count reaches the Red zone threshold (10 exceptions) or if the calibration ratio remains above 1.2 for more than 20 consecutive trading days.</w:t>
      </w:r>
    </w:p>
    <w:p>
      <w:pPr>
        <w:pStyle w:val="Heading1"/>
      </w:pPr>
      <w:r>
        <w:t xml:space="preserve">7. Conclusions</w:t>
      </w:r>
    </w:p>
    <w:p>
      <w:pPr>
        <w:spacing w:after="160"/>
      </w:pPr>
      <w:r>
        <w:rPr>
          <w:sz w:val="21"/>
          <w:szCs w:val="21"/>
        </w:rPr>
        <w:t xml:space="preserve">This validation exercise reproduces, on a realistic multi-asset portfolio and eleven years of real market data, the central lesson of post-2008 model risk practice: no single VaR methodology is unconditionally reliable, and backtesting must examine both the rate and the timing of exceptions. Historical Simulation is recommended as the champion model based on superior unconditional coverage, but its failure of the independence test — shared by all three models — means exception clustering during stress periods remains an open model risk that no single point-in-time capital calculation fully resolves.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6"/>
        <w:szCs w:val="16"/>
      </w:rPr>
      <w:t xml:space="preserve">Page </w:t>
    </w:r>
    <w:r>
      <w:rPr>
        <w:color w:val="5B6B85"/>
        <w:sz w:val="16"/>
        <w:szCs w:val="16"/>
      </w:rPr>
      <w:fldChar w:fldCharType="begin"/>
      <w:instrText xml:space="preserve">PAGE</w:instrText>
      <w:fldChar w:fldCharType="separate"/>
      <w:fldChar w:fldCharType="end"/>
    </w:r>
    <w:r>
      <w:rPr>
        <w:color w:val="5B6B85"/>
        <w:sz w:val="16"/>
        <w:szCs w:val="16"/>
      </w:rPr>
      <w:t xml:space="preserve"> of </w:t>
    </w:r>
    <w:r>
      <w:rPr>
        <w:color w:val="5B6B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5"/>
        <w:sz w:val="16"/>
        <w:szCs w:val="16"/>
      </w:rPr>
      <w:t xml:space="preserve">Model Risk — VaR/ES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213E" w:sz="6" w:space="4"/>
      </w:pBdr>
      <w:spacing w:after="160" w:before="320"/>
      <w:outlineLvl w:val="0"/>
    </w:pPr>
    <w:rPr>
      <w:rFonts w:ascii="Calibri" w:cs="Calibri" w:eastAsia="Calibri" w:hAnsi="Calibri"/>
      <w:b/>
      <w:bCs/>
      <w:color w:val="16213E"/>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6213E"/>
      <w:sz w:val="24"/>
      <w:szCs w:val="24"/>
    </w:rPr>
  </w:style>
  <w:style w:type="paragraph" w:styleId="Title">
    <w:name w:val="Title"/>
    <w:basedOn w:val="Normal"/>
    <w:next w:val="Normal"/>
    <w:pPr>
      <w:spacing w:after="120"/>
    </w:pPr>
    <w:rPr>
      <w:rFonts w:ascii="Calibri" w:cs="Calibri" w:eastAsia="Calibri" w:hAnsi="Calibri"/>
      <w:b/>
      <w:bCs/>
      <w:color w:val="16213E"/>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2026-07-04T11:47:22.697Z</dcterms:created>
  <dcterms:modified xsi:type="dcterms:W3CDTF">2026-07-04T11:47:22.697Z</dcterms:modified>
</cp:coreProperties>
</file>

<file path=docProps/custom.xml><?xml version="1.0" encoding="utf-8"?>
<Properties xmlns="http://schemas.openxmlformats.org/officeDocument/2006/custom-properties" xmlns:vt="http://schemas.openxmlformats.org/officeDocument/2006/docPropsVTypes"/>
</file>