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Гурбанов Рахман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А2218692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23.08.2023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