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09.04.2024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Джумагелдиев Батыр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Джумагелдиев Батыр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09.04.2024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Джумагелдиев Батыр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А1999951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23.12.2022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Джумагелдиев Батыр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