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Harsh Ganesh Jaisingpure</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282061</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B3</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4F">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