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317BF">
      <w:pPr>
        <w:pStyle w:val="4"/>
        <w:bidi w:val="0"/>
        <w:rPr>
          <w:rFonts w:hint="eastAsia"/>
          <w:lang w:val="en-US" w:eastAsia="zh-CN"/>
        </w:rPr>
      </w:pPr>
      <w:r>
        <w:rPr>
          <w:rFonts w:hint="eastAsia"/>
          <w:lang w:val="en-US" w:eastAsia="zh-CN"/>
        </w:rPr>
        <w:t>Beyond Majority Vote: Improving Per-Requirement Quality Assessment via Good Outlier Recognition and Roundtable Consensus</w:t>
      </w:r>
    </w:p>
    <w:p w14:paraId="18F6F7F5">
      <w:pPr>
        <w:rPr>
          <w:rFonts w:hint="eastAsia"/>
          <w:lang w:val="en-US" w:eastAsia="zh-CN"/>
        </w:rPr>
      </w:pPr>
    </w:p>
    <w:p w14:paraId="7795A48C">
      <w:pPr>
        <w:pStyle w:val="3"/>
        <w:bidi w:val="0"/>
        <w:rPr>
          <w:rFonts w:hint="eastAsia"/>
          <w:lang w:val="en-US" w:eastAsia="zh-CN"/>
        </w:rPr>
      </w:pPr>
      <w:r>
        <w:rPr>
          <w:rFonts w:hint="eastAsia"/>
          <w:lang w:val="en-US" w:eastAsia="zh-CN"/>
        </w:rPr>
        <w:t>Abstract</w:t>
      </w:r>
    </w:p>
    <w:p w14:paraId="72A78F0A">
      <w:pPr>
        <w:rPr>
          <w:rFonts w:hint="eastAsia"/>
          <w:lang w:val="en-US" w:eastAsia="zh-CN"/>
        </w:rPr>
      </w:pPr>
      <w:r>
        <w:rPr>
          <w:rFonts w:hint="eastAsia"/>
          <w:lang w:val="en-US" w:eastAsia="zh-CN"/>
        </w:rPr>
        <w:t>在软件工程生命周期中，需求规格说明书的高质量评估对系统成败至关重要。尽管大语言模型（LLM）在自动化需求审查中展现出巨大潜力，但现有的多智能体协作方法普遍陷入“趋同即正确”的共识谬误（Consensus Fallacy）。这种基于多数表决或均值聚合的机制，极易抹杀那些能够揭示深层缺陷、具有极高审查价值的少数派意见（即离群点）。为打破这一局限，本文提出了一种面向逐条需求（per-requirement）质量评估的“离群感知多 LLM 协作工作流”。该框架要求异</w:t>
      </w:r>
      <w:bookmarkStart w:id="23" w:name="_GoBack"/>
      <w:bookmarkEnd w:id="23"/>
      <w:r>
        <w:rPr>
          <w:rFonts w:hint="eastAsia"/>
          <w:lang w:val="en-US" w:eastAsia="zh-CN"/>
        </w:rPr>
        <w:t>构模型在四个核心质量维度（可理解性、无歧义性、正确性、可验证性）上独立输出结构化评审；随后引入六维论证质量向量，从文本逻辑层面精准甄别“好离群”与“坏离群”。在此基础上，本研究采用贝叶斯启发式的定权策略，将模型捕捉高价值离群的真实表现转化为静态画像权重，并在条目级多轮圆桌共识中融合该固定权重与模型的动态置信度。我们在真实的公共需求数据集（PURE）上，使用 5 款主流异构 LLM 开展了严密的实证研究。结果表明，多 LLM 在需求质量（尤其是可验证性）判断上存在显著的结构性分歧；所提框架能够有效穿透数值偏差，精准阻断缺乏依据的模型幻觉，同时系统性地放大具备深度逻辑发现能力的少数派洞见。相较于单模型与等权聚合基线，该方法在不追求绝对评分一致的前提下，大幅压缩了冗余候选缺陷，生成了集合高度稳定、精确率更高且具备强工程可操作性的团队级问题清单，为自动化需求质量保证提供了一种打破多数表决范式的全新路径。</w:t>
      </w:r>
    </w:p>
    <w:p w14:paraId="2610A237">
      <w:pPr>
        <w:pStyle w:val="3"/>
        <w:bidi w:val="0"/>
        <w:rPr>
          <w:rFonts w:hint="eastAsia"/>
          <w:lang w:val="en-US" w:eastAsia="zh-CN"/>
        </w:rPr>
      </w:pPr>
      <w:r>
        <w:rPr>
          <w:rFonts w:hint="eastAsia"/>
          <w:lang w:val="en-US" w:eastAsia="zh-CN"/>
        </w:rPr>
        <w:t>1 Introduction</w:t>
      </w:r>
    </w:p>
    <w:p w14:paraId="4ABEF2F0">
      <w:pPr>
        <w:rPr>
          <w:rFonts w:hint="eastAsia"/>
          <w:lang w:val="en-US" w:eastAsia="zh-CN"/>
        </w:rPr>
      </w:pPr>
      <w:r>
        <w:rPr>
          <w:rFonts w:hint="eastAsia"/>
          <w:lang w:val="en-US" w:eastAsia="zh-CN"/>
        </w:rPr>
        <w:t>在现代软件工程生命周期中，软件需求规格说明书（Software Requirements Specification, SRS）的质量直接决定了后续架构设计、编码实现与系统测试的成败。传统的需求质量保证主要依赖领域专家的专家评审或基于规则的静态分析（如需求坏味道 smell 检测），这些方法不仅耗时耗力，且难以深入理解复杂的自然语言语义边界。近年来，随着大语言模型（LLMs）在自然语言处理与推理任务上展现出卓越的能力，研究者开始广泛探索将 LLM 应用于需求工程（RE）领域，以期实现自动化的需求起草、缺陷分类与质量审查。</w:t>
      </w:r>
    </w:p>
    <w:p w14:paraId="79EBF361">
      <w:pPr>
        <w:rPr>
          <w:rFonts w:hint="eastAsia"/>
          <w:lang w:val="en-US" w:eastAsia="zh-CN"/>
        </w:rPr>
      </w:pPr>
      <w:r>
        <w:rPr>
          <w:rFonts w:hint="eastAsia"/>
          <w:lang w:val="en-US" w:eastAsia="zh-CN"/>
        </w:rPr>
        <w:t>尽管单一 LLM（LLM-as-a-Judge）在需求质量评估中表现出巨大的潜力，但受限于固有偏置、不可解释的内部逻辑以及偶发的“幻觉”现象，单模型评审在面对复杂工业需求时往往难以提供鲁棒的诊断结论。为此，研究前沿逐渐转向多智能体协作（Multi-Agent Collaboration）与共识机制，期望通过引入多个异构大语言模型进行交叉验证或辩论，以弥补单一模型的认知盲区。然而，现有的多模型集成方法（如多数表决、简单均值聚合，或单纯追求最终输出一致的多轮圆桌讨论）普遍隐式地依赖于一个假设：“趋同即正确”（Consensus Fallacy）。在高度主观且依赖深度逻辑推演的需求质量评审中，这一假设存在致命缺陷。当某个模型的评分严重偏离群体中位数（即触发“离群事件”）时，这并不意味着该模型必然发生了错误。这种偏离既可能是由于幻觉或证据薄弱导致的“坏离群（Bad Outlier）”，也极可能是因为该模型敏锐地捕获了多数模型忽略的隐蔽缺陷，并能提供严密逻辑支撑的“好离群（Good Outlier）”。简单地向多数派或中位数收敛，极易抹杀这些具有极高工程审查价值的少数派洞见。</w:t>
      </w:r>
    </w:p>
    <w:p w14:paraId="27D5EA07">
      <w:pPr>
        <w:rPr>
          <w:rFonts w:hint="eastAsia"/>
          <w:lang w:val="en-US" w:eastAsia="zh-CN"/>
        </w:rPr>
      </w:pPr>
      <w:r>
        <w:rPr>
          <w:rFonts w:hint="eastAsia"/>
          <w:lang w:val="en-US" w:eastAsia="zh-CN"/>
        </w:rPr>
        <w:t>为了打破多模型需求评审中的“共识谬误”，本文提出了一种面向逐条需求（per-requirement）的“离群感知多 LLM 协作工作流”（Outlier-aware Consensus Workflow）。我们的核心理念是不将多模型间的分歧直接视为需要滤除的随机噪声，而是将其转化为驱动高质量评审的结构化可靠性证据。具体而言，该框架要求异构模型针对需求的可理解性（U）、无歧义性（A）、正确性（C）与可验证性（V）进行独立评分并输出证据与改写建议；随后，框架以中位数为基准自动预筛离群事件，并首创性地引入包含证据充分性、改写可执行性等指标的“六维论证质量向量”，从语义逻辑层面精准甄别好离群与坏离群。在此基础上，本文引入贝叶斯启发式（Bayesian-inspired）的可靠性更新思想：将模型在当前文档中的离群表现累计为模型画像，生成在后续讨论中保持固定的先验权重；最终，在条目级圆桌讨论（Roundtable Consensus）中融合该固定权重与模型的动态置信度，驱动异构模型团队在保留高价值分歧的前提下，收敛至高度结构化的最终问题清单。</w:t>
      </w:r>
    </w:p>
    <w:p w14:paraId="32C3BE33">
      <w:pPr>
        <w:rPr>
          <w:rFonts w:hint="eastAsia"/>
          <w:lang w:val="en-US" w:eastAsia="zh-CN"/>
        </w:rPr>
      </w:pPr>
      <w:r>
        <w:rPr>
          <w:rFonts w:hint="eastAsia"/>
          <w:lang w:val="en-US" w:eastAsia="zh-CN"/>
        </w:rPr>
        <w:t>为了评估所提框架的有效性与工程实用性，我们在真实的公共需求数据集（PURE）上，利用 5 款主流异构大语言模型展开了严格的组内对照实证研究。通过与单一模型评审、等权聚合基线以及无权重圆桌机制进行严密的消融对比，本文深入探究了异构模型在需求质量评估中的初始分歧结构、论证质量判别的区分效力，以及完整框架在缺陷召回与清单质量之间的性能权衡（Trade-off）。</w:t>
      </w:r>
    </w:p>
    <w:p w14:paraId="0DA2698C">
      <w:pPr>
        <w:rPr>
          <w:rFonts w:hint="eastAsia"/>
          <w:lang w:val="en-US" w:eastAsia="zh-CN"/>
        </w:rPr>
      </w:pPr>
      <w:r>
        <w:rPr>
          <w:rFonts w:hint="eastAsia"/>
          <w:lang w:val="en-US" w:eastAsia="zh-CN"/>
        </w:rPr>
        <w:t>本文的主要贡献总结如下：</w:t>
      </w:r>
    </w:p>
    <w:p w14:paraId="215AECA5">
      <w:pPr>
        <w:numPr>
          <w:ilvl w:val="0"/>
          <w:numId w:val="1"/>
        </w:numPr>
        <w:rPr>
          <w:rFonts w:hint="eastAsia"/>
          <w:lang w:val="en-US" w:eastAsia="zh-CN"/>
        </w:rPr>
      </w:pPr>
      <w:r>
        <w:rPr>
          <w:rFonts w:hint="eastAsia"/>
          <w:lang w:val="en-US" w:eastAsia="zh-CN"/>
        </w:rPr>
        <w:t>揭示了多 LLM 需求评审中的结构性分歧规律：通过实证数据证实了模型在复杂需求缺陷（尤其是“可验证性”与“无歧义性”维度）上极易产生显著的离群判断，证明了将模型分歧视为高价值审查信号的合理性。</w:t>
      </w:r>
    </w:p>
    <w:p w14:paraId="64206952">
      <w:pPr>
        <w:numPr>
          <w:ilvl w:val="0"/>
          <w:numId w:val="1"/>
        </w:numPr>
        <w:rPr>
          <w:rFonts w:hint="eastAsia"/>
          <w:lang w:val="en-US" w:eastAsia="zh-CN"/>
        </w:rPr>
      </w:pPr>
      <w:r>
        <w:rPr>
          <w:rFonts w:hint="eastAsia"/>
          <w:lang w:val="en-US" w:eastAsia="zh-CN"/>
        </w:rPr>
        <w:t>提出并验证了基于论证质量的“好/坏离群”判别与贝叶斯定权机制：首次在自动化需求评审中实现了从“数值统计聚合”向“文本逻辑验证”的跨越，通过动态提取有效离群证据，有效锚定了各模型在当前评审任务中的真实可靠性。</w:t>
      </w:r>
    </w:p>
    <w:p w14:paraId="6FFB5C9A">
      <w:pPr>
        <w:numPr>
          <w:ilvl w:val="0"/>
          <w:numId w:val="1"/>
        </w:numPr>
        <w:rPr>
          <w:rFonts w:hint="eastAsia"/>
          <w:lang w:val="en-US" w:eastAsia="zh-CN"/>
        </w:rPr>
      </w:pPr>
      <w:r>
        <w:rPr>
          <w:rFonts w:hint="eastAsia"/>
          <w:lang w:val="en-US" w:eastAsia="zh-CN"/>
        </w:rPr>
        <w:t>构建了融合固定权重与动态置信度的条目级圆桌共识工作流：实证结果表明，该工作流能够有效抑制低质量偏离，在不追求绝对评分一致的前提下，大幅压缩冗余候选问题，生成集合高度稳定、精确率更高且具备强工程可操作性的团队级缺陷清单。</w:t>
      </w:r>
    </w:p>
    <w:p w14:paraId="1E93FA04">
      <w:pPr>
        <w:pStyle w:val="3"/>
        <w:bidi w:val="0"/>
        <w:jc w:val="left"/>
        <w:rPr>
          <w:rFonts w:hint="eastAsia"/>
          <w:lang w:val="en-US" w:eastAsia="zh-CN"/>
        </w:rPr>
      </w:pPr>
      <w:r>
        <w:rPr>
          <w:rFonts w:hint="eastAsia"/>
          <w:lang w:val="en-US" w:eastAsia="zh-CN"/>
        </w:rPr>
        <w:t>2 Background and Related Work</w:t>
      </w:r>
    </w:p>
    <w:p w14:paraId="2BE8FDAF">
      <w:pPr>
        <w:rPr>
          <w:rFonts w:hint="eastAsia"/>
          <w:lang w:val="en-US" w:eastAsia="zh-CN"/>
        </w:rPr>
      </w:pPr>
      <w:r>
        <w:rPr>
          <w:rFonts w:hint="eastAsia"/>
          <w:lang w:val="en-US" w:eastAsia="zh-CN"/>
        </w:rPr>
        <w:t>本节我们系统梳理了与本研究相关的三个核心领域，并重点针对该领域的前沿工作与本跨甲的差异进行深度辩论与对比，从而明确本研究在实证软件工程中的学术定位。</w:t>
      </w:r>
    </w:p>
    <w:p w14:paraId="149C410C">
      <w:pPr>
        <w:pStyle w:val="4"/>
        <w:bidi w:val="0"/>
        <w:rPr>
          <w:rFonts w:hint="default"/>
          <w:lang w:val="en-US" w:eastAsia="zh-CN"/>
        </w:rPr>
      </w:pPr>
      <w:r>
        <w:rPr>
          <w:rFonts w:hint="eastAsia"/>
          <w:lang w:val="en-US" w:eastAsia="zh-CN"/>
        </w:rPr>
        <w:t>2.1 需求质量评估、需求问题分类与LLM在需求工程中的应用</w:t>
      </w:r>
    </w:p>
    <w:p w14:paraId="7F8EDBEE">
      <w:pPr>
        <w:rPr>
          <w:rFonts w:hint="eastAsia"/>
          <w:lang w:val="en-US" w:eastAsia="zh-CN"/>
        </w:rPr>
      </w:pPr>
      <w:r>
        <w:rPr>
          <w:rFonts w:hint="eastAsia"/>
          <w:lang w:val="en-US" w:eastAsia="zh-CN"/>
        </w:rPr>
        <w:t>需求质量评估一直是需求工程中的基础问题，也是软件工程主流研究持续关注的对象</w:t>
      </w:r>
      <w:r>
        <w:rPr>
          <w:rFonts w:hint="eastAsia"/>
          <w:vertAlign w:val="superscript"/>
          <w:lang w:val="en-US" w:eastAsia="zh-CN"/>
        </w:rPr>
        <w:fldChar w:fldCharType="begin"/>
      </w:r>
      <w:r>
        <w:instrText xml:space="preserve"> REF _Ref25466 \w \h  \* MERGEFORMAT</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。已有研究一方面从系统角度讨论“什么是高质量需求”，指出需求质量研究已经覆盖质量定义、改进技术与评估方法等多个方向</w:t>
      </w:r>
      <w:r>
        <w:rPr>
          <w:rFonts w:hint="eastAsia"/>
          <w:vertAlign w:val="superscript"/>
          <w:lang w:val="en-US" w:eastAsia="zh-CN"/>
        </w:rPr>
        <w:fldChar w:fldCharType="begin"/>
      </w:r>
      <w:r>
        <w:instrText xml:space="preserve"> REF _Ref8 \w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；另一方面也强调了该领域长期存在概念碎片化、质量属性界定不统一以及质量评估与后续开发活动之间关联不足的问题</w:t>
      </w:r>
      <w:r>
        <w:rPr>
          <w:rFonts w:hint="eastAsia"/>
          <w:vertAlign w:val="superscript"/>
          <w:lang w:val="en-US" w:eastAsia="zh-CN"/>
        </w:rPr>
        <w:fldChar w:fldCharType="begin"/>
      </w:r>
      <w:r>
        <w:instrText xml:space="preserve"> REF _Ref83 \w \h  \* MERGEFORMAT</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。Montgomery等人的系统映射研究表明，需求质量研究数量已经相当可观，但研究对象、质量属性与评价方式任然分散</w:t>
      </w:r>
      <w:r>
        <w:rPr>
          <w:rFonts w:hint="eastAsia"/>
          <w:vertAlign w:val="superscript"/>
          <w:lang w:val="en-US" w:eastAsia="zh-CN"/>
        </w:rPr>
        <w:fldChar w:fldCharType="begin"/>
      </w:r>
      <w:r>
        <w:rPr>
          <w:rFonts w:hint="eastAsia"/>
          <w:vertAlign w:val="superscript"/>
          <w:lang w:val="en-US" w:eastAsia="zh-CN"/>
        </w:rPr>
        <w:instrText xml:space="preserve"> REF _Ref8 \n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；Frattini等人进一步提出harmonized theory，强调需求质量研究不能只停留在规范性规则层面，而需要与后续开发活动中的实际影响建立更清晰的联系</w:t>
      </w:r>
      <w:r>
        <w:rPr>
          <w:rFonts w:hint="eastAsia"/>
          <w:vertAlign w:val="superscript"/>
          <w:lang w:val="en-US" w:eastAsia="zh-CN"/>
        </w:rPr>
        <w:fldChar w:fldCharType="begin"/>
      </w:r>
      <w:r>
        <w:rPr>
          <w:rFonts w:hint="eastAsia"/>
          <w:vertAlign w:val="superscript"/>
          <w:lang w:val="en-US" w:eastAsia="zh-CN"/>
        </w:rPr>
        <w:instrText xml:space="preserve"> REF _Ref83 \n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；Femmer和Vogelsang则从“quality in use”的角度说明，需求质量不应仅被理解为文本是否形式规范，更应关注需求在理解、实现与验证中的实际可用性</w:t>
      </w:r>
      <w:r>
        <w:rPr>
          <w:rFonts w:hint="eastAsia"/>
          <w:vertAlign w:val="superscript"/>
          <w:lang w:val="en-US" w:eastAsia="zh-CN"/>
        </w:rPr>
        <w:fldChar w:fldCharType="begin"/>
      </w:r>
      <w:r>
        <w:rPr>
          <w:rFonts w:hint="eastAsia"/>
          <w:vertAlign w:val="superscript"/>
          <w:lang w:val="en-US" w:eastAsia="zh-CN"/>
        </w:rPr>
        <w:instrText xml:space="preserve"> REF _Ref106 \n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对于本文而言，这些工作共同构成了需求质量研究的重要背景，并说明对需求质量的评审必须同时关注文本属性与工程可用性。在更具体的质量问题识别层面，已有研究已经形成了若干具有可操作性的路径。Femmer等人提出 requirements smells，将模糊、冗余、表述不清等问题视为轻量级质量缺陷，以支持快速质量保证</w:t>
      </w:r>
      <w:r>
        <w:rPr>
          <w:rFonts w:hint="eastAsia"/>
          <w:vertAlign w:val="superscript"/>
          <w:lang w:val="en-US" w:eastAsia="zh-CN"/>
        </w:rPr>
        <w:fldChar w:fldCharType="begin"/>
      </w:r>
      <w:r>
        <w:rPr>
          <w:rFonts w:hint="eastAsia"/>
          <w:vertAlign w:val="superscript"/>
          <w:lang w:val="en-US" w:eastAsia="zh-CN"/>
        </w:rPr>
        <w:instrText xml:space="preserve"> REF _Ref4198 \n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；Lucassen等人围绕user story提出Quality User Story框架，将需求质量转化为一组明确可检查的准则</w:t>
      </w:r>
      <w:r>
        <w:rPr>
          <w:rFonts w:hint="eastAsia"/>
          <w:vertAlign w:val="superscript"/>
          <w:lang w:val="en-US" w:eastAsia="zh-CN"/>
        </w:rPr>
        <w:fldChar w:fldCharType="begin"/>
      </w:r>
      <w:r>
        <w:rPr>
          <w:rFonts w:hint="eastAsia"/>
          <w:vertAlign w:val="superscript"/>
          <w:lang w:val="en-US" w:eastAsia="zh-CN"/>
        </w:rPr>
        <w:instrText xml:space="preserve"> REF _Ref4218 \n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；ICSE社区中的相关工作则进一步从需求质量改进与演化角度，讨论如何通过结构化模式和质量快照分析需求工件的质量状态与变化过程</w:t>
      </w:r>
      <w:r>
        <w:rPr>
          <w:rFonts w:hint="eastAsia"/>
          <w:vertAlign w:val="superscript"/>
          <w:lang w:val="en-US" w:eastAsia="zh-CN"/>
        </w:rPr>
        <w:fldChar w:fldCharType="begin"/>
      </w:r>
      <w:r>
        <w:rPr>
          <w:rFonts w:hint="eastAsia"/>
          <w:vertAlign w:val="superscript"/>
          <w:lang w:val="en-US" w:eastAsia="zh-CN"/>
        </w:rPr>
        <w:instrText xml:space="preserve"> REF _Ref4237 \n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_Ref4240 \n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这些研究说明，需求质量并非不可操作的抽象概念，而是可以通过规则、模式或质量指标进行识别和分析。然而，现有工作大多聚焦于单文档规则检查、静态smell检测或质量演化分析，通常将自动评估视为单一方法或单一工具的问题，较少讨论多个评审主体在同一requirement item上出现显著分歧时应如何处理，更没有将分歧进一步组织为后续权重建模与团队共识的输入。</w:t>
      </w:r>
    </w:p>
    <w:p w14:paraId="1D7E4D6B">
      <w:pPr>
        <w:rPr>
          <w:rFonts w:hint="default"/>
          <w:lang w:val="en-US" w:eastAsia="zh-CN"/>
        </w:rPr>
      </w:pPr>
      <w:r>
        <w:rPr>
          <w:rFonts w:hint="eastAsia"/>
          <w:lang w:val="en-US" w:eastAsia="zh-CN"/>
        </w:rPr>
        <w:t>同时，大语言模型（LLM）在需求工程（RE）中的应用已从简单的文本生成扩展到复杂的质量保证任务。Krishna等人利用GPT-4对PURE数据集</w:t>
      </w:r>
      <w:r>
        <w:rPr>
          <w:rFonts w:hint="eastAsia"/>
          <w:vertAlign w:val="superscript"/>
          <w:lang w:val="en-US" w:eastAsia="zh-CN"/>
        </w:rPr>
        <w:fldChar w:fldCharType="begin"/>
      </w:r>
      <w:r>
        <w:rPr>
          <w:rFonts w:hint="eastAsia"/>
          <w:vertAlign w:val="superscript"/>
          <w:lang w:val="en-US" w:eastAsia="zh-CN"/>
        </w:rPr>
        <w:instrText xml:space="preserve"> REF _Ref6719 \n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进行了初步评估，证明LLM在起草和审查软件需求规格说明书（SRS）方面具有接近初级工程师的潜力</w:t>
      </w:r>
      <w:r>
        <w:rPr>
          <w:rFonts w:hint="eastAsia"/>
          <w:vertAlign w:val="superscript"/>
          <w:lang w:val="en-US" w:eastAsia="zh-CN"/>
        </w:rPr>
        <w:fldChar w:fldCharType="begin"/>
      </w:r>
      <w:r>
        <w:rPr>
          <w:rFonts w:hint="eastAsia"/>
          <w:vertAlign w:val="superscript"/>
          <w:lang w:val="en-US" w:eastAsia="zh-CN"/>
        </w:rPr>
        <w:instrText xml:space="preserve"> REF _Ref6739 \n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；Zadenoori 等人总结了 LLM 在处理自然语言需求歧义性（Unambiguous）和可测试性（Verifiable）方面的广泛尝试</w:t>
      </w:r>
      <w:r>
        <w:rPr>
          <w:rFonts w:hint="eastAsia"/>
          <w:vertAlign w:val="superscript"/>
          <w:lang w:val="en-US" w:eastAsia="zh-CN"/>
        </w:rPr>
        <w:fldChar w:fldCharType="begin"/>
      </w:r>
      <w:r>
        <w:rPr>
          <w:rFonts w:hint="eastAsia"/>
          <w:vertAlign w:val="superscript"/>
          <w:lang w:val="en-US" w:eastAsia="zh-CN"/>
        </w:rPr>
        <w:instrText xml:space="preserve"> REF _Ref7326 \n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。然而，LLM在需求审查方面仍存在显著局限，如Oriol 等人近期发表的 MAD-RE 研究虽然探讨了多智能体辩论（MAD）在需求分类中的应用</w:t>
      </w:r>
      <w:r>
        <w:rPr>
          <w:rFonts w:hint="eastAsia"/>
          <w:vertAlign w:val="superscript"/>
          <w:lang w:val="en-US" w:eastAsia="zh-CN"/>
        </w:rPr>
        <w:fldChar w:fldCharType="begin"/>
      </w:r>
      <w:r>
        <w:rPr>
          <w:rFonts w:hint="eastAsia"/>
          <w:vertAlign w:val="superscript"/>
          <w:lang w:val="en-US" w:eastAsia="zh-CN"/>
        </w:rPr>
        <w:instrText xml:space="preserve"> REF _Ref8123 \n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 xml:space="preserve">，但本质上仍将模型视为输出标签的“黑盒”。这类工作侧重于评估模型是否能达成类别一致性，却忽视了需求质量评审的核心——即对分歧语义的深度论证。即模型交互主要集中于达成类别共识，缺乏对“需求歧义点（Evidence）”及“改写策略（Rewrite）”的逻辑链对齐。此外，现有的“LLM-as-a-Judge”范式 </w:t>
      </w:r>
      <w:r>
        <w:rPr>
          <w:rFonts w:hint="eastAsia"/>
          <w:vertAlign w:val="superscript"/>
          <w:lang w:val="en-US" w:eastAsia="zh-CN"/>
        </w:rPr>
        <w:fldChar w:fldCharType="begin"/>
      </w:r>
      <w:r>
        <w:rPr>
          <w:rFonts w:hint="eastAsia"/>
          <w:vertAlign w:val="superscript"/>
          <w:lang w:val="en-US" w:eastAsia="zh-CN"/>
        </w:rPr>
        <w:instrText xml:space="preserve"> REF _Ref8740 \n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_Ref8747 \n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往往面临校准失效的问题。本研究与其不同之处在于，我们不仅要求模型给出 Likert 评分</w:t>
      </w:r>
      <w:r>
        <w:rPr>
          <w:rFonts w:hint="eastAsia"/>
          <w:vertAlign w:val="superscript"/>
          <w:lang w:val="en-US" w:eastAsia="zh-CN"/>
        </w:rPr>
        <w:fldChar w:fldCharType="begin"/>
      </w:r>
      <w:r>
        <w:rPr>
          <w:rFonts w:hint="eastAsia"/>
          <w:vertAlign w:val="superscript"/>
          <w:lang w:val="en-US" w:eastAsia="zh-CN"/>
        </w:rPr>
        <w:instrText xml:space="preserve"> REF _Ref6739 \n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更通过构建“六维论证质量向量”对模型输出的文本证据进行显式度量，从而弥补现有的RE-LLM研究缺乏在per-requirement粒度上、基于文本证据深度的冲突调和机制，导致其在处理复杂工业需求时往往陷入“平庸共识”。</w:t>
      </w:r>
    </w:p>
    <w:p w14:paraId="16B960A7">
      <w:pPr>
        <w:rPr>
          <w:rFonts w:hint="default"/>
          <w:lang w:val="en-US" w:eastAsia="zh-CN"/>
        </w:rPr>
      </w:pPr>
    </w:p>
    <w:p w14:paraId="4CC0ECFA">
      <w:pPr>
        <w:pStyle w:val="4"/>
        <w:bidi w:val="0"/>
        <w:rPr>
          <w:rFonts w:hint="eastAsia"/>
          <w:lang w:val="en-US" w:eastAsia="zh-CN"/>
        </w:rPr>
      </w:pPr>
      <w:r>
        <w:rPr>
          <w:rFonts w:hint="eastAsia"/>
          <w:lang w:val="en-US" w:eastAsia="zh-CN"/>
        </w:rPr>
        <w:t>2.2多LLM协作与共识机制</w:t>
      </w:r>
    </w:p>
    <w:p w14:paraId="7E81C0F1">
      <w:pPr>
        <w:rPr>
          <w:rFonts w:hint="eastAsia"/>
          <w:vertAlign w:val="baseline"/>
          <w:lang w:val="en-US" w:eastAsia="zh-CN"/>
        </w:rPr>
      </w:pPr>
      <w:r>
        <w:rPr>
          <w:rFonts w:hint="eastAsia"/>
          <w:lang w:val="en-US" w:eastAsia="zh-CN"/>
        </w:rPr>
        <w:t>与单模型judge并行发展的是多LLM协作、讨论与共识形成研究。该方向的共同假设是：多个模型之间的交流、质疑与说服可以暴露单模型难以发现的推理盲点，并通过多轮互动形成更稳健的集体判断。为了克服单一模型的偏置，学术界提出了多代理对话与写作框架</w:t>
      </w:r>
      <w:r>
        <w:rPr>
          <w:rFonts w:hint="eastAsia"/>
          <w:vertAlign w:val="superscript"/>
          <w:lang w:val="en-US" w:eastAsia="zh-CN"/>
        </w:rPr>
        <w:fldChar w:fldCharType="begin"/>
      </w:r>
      <w:r>
        <w:rPr>
          <w:vertAlign w:val="superscript"/>
        </w:rPr>
        <w:instrText xml:space="preserve"> REF _Ref3049 \w \h  \* MERGEFORMAT</w:instrText>
      </w:r>
      <w:r>
        <w:rPr>
          <w:rFonts w:hint="eastAsia"/>
          <w:vertAlign w:val="superscript"/>
          <w:lang w:val="en-US" w:eastAsia="zh-CN"/>
        </w:rPr>
        <w:fldChar w:fldCharType="separate"/>
      </w:r>
      <w:r>
        <w:rPr>
          <w:rFonts w:hint="eastAsia"/>
          <w:vertAlign w:val="superscript"/>
          <w:lang w:val="en-US" w:eastAsia="zh-CN"/>
        </w:rPr>
        <w:t>[15~17]</w:t>
      </w:r>
      <w:r>
        <w:rPr>
          <w:rFonts w:hint="eastAsia"/>
          <w:vertAlign w:val="superscript"/>
          <w:lang w:val="en-US" w:eastAsia="zh-CN"/>
        </w:rPr>
        <w:fldChar w:fldCharType="end"/>
      </w:r>
      <w:r>
        <w:rPr>
          <w:rFonts w:hint="eastAsia"/>
          <w:vertAlign w:val="baseline"/>
          <w:lang w:val="en-US" w:eastAsia="zh-CN"/>
        </w:rPr>
        <w:t>。其中，RECONCILE</w:t>
      </w:r>
      <w:r>
        <w:rPr>
          <w:rFonts w:hint="eastAsia"/>
          <w:vertAlign w:val="superscript"/>
          <w:lang w:val="en-US" w:eastAsia="zh-CN"/>
        </w:rPr>
        <w:fldChar w:fldCharType="begin"/>
      </w:r>
      <w:r>
        <w:instrText xml:space="preserve"> REF _Ref4074 \w \h  \* MERGEFORMAT</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vertAlign w:val="baseline"/>
          <w:lang w:val="en-US" w:eastAsia="zh-CN"/>
        </w:rPr>
        <w:t>是该领域的里程碑式工作，它提出多轮圆桌会议和置信度加权投票（Confidence-weighted voting）来提升 LLM 的推理一致性。Kaesberg等人进一步讨论了在不同任务下“Voting”与“Consensus”的优劣</w:t>
      </w:r>
      <w:r>
        <w:rPr>
          <w:rFonts w:hint="eastAsia"/>
          <w:vertAlign w:val="superscript"/>
          <w:lang w:val="en-US" w:eastAsia="zh-CN"/>
        </w:rPr>
        <w:fldChar w:fldCharType="begin"/>
      </w:r>
      <w:r>
        <w:instrText xml:space="preserve"> REF _Ref4074 \w \h  \* MERGEFORMAT</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vertAlign w:val="baseline"/>
          <w:lang w:val="en-US" w:eastAsia="zh-CN"/>
        </w:rPr>
        <w:t>。Exchange-of-Thought则强调cross-model communication 对复杂问题求解的促进作用</w:t>
      </w:r>
      <w:r>
        <w:rPr>
          <w:rFonts w:hint="eastAsia"/>
          <w:vertAlign w:val="superscript"/>
          <w:lang w:val="en-US" w:eastAsia="zh-CN"/>
        </w:rPr>
        <w:fldChar w:fldCharType="begin"/>
      </w:r>
      <w:r>
        <w:instrText xml:space="preserve"> REF _Ref6602 \w \h  \* MERGEFORMAT</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vertAlign w:val="baseline"/>
          <w:lang w:val="en-US" w:eastAsia="zh-CN"/>
        </w:rPr>
        <w:t>；多智能体辩论研究进一步指出，divergent thinking 并非噪声，而可能是提升推理质量的关键资源</w:t>
      </w:r>
      <w:r>
        <w:rPr>
          <w:rFonts w:hint="eastAsia"/>
          <w:vertAlign w:val="superscript"/>
          <w:lang w:val="en-US" w:eastAsia="zh-CN"/>
        </w:rPr>
        <w:fldChar w:fldCharType="begin"/>
      </w:r>
      <w:r>
        <w:instrText xml:space="preserve"> REF _Ref3052 \w \h  \* MERGEFORMAT</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vertAlign w:val="baseline"/>
          <w:lang w:val="en-US" w:eastAsia="zh-CN"/>
        </w:rPr>
        <w:t>。整体而言，这些工作共同推动了一个重要转向：在多模型系统中，差异与冲突不一定需要被立即抹平，相反，精心设计的交互过程可能正是产生更优团队决策的前提</w:t>
      </w:r>
      <w:r>
        <w:rPr>
          <w:rFonts w:hint="eastAsia"/>
          <w:vertAlign w:val="superscript"/>
          <w:lang w:val="en-US" w:eastAsia="zh-CN"/>
        </w:rPr>
        <w:fldChar w:fldCharType="begin"/>
      </w:r>
      <w:r>
        <w:instrText xml:space="preserve"> REF _Ref3052 \w \h  \* MERGEFORMAT</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_Ref6602 \w \h  \* MERGEFORMAT</w:instrText>
      </w:r>
      <w:r>
        <w:rPr>
          <w:rFonts w:hint="eastAsia"/>
          <w:vertAlign w:val="superscript"/>
          <w:lang w:val="en-US" w:eastAsia="zh-CN"/>
        </w:rPr>
        <w:fldChar w:fldCharType="separate"/>
      </w:r>
      <w:r>
        <w:rPr>
          <w:rFonts w:hint="eastAsia"/>
          <w:vertAlign w:val="superscript"/>
          <w:lang w:val="en-US" w:eastAsia="zh-CN"/>
        </w:rPr>
        <w:t>[20]</w:t>
      </w:r>
      <w:r>
        <w:rPr>
          <w:rFonts w:hint="eastAsia"/>
          <w:vertAlign w:val="superscript"/>
          <w:lang w:val="en-US" w:eastAsia="zh-CN"/>
        </w:rPr>
        <w:fldChar w:fldCharType="end"/>
      </w:r>
      <w:r>
        <w:rPr>
          <w:rFonts w:hint="eastAsia"/>
          <w:vertAlign w:val="baseline"/>
          <w:lang w:val="en-US" w:eastAsia="zh-CN"/>
        </w:rPr>
        <w:t>。</w:t>
      </w:r>
    </w:p>
    <w:p w14:paraId="221FAEAB">
      <w:pPr>
        <w:rPr>
          <w:rFonts w:hint="default"/>
          <w:vertAlign w:val="baseline"/>
          <w:lang w:val="en-US" w:eastAsia="zh-CN"/>
        </w:rPr>
      </w:pPr>
      <w:r>
        <w:rPr>
          <w:rFonts w:hint="eastAsia"/>
          <w:vertAlign w:val="baseline"/>
          <w:lang w:val="en-US" w:eastAsia="zh-CN"/>
        </w:rPr>
        <w:t>对于本文而言，上述研究提供的是机制性基础而非可直接复用的现成方案。现有多LLM协作研究大多面向通用推理、问答、数学推导或通用文本评估，较少下沉到需求质量评审这类以工件为中心、以issue type为目标输出的任务。同时，这些研究中的讨论对象通常是单一答案或单一判断，而本文的目标是围绕单个requirement item在 U/A/C/V 四个维度上形成结构化问题清单，并同时保留evidence与rewrite。再次，已有工作虽然已经区分了voting与consensus的差异</w:t>
      </w:r>
      <w:r>
        <w:rPr>
          <w:rFonts w:hint="eastAsia"/>
          <w:vertAlign w:val="superscript"/>
          <w:lang w:val="en-US" w:eastAsia="zh-CN"/>
        </w:rPr>
        <w:fldChar w:fldCharType="begin"/>
      </w:r>
      <w:r>
        <w:instrText xml:space="preserve"> REF _Ref4074 \w \h  \* MERGEFORMAT</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vertAlign w:val="baseline"/>
          <w:lang w:val="en-US" w:eastAsia="zh-CN"/>
        </w:rPr>
        <w:t>，但在requirements review场景中，什么样的决策机制能够既保留多模型分歧的价值、又输出工程上可操作的结果，仍然缺少针对性研究。因此，已有多智能体讨论文献为本文中的“固定权重 + 动态置信度”条目级圆桌共识提供了重要启发，但并没有直接覆盖本文所关注的需求质量审查场景。</w:t>
      </w:r>
    </w:p>
    <w:p w14:paraId="0D2B9509">
      <w:pPr>
        <w:pStyle w:val="4"/>
        <w:bidi w:val="0"/>
        <w:rPr>
          <w:rFonts w:hint="eastAsia"/>
          <w:lang w:val="en-US" w:eastAsia="zh-CN"/>
        </w:rPr>
      </w:pPr>
      <w:r>
        <w:rPr>
          <w:rFonts w:hint="eastAsia"/>
          <w:lang w:val="en-US" w:eastAsia="zh-CN"/>
        </w:rPr>
        <w:t>2.3分歧处理与加权聚合</w:t>
      </w:r>
    </w:p>
    <w:p w14:paraId="0B47AE6D">
      <w:pPr>
        <w:rPr>
          <w:rFonts w:hint="eastAsia"/>
          <w:lang w:val="en-US" w:eastAsia="zh-CN"/>
        </w:rPr>
      </w:pPr>
      <w:r>
        <w:rPr>
          <w:rFonts w:hint="eastAsia"/>
          <w:lang w:val="en-US" w:eastAsia="zh-CN"/>
        </w:rPr>
        <w:t>在多评审者聚合研究方法论中，如何处理Disagreement是一个经典难题。Dawid 和 Skene 的经典工作最早系统讨论了如何从多个观察者的判断中估计其误差率</w:t>
      </w:r>
      <w:r>
        <w:rPr>
          <w:rFonts w:hint="eastAsia"/>
          <w:vertAlign w:val="superscript"/>
          <w:lang w:val="en-US" w:eastAsia="zh-CN"/>
        </w:rPr>
        <w:fldChar w:fldCharType="begin"/>
      </w:r>
      <w:r>
        <w:instrText xml:space="preserve"> REF _Ref18409 \w \h  \* MERGEFORMAT</w:instrText>
      </w:r>
      <w:r>
        <w:rPr>
          <w:rFonts w:hint="eastAsia"/>
          <w:vertAlign w:val="superscript"/>
          <w:lang w:val="en-US" w:eastAsia="zh-CN"/>
        </w:rPr>
        <w:fldChar w:fldCharType="separate"/>
      </w:r>
      <w:r>
        <w:rPr>
          <w:rFonts w:hint="eastAsia"/>
          <w:vertAlign w:val="superscript"/>
          <w:lang w:val="en-US" w:eastAsia="zh-CN"/>
        </w:rPr>
        <w:t>[21]</w:t>
      </w:r>
      <w:r>
        <w:rPr>
          <w:rFonts w:hint="eastAsia"/>
          <w:vertAlign w:val="superscript"/>
          <w:lang w:val="en-US" w:eastAsia="zh-CN"/>
        </w:rPr>
        <w:fldChar w:fldCharType="end"/>
      </w:r>
      <w:r>
        <w:rPr>
          <w:rFonts w:hint="eastAsia"/>
          <w:lang w:val="en-US" w:eastAsia="zh-CN"/>
        </w:rPr>
        <w:t>；Whitehill 等进一步研究了未知专长标注者标签的最优整合</w:t>
      </w:r>
      <w:r>
        <w:rPr>
          <w:rFonts w:hint="eastAsia"/>
          <w:vertAlign w:val="superscript"/>
          <w:lang w:val="en-US" w:eastAsia="zh-CN"/>
        </w:rPr>
        <w:fldChar w:fldCharType="begin"/>
      </w:r>
      <w:r>
        <w:instrText xml:space="preserve"> REF _Ref18684 \w \h  \* MERGEFORMAT</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。Aroyo和Welty提出的“Crowd Truth”理论深刻批判了“唯一正确真理”的迷信，认为分歧往往承载了任务的复杂性</w:t>
      </w:r>
      <w:r>
        <w:rPr>
          <w:rFonts w:hint="eastAsia"/>
          <w:vertAlign w:val="superscript"/>
          <w:lang w:val="en-US" w:eastAsia="zh-CN"/>
        </w:rPr>
        <w:fldChar w:fldCharType="begin"/>
      </w:r>
      <w:r>
        <w:instrText xml:space="preserve"> REF _Ref18684 \w \h  \* MERGEFORMAT</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lang w:val="en-US" w:eastAsia="zh-CN"/>
        </w:rPr>
        <w:t>。在模型集成领域，Hovy等人提出的MACE模型将标注着能力建模推进到更适合文本任务的聚合框架中，试图通过概率图模型从标注分歧中推断出各标注者的可靠性</w:t>
      </w:r>
      <w:r>
        <w:rPr>
          <w:rFonts w:hint="eastAsia"/>
          <w:vertAlign w:val="superscript"/>
          <w:lang w:val="en-US" w:eastAsia="zh-CN"/>
        </w:rPr>
        <w:fldChar w:fldCharType="begin"/>
      </w:r>
      <w:r>
        <w:instrText xml:space="preserve"> REF _Ref18684 \w \h  \* MERGEFORMAT</w:instrText>
      </w:r>
      <w:r>
        <w:rPr>
          <w:rFonts w:hint="eastAsia"/>
          <w:vertAlign w:val="superscript"/>
          <w:lang w:val="en-US" w:eastAsia="zh-CN"/>
        </w:rPr>
        <w:fldChar w:fldCharType="separate"/>
      </w:r>
      <w:r>
        <w:rPr>
          <w:rFonts w:hint="eastAsia"/>
          <w:vertAlign w:val="superscript"/>
          <w:lang w:val="en-US" w:eastAsia="zh-CN"/>
        </w:rPr>
        <w:t>[24]</w:t>
      </w:r>
      <w:r>
        <w:rPr>
          <w:rFonts w:hint="eastAsia"/>
          <w:vertAlign w:val="superscript"/>
          <w:lang w:val="en-US" w:eastAsia="zh-CN"/>
        </w:rPr>
        <w:fldChar w:fldCharType="end"/>
      </w:r>
      <w:r>
        <w:rPr>
          <w:rFonts w:hint="eastAsia"/>
          <w:lang w:val="en-US" w:eastAsia="zh-CN"/>
        </w:rPr>
        <w:t>。这类研究的共同前提是：多个判断来源之间的差异不应被盲目平均，而应显式建模“谁更值得信任”。从这个意义上说，本文根据好/坏离群构造模型画像并进一步生成固定权重，与reliability-aware weighting存在明确的方法亲缘性。</w:t>
      </w:r>
    </w:p>
    <w:p w14:paraId="35B74E08">
      <w:pPr>
        <w:rPr>
          <w:rFonts w:hint="default"/>
          <w:lang w:val="en-US" w:eastAsia="zh-CN"/>
        </w:rPr>
      </w:pPr>
      <w:r>
        <w:rPr>
          <w:rFonts w:hint="eastAsia"/>
          <w:lang w:val="en-US" w:eastAsia="zh-CN"/>
        </w:rPr>
        <w:t>但是，传统reliability-aware aggregation与本文的方法目标并不相同。经典annotator aggregation研究通常假设目标是恢复某种潜在真值，因此disagreement往往被视为需要被解释和消解的不确定性来源。与之相比，近年来“learning from disagreement”的研究则指出，在主观性较强或评价标准多元的任务中，分歧本身可能携带有价值的信息，不应一概被压缩成单一标签</w:t>
      </w:r>
      <w:r>
        <w:rPr>
          <w:rFonts w:hint="eastAsia"/>
          <w:vertAlign w:val="superscript"/>
          <w:lang w:val="en-US" w:eastAsia="zh-CN"/>
        </w:rPr>
        <w:fldChar w:fldCharType="begin"/>
      </w:r>
      <w:r>
        <w:instrText xml:space="preserve"> REF _Ref20382 \w \h  \* MERGEFORMAT</w:instrText>
      </w:r>
      <w:r>
        <w:rPr>
          <w:rFonts w:hint="eastAsia"/>
          <w:vertAlign w:val="superscript"/>
          <w:lang w:val="en-US" w:eastAsia="zh-CN"/>
        </w:rPr>
        <w:fldChar w:fldCharType="separate"/>
      </w:r>
      <w:r>
        <w:rPr>
          <w:rFonts w:hint="eastAsia"/>
          <w:vertAlign w:val="superscript"/>
          <w:lang w:val="en-US" w:eastAsia="zh-CN"/>
        </w:rPr>
        <w:t>[25]</w:t>
      </w:r>
      <w:r>
        <w:rPr>
          <w:rFonts w:hint="eastAsia"/>
          <w:vertAlign w:val="superscript"/>
          <w:lang w:val="en-US" w:eastAsia="zh-CN"/>
        </w:rPr>
        <w:fldChar w:fldCharType="end"/>
      </w:r>
      <w:r>
        <w:rPr>
          <w:rFonts w:hint="eastAsia"/>
          <w:lang w:val="en-US" w:eastAsia="zh-CN"/>
        </w:rPr>
        <w:t>。同时，针对instruction-tuned language models的工作也表明，将多个LLM 视作“model crowd”是有现实意义的：不同模型确实会在相同任务上呈现系统性标签差异，而聚合方式会显著影响结果质量</w:t>
      </w:r>
      <w:r>
        <w:rPr>
          <w:rFonts w:hint="eastAsia"/>
          <w:vertAlign w:val="superscript"/>
          <w:lang w:val="en-US" w:eastAsia="zh-CN"/>
        </w:rPr>
        <w:fldChar w:fldCharType="begin"/>
      </w:r>
      <w:r>
        <w:instrText xml:space="preserve"> REF _Ref20686 \w \h  \* MERGEFORMAT</w:instrText>
      </w:r>
      <w:r>
        <w:rPr>
          <w:rFonts w:hint="eastAsia"/>
          <w:vertAlign w:val="superscript"/>
          <w:lang w:val="en-US" w:eastAsia="zh-CN"/>
        </w:rPr>
        <w:fldChar w:fldCharType="separate"/>
      </w:r>
      <w:r>
        <w:rPr>
          <w:rFonts w:hint="eastAsia"/>
          <w:vertAlign w:val="superscript"/>
          <w:lang w:val="en-US" w:eastAsia="zh-CN"/>
        </w:rPr>
        <w:t>[26]</w:t>
      </w:r>
      <w:r>
        <w:rPr>
          <w:rFonts w:hint="eastAsia"/>
          <w:vertAlign w:val="superscript"/>
          <w:lang w:val="en-US" w:eastAsia="zh-CN"/>
        </w:rPr>
        <w:fldChar w:fldCharType="end"/>
      </w:r>
      <w:r>
        <w:rPr>
          <w:rFonts w:hint="eastAsia"/>
          <w:lang w:val="en-US" w:eastAsia="zh-CN"/>
        </w:rPr>
        <w:t>。本文正是在这一更近的视角上继续推进：我们并不把离群评分直接视为错误，而是进一步追问这些离群中哪些是高价值异议、哪些只是低质量偏离；进一步地，我们也不将权重视为静态先验，而是让权重来源于离群事件的论证质量。正如 Aroyo等人</w:t>
      </w:r>
      <w:r>
        <w:rPr>
          <w:rFonts w:hint="eastAsia"/>
          <w:vertAlign w:val="superscript"/>
          <w:lang w:val="en-US" w:eastAsia="zh-CN"/>
        </w:rPr>
        <w:fldChar w:fldCharType="begin"/>
      </w:r>
      <w:r>
        <w:instrText xml:space="preserve"> REF _Ref18409 \w \h  \* MERGEFORMAT</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lang w:val="en-US" w:eastAsia="zh-CN"/>
        </w:rPr>
        <w:t>所指出的，单纯的共识往往是平庸的。我们不从统计概率上惩罚离群（Outliers），而是从语义论证上验证离群。通过六维特征向量，我们能够识别出那些虽偏离中位数、但具备高论证质量的“好离群”。这种从“标签统计”向“文本逻辑验证”的跨越，使得我们能够发现被多数模型忽略的需求缺陷。</w:t>
      </w:r>
    </w:p>
    <w:p w14:paraId="460C5B73">
      <w:pPr>
        <w:rPr>
          <w:rFonts w:hint="default"/>
          <w:lang w:val="en-US" w:eastAsia="zh-CN"/>
        </w:rPr>
      </w:pPr>
    </w:p>
    <w:p w14:paraId="289D7A85">
      <w:pPr>
        <w:rPr>
          <w:rFonts w:hint="eastAsia"/>
          <w:lang w:val="en-US" w:eastAsia="zh-CN"/>
        </w:rPr>
      </w:pPr>
    </w:p>
    <w:p w14:paraId="71F005CB">
      <w:pPr>
        <w:pStyle w:val="3"/>
        <w:bidi w:val="0"/>
        <w:rPr>
          <w:rFonts w:hint="eastAsia"/>
          <w:lang w:val="en-US" w:eastAsia="zh-CN"/>
        </w:rPr>
      </w:pPr>
      <w:r>
        <w:rPr>
          <w:rFonts w:hint="eastAsia"/>
          <w:lang w:val="en-US" w:eastAsia="zh-CN"/>
        </w:rPr>
        <w:t>3 Problem Statement &amp; Research Questions</w:t>
      </w:r>
    </w:p>
    <w:p w14:paraId="08AEA4E7">
      <w:pPr>
        <w:pStyle w:val="4"/>
        <w:bidi w:val="0"/>
        <w:rPr>
          <w:rFonts w:hint="default"/>
          <w:lang w:val="en-US" w:eastAsia="zh-CN"/>
        </w:rPr>
      </w:pPr>
      <w:r>
        <w:rPr>
          <w:rFonts w:hint="eastAsia"/>
          <w:lang w:val="en-US" w:eastAsia="zh-CN"/>
        </w:rPr>
        <w:t>3.1 Problem Statement</w:t>
      </w:r>
    </w:p>
    <w:p w14:paraId="6FE60E1D">
      <w:pPr>
        <w:rPr>
          <w:rFonts w:hint="eastAsia"/>
          <w:lang w:val="en-US" w:eastAsia="zh-CN"/>
        </w:rPr>
      </w:pPr>
    </w:p>
    <w:p w14:paraId="0607059A">
      <w:pPr>
        <w:rPr>
          <w:rFonts w:hint="eastAsia"/>
          <w:lang w:val="en-US" w:eastAsia="zh-CN"/>
        </w:rPr>
      </w:pPr>
      <w:r>
        <w:rPr>
          <w:rFonts w:hint="eastAsia" w:asciiTheme="minorHAnsi" w:eastAsiaTheme="minorEastAsia"/>
          <w:lang w:val="en-US" w:eastAsia="zh-CN"/>
        </w:rPr>
        <w:t>在现代软件工程中，需求规格说明书的高质量评估对整个开发生命周期至关重要。与文档级总体评价不同，本文的分析粒度固定为面向单份需求文档中的逐条需求（per-requirement）质量评估任务，即每条需求都被视为独立的评审单元。给定包含若干需求条目</w:t>
      </w:r>
      <m:oMath>
        <m:r>
          <m:rPr/>
          <w:rPr>
            <w:rFonts w:hint="default" w:ascii="Cambria Math"/>
            <w:lang w:val="en-US" w:eastAsia="zh-CN"/>
          </w:rPr>
          <m:t xml:space="preserve"> </m:t>
        </m:r>
        <m:r>
          <m:rPr/>
          <w:rPr>
            <w:rFonts w:hint="default" w:ascii="Cambria Math" w:hAnsi="Cambria Math" w:eastAsiaTheme="minorEastAsia"/>
            <w:sz w:val="21"/>
          </w:rPr>
          <m:t>i</m:t>
        </m:r>
        <m:r>
          <m:rPr/>
          <w:rPr>
            <w:rFonts w:hint="default" w:ascii="Cambria Math" w:hAnsi="Cambria Math"/>
            <w:sz w:val="21"/>
            <w:lang w:val="en-US" w:eastAsia="zh-CN"/>
          </w:rPr>
          <m:t xml:space="preserve"> </m:t>
        </m:r>
      </m:oMath>
      <w:r>
        <w:rPr>
          <w:rFonts w:hint="eastAsia" w:asciiTheme="minorHAnsi" w:eastAsiaTheme="minorEastAsia"/>
          <w:lang w:val="en-US" w:eastAsia="zh-CN"/>
        </w:rPr>
        <w:t>的输入集合，引入多个异构大语言模型（LLMs，记为评估者</w:t>
      </w:r>
      <m:oMath>
        <m:r>
          <m:rPr/>
          <w:rPr>
            <w:rFonts w:hint="default" w:ascii="Cambria Math"/>
            <w:lang w:val="en-US" w:eastAsia="zh-CN"/>
          </w:rPr>
          <m:t xml:space="preserve"> </m:t>
        </m:r>
        <m:r>
          <m:rPr/>
          <w:rPr>
            <w:rFonts w:hint="default" w:ascii="Cambria Math" w:hAnsi="Cambria Math" w:eastAsiaTheme="minorEastAsia"/>
            <w:sz w:val="21"/>
          </w:rPr>
          <m:t>r</m:t>
        </m:r>
        <m:r>
          <m:rPr/>
          <w:rPr>
            <w:rFonts w:hint="default" w:ascii="Cambria Math" w:hAnsi="Cambria Math"/>
            <w:sz w:val="21"/>
            <w:lang w:val="en-US" w:eastAsia="zh-CN"/>
          </w:rPr>
          <m:t xml:space="preserve"> </m:t>
        </m:r>
      </m:oMath>
      <w:r>
        <w:rPr>
          <w:rFonts w:hint="eastAsia" w:asciiTheme="minorHAnsi" w:eastAsiaTheme="minorEastAsia"/>
          <w:lang w:val="en-US" w:eastAsia="zh-CN"/>
        </w:rPr>
        <w:t xml:space="preserve">），针对可理解性（Understandable , U）、无歧义性（Unambiguous , A）、正确性（Correctness , C）、与可验证性（Verifiable , V）四个维度 </w:t>
      </w:r>
      <m:oMath>
        <m:r>
          <m:rPr/>
          <w:rPr>
            <w:rFonts w:hint="default" w:ascii="Cambria Math" w:hAnsi="Cambria Math" w:eastAsiaTheme="minorEastAsia"/>
            <w:sz w:val="21"/>
          </w:rPr>
          <m:t>d∈{U,A,C,V}</m:t>
        </m:r>
      </m:oMath>
      <w:r>
        <w:rPr>
          <w:rFonts w:hint="eastAsia" w:asciiTheme="minorHAnsi" w:eastAsiaTheme="minorEastAsia"/>
          <w:lang w:val="en-US" w:eastAsia="zh-CN"/>
        </w:rPr>
        <w:t>，分别输出基于 Likert 1-5 数量表的评分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asciiTheme="minorHAnsi" w:eastAsiaTheme="minorEastAsia"/>
          <w:lang w:val="en-US" w:eastAsia="zh-CN"/>
        </w:rPr>
        <w:t>，以及相应的置信度、证据片段与改写建议。研究的最终输出旨在超越简单的</w:t>
      </w:r>
      <w:r>
        <w:rPr>
          <w:rFonts w:hint="eastAsia"/>
          <w:lang w:val="en-US" w:eastAsia="zh-CN"/>
        </w:rPr>
        <w:t>文档级</w:t>
      </w:r>
      <w:r>
        <w:rPr>
          <w:rFonts w:hint="eastAsia" w:asciiTheme="minorHAnsi" w:eastAsiaTheme="minorEastAsia"/>
          <w:lang w:val="en-US" w:eastAsia="zh-CN"/>
        </w:rPr>
        <w:t>分数聚合，为每条需求提供包含“条目编号、问题类型、证据片段、建议改写及影响力”的团队级诊断结论。</w:t>
      </w:r>
    </w:p>
    <w:p w14:paraId="5409CAEE">
      <w:pPr>
        <w:rPr>
          <w:rFonts w:hint="eastAsia" w:asciiTheme="minorHAnsi" w:eastAsiaTheme="minorEastAsia"/>
          <w:lang w:val="en-US" w:eastAsia="zh-CN"/>
        </w:rPr>
      </w:pPr>
      <w:r>
        <w:rPr>
          <w:rFonts w:hint="eastAsia" w:asciiTheme="minorHAnsi" w:eastAsiaTheme="minorEastAsia"/>
          <w:lang w:val="en-US" w:eastAsia="zh-CN"/>
        </w:rPr>
        <w:t>然而，在多 LLM 协作的需求质量评审场景中，不同模型对同意需求条目及同一质量维度的判断往往存在分歧。这种分歧并非偶然的随机噪声，而是由模型底层架构、训练数据、对其策略、推理风格以及对需求语义边界的不同理解共同导致的结构性现象。传统多数表决或均值聚合机制通常隐含一个前提：越接近群体中心的判断越可靠，越偏离共识的判断越可疑。但在需求质量评审中，这一假设并不充分成立。某个模型给出的偏离评分既可能源于幻觉、误解或弱证据推断，也可能意味着该模型捕获了其他模型忽略的隐蔽缺陷。因此，“离群”本身并不必然等同于错误；关键问题在于如何判断一个偏离判断是否具有审查价值。</w:t>
      </w:r>
    </w:p>
    <w:p w14:paraId="687D1F1B">
      <w:pPr>
        <w:rPr>
          <w:rFonts w:hint="eastAsia" w:hAnsi="Cambria Math"/>
          <w:i w:val="0"/>
          <w:sz w:val="21"/>
          <w:lang w:val="en-US" w:eastAsia="zh-CN"/>
        </w:rPr>
      </w:pPr>
      <w:r>
        <w:rPr>
          <w:rFonts w:hint="eastAsia"/>
          <w:lang w:val="en-US" w:eastAsia="zh-CN"/>
        </w:rPr>
        <w:t>具体而言，对于任意</w:t>
      </w:r>
      <w:r>
        <w:rPr>
          <w:rFonts w:hint="eastAsia" w:asciiTheme="minorHAnsi" w:eastAsiaTheme="minorEastAsia"/>
          <w:lang w:val="en-US" w:eastAsia="zh-CN"/>
        </w:rPr>
        <w:t>需求条目</w:t>
      </w:r>
      <m:oMath>
        <m:r>
          <m:rPr/>
          <w:rPr>
            <w:rFonts w:hint="default" w:ascii="Cambria Math"/>
            <w:lang w:val="en-US" w:eastAsia="zh-CN"/>
          </w:rPr>
          <m:t xml:space="preserve"> </m:t>
        </m:r>
        <m:r>
          <m:rPr/>
          <w:rPr>
            <w:rFonts w:hint="default" w:ascii="Cambria Math" w:hAnsi="Cambria Math" w:eastAsiaTheme="minorEastAsia"/>
            <w:sz w:val="21"/>
          </w:rPr>
          <m:t>i</m:t>
        </m:r>
        <m:r>
          <m:rPr/>
          <w:rPr>
            <w:rFonts w:hint="default" w:ascii="Cambria Math" w:hAnsi="Cambria Math"/>
            <w:sz w:val="21"/>
            <w:lang w:val="en-US" w:eastAsia="zh-CN"/>
          </w:rPr>
          <m:t xml:space="preserve"> </m:t>
        </m:r>
      </m:oMath>
      <w:r>
        <w:rPr>
          <w:rFonts w:hint="eastAsia" w:hAnsi="Cambria Math"/>
          <w:i w:val="0"/>
          <w:sz w:val="21"/>
          <w:lang w:val="en-US" w:eastAsia="zh-CN"/>
        </w:rPr>
        <w:t>与质量维度</w:t>
      </w:r>
      <m:oMath>
        <m:r>
          <m:rPr/>
          <w:rPr>
            <w:rFonts w:hint="default" w:ascii="Cambria Math" w:hAnsi="Cambria Math" w:eastAsiaTheme="minorEastAsia"/>
            <w:sz w:val="21"/>
          </w:rPr>
          <m:t>d</m:t>
        </m:r>
      </m:oMath>
      <w:r>
        <w:rPr>
          <w:rFonts w:hint="eastAsia" w:hAnsi="Cambria Math"/>
          <w:i w:val="0"/>
          <w:sz w:val="21"/>
          <w:lang w:eastAsia="zh-CN"/>
        </w:rPr>
        <w:t>，</w:t>
      </w:r>
      <w:r>
        <w:rPr>
          <w:rFonts w:hint="eastAsia" w:hAnsi="Cambria Math"/>
          <w:i w:val="0"/>
          <w:sz w:val="21"/>
          <w:lang w:val="en-US" w:eastAsia="zh-CN"/>
        </w:rPr>
        <w:t>本文以所有模型评分的中位数</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oMath>
      <w:r>
        <w:rPr>
          <w:rFonts w:hint="eastAsia" w:hAnsi="Cambria Math"/>
          <w:i w:val="0"/>
          <w:sz w:val="21"/>
          <w:lang w:val="en-US" w:eastAsia="zh-CN"/>
        </w:rPr>
        <w:t>作为群体基准。当某一模型评分满足</w:t>
      </w:r>
      <m:oMath>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时，该评分被识别为一个“离群”事件。此时该离群事件可能属于两种性质完全不同的情形：一种是“坏离群（Bad Outlier）”，即评分显著偏离群体基准，但缺乏充分证据、存在维度错配或无法给出可执行改写；另一种是“好离群（Good Outlier）”，即评分虽然偏离多数模型判断，但能够提供明确证据、合理解释和可操作的修改建议，从而揭示被多数模型忽略的潜在需求缺陷。若直接采用多数表决或向中位数收敛的策略，前者可能被错误保留，后者则可能被过早抹平。</w:t>
      </w:r>
    </w:p>
    <w:p w14:paraId="335FFB28">
      <w:pPr>
        <w:rPr>
          <w:rFonts w:hint="eastAsia" w:hAnsi="Cambria Math"/>
          <w:i w:val="0"/>
          <w:sz w:val="21"/>
          <w:lang w:val="en-US" w:eastAsia="zh-CN"/>
        </w:rPr>
      </w:pPr>
      <w:r>
        <w:rPr>
          <w:rFonts w:hint="eastAsia" w:hAnsi="Cambria Math"/>
          <w:i w:val="0"/>
          <w:sz w:val="21"/>
          <w:lang w:val="en-US" w:eastAsia="zh-CN"/>
        </w:rPr>
        <w:t>因此，本文要解决的核心问题不是“如何让多模型评分更接近一致”，而是“如何识别哪些分歧具有审查价值，并将这种价值稳定地转化为最终团队结论”。这一问题包含三个连续挑战。首先，需要在per-requirement粒度下刻画多异构LLM初始评分的分歧结构，识别哪些需求条目与质量维度更容易触发强离群事件。其次，需要进一步判断离群事件的质量，即区分具有充分证据和可执行改写的高价值离群意见，以及由幻觉、弱证据或维度误判导致的低质量偏离。最后，需要将离群质量判别结果转化为模型级可靠性估计，并在条目级圆桌共识中与模型的动态置信度结合，生成更稳定、更聚焦且更具工程可用性的团队级问题清单。</w:t>
      </w:r>
    </w:p>
    <w:p w14:paraId="3BE251CB">
      <w:pPr>
        <w:rPr>
          <w:rFonts w:hint="eastAsia" w:hAnsi="Cambria Math"/>
          <w:i w:val="0"/>
          <w:sz w:val="21"/>
          <w:lang w:val="en-US" w:eastAsia="zh-CN"/>
        </w:rPr>
      </w:pPr>
      <w:r>
        <w:rPr>
          <w:rFonts w:hint="eastAsia" w:hAnsi="Cambria Math"/>
          <w:i w:val="0"/>
          <w:sz w:val="21"/>
          <w:lang w:val="en-US" w:eastAsia="zh-CN"/>
        </w:rPr>
        <w:t>从不确定性建模角度看，多LLM需求质量评审可以被理解为一个多观察者推断问题。对于任意需求条目及其质量维度，真实缺陷状态并不能被模型直接观测，而只能通过多个模型给出的评分、置信度、证据片段和改写建议间接反映。换言之，每个模型输出都不是确定性真值，而是带有模型偏好、推理能力差异与潜在幻觉风险的“noisy observation”。在这一视角下，多模型聚合的关键不只是对多个评分求平均，而是在缺乏直接真值的条件下，根据模型在当前文档中的输出质量与离群表现，更新对其审查可靠性的估计，并进一步推断某一候选缺陷是否应被保留为团队级结论。</w:t>
      </w:r>
    </w:p>
    <w:p w14:paraId="3C07892E">
      <w:pPr>
        <w:rPr>
          <w:rFonts w:hint="default" w:hAnsi="Cambria Math"/>
          <w:i w:val="0"/>
          <w:sz w:val="21"/>
          <w:lang w:val="en-US" w:eastAsia="zh-CN"/>
        </w:rPr>
      </w:pPr>
      <w:r>
        <w:rPr>
          <w:rFonts w:hint="default" w:hAnsi="Cambria Math"/>
          <w:i w:val="0"/>
          <w:sz w:val="21"/>
          <w:lang w:val="en-US" w:eastAsia="zh-CN"/>
        </w:rPr>
        <w:t>基于这一认识，本文将好离群与坏离群视为模型可靠性更新的观测证据。若某模型多次产生偏离中位数但证据充分、维度匹配且改写可执行的判断，则这些事件应构成提升其后续影响力的正向证据；相反，若某模型频繁产生证据缺失、维度错配或改写不可落地的偏离判断，则这些事件应构成削弱其后续影响力的负向证据。因此，本文不预设所有模型在需求评审任务中具有相同可靠性，也不依据通用benchmark或模型</w:t>
      </w:r>
      <w:r>
        <w:rPr>
          <w:rFonts w:hint="eastAsia" w:hAnsi="Cambria Math"/>
          <w:i w:val="0"/>
          <w:sz w:val="21"/>
          <w:lang w:val="en-US" w:eastAsia="zh-CN"/>
        </w:rPr>
        <w:t>推理能力</w:t>
      </w:r>
      <w:r>
        <w:rPr>
          <w:rFonts w:hint="default" w:hAnsi="Cambria Math"/>
          <w:i w:val="0"/>
          <w:sz w:val="21"/>
          <w:lang w:val="en-US" w:eastAsia="zh-CN"/>
        </w:rPr>
        <w:t>进行静态排序，而是依据当前需求文档中的好/坏离群表现构建任务内、文档内的模型画像。进一步地，本文采用带有保守先验约束的贝叶斯式可靠性更新思想，将好离群强度与坏离群强度分别视为支持或削弱模型可靠性的证据，并据此形成后续圆桌共识阶段使用的固定模型权重。</w:t>
      </w:r>
    </w:p>
    <w:p w14:paraId="4D83635C">
      <w:pPr>
        <w:rPr>
          <w:rFonts w:hint="default" w:hAnsi="Cambria Math"/>
          <w:i w:val="0"/>
          <w:sz w:val="21"/>
          <w:lang w:val="en-US" w:eastAsia="zh-CN"/>
        </w:rPr>
      </w:pPr>
      <w:r>
        <w:rPr>
          <w:rFonts w:hint="default" w:hAnsi="Cambria Math"/>
          <w:i w:val="0"/>
          <w:sz w:val="21"/>
          <w:lang w:val="en-US" w:eastAsia="zh-CN"/>
        </w:rPr>
        <w:t>这一设定使本文区别于三类常见方法。第一，本文不同于单模型需求评审，因为它不依赖某一模型独立完成缺陷判断，而是利用异构模型之间的差异作为信息来源。第二，本文不同于简单等权聚合，因为它并不假设所有模型输出具有相同可信度，而是根据模型在当前文档中的离群质量表现调整其后续影响力。第三，本文也不同于单纯追求一致性的多智能体讨论，因为它并不将分歧本身视为需要消除的噪声，而是将分歧进一步拆解为高价值异议与低质量偏离，并利用这种区分结果驱动模型定权与团队共识生成。</w:t>
      </w:r>
    </w:p>
    <w:p w14:paraId="2903BC5F">
      <w:pPr>
        <w:rPr>
          <w:rFonts w:hint="default" w:hAnsi="Cambria Math"/>
          <w:i w:val="0"/>
          <w:sz w:val="21"/>
          <w:lang w:val="en-US" w:eastAsia="zh-CN"/>
        </w:rPr>
      </w:pPr>
      <w:r>
        <w:rPr>
          <w:rFonts w:hint="default" w:hAnsi="Cambria Math"/>
          <w:i w:val="0"/>
          <w:sz w:val="21"/>
          <w:lang w:val="en-US" w:eastAsia="zh-CN"/>
        </w:rPr>
        <w:t>综上，本文研究的问题可以概括为：在面向逐条需求的U/A/C/V质量评估任务中，如何将多LLM的结构化分歧从简单的评分偏差转化为可解释的可靠性证据，并进一步利用这种证据驱动模型权重更新与条目级圆桌共识形成。为此，本文构建一条从初始评分分歧识别、离群事件质量判别、模型画像与后验式权重构造，到固定权重与动态置信度融合的团队级问题清单生成的完整决策链。该框架旨在避免“趋同即正确”的共识谬误，在抑制低质量偏离的同时保留并放大具有工程审查价值的少数派意见。</w:t>
      </w:r>
    </w:p>
    <w:p w14:paraId="5400BC40">
      <w:pPr>
        <w:pStyle w:val="4"/>
        <w:bidi w:val="0"/>
        <w:rPr>
          <w:rFonts w:hint="eastAsia"/>
          <w:lang w:val="en-US" w:eastAsia="zh-CN"/>
        </w:rPr>
      </w:pPr>
      <w:r>
        <w:rPr>
          <w:rFonts w:hint="eastAsia"/>
          <w:lang w:val="en-US" w:eastAsia="zh-CN"/>
        </w:rPr>
        <w:t>3.2 Research Questions</w:t>
      </w:r>
    </w:p>
    <w:p w14:paraId="21FB626E">
      <w:pPr>
        <w:rPr>
          <w:rFonts w:hint="default"/>
          <w:lang w:val="en-US" w:eastAsia="zh-CN"/>
        </w:rPr>
      </w:pPr>
      <w:r>
        <w:rPr>
          <w:rFonts w:hint="default"/>
          <w:lang w:val="en-US" w:eastAsia="zh-CN"/>
        </w:rPr>
        <w:t>基于上述问题陈述，本文提出以下三个研究问题。三个研究问题分别对应本文研究逻辑中的三个层次：首先分析单个 LLM 在逐条需求质量问题识别中的差异性；其次评估本文提出的离群感知共识流程相对于单模型和传统聚合基线的表现与权衡；最后进一步考察该方法在不同需求文档和质量维度下的表现变化。</w:t>
      </w:r>
    </w:p>
    <w:p w14:paraId="3DE3D15E">
      <w:pPr>
        <w:rPr>
          <w:rFonts w:hint="default"/>
          <w:b/>
          <w:bCs/>
          <w:lang w:val="en-US" w:eastAsia="zh-CN"/>
        </w:rPr>
      </w:pPr>
      <w:r>
        <w:rPr>
          <w:rFonts w:hint="default"/>
          <w:b/>
          <w:bCs/>
          <w:lang w:val="en-US" w:eastAsia="zh-CN"/>
        </w:rPr>
        <w:t>RQ1</w:t>
      </w:r>
      <w:r>
        <w:rPr>
          <w:rFonts w:hint="eastAsia"/>
          <w:b/>
          <w:bCs/>
          <w:lang w:val="en-US" w:eastAsia="zh-CN"/>
        </w:rPr>
        <w:t>:</w:t>
      </w:r>
      <w:r>
        <w:rPr>
          <w:rFonts w:hint="default"/>
          <w:b/>
          <w:bCs/>
          <w:lang w:val="en-US" w:eastAsia="zh-CN"/>
        </w:rPr>
        <w:t>How do individual LLMs differ in identifying per-requirement quality issues in software requirements?</w:t>
      </w:r>
    </w:p>
    <w:p w14:paraId="49F055DC">
      <w:pPr>
        <w:rPr>
          <w:rFonts w:hint="default"/>
          <w:lang w:val="en-US" w:eastAsia="zh-CN"/>
        </w:rPr>
      </w:pPr>
      <w:r>
        <w:rPr>
          <w:rFonts w:hint="default"/>
          <w:lang w:val="en-US" w:eastAsia="zh-CN"/>
        </w:rPr>
        <w:t>RQ1 关注单个 LLM 在逐条需求质量问题识别中的差异性。具体而言，本文分析不同 LLM 在 U/A/C/V 四个质量维度上的评分分布、证据使用、问题类型识别、维度敏感性以及离群行为是否存在系统差异。该问题的目的在于刻画多模型初始判断之间是否存在可观察、可分析的结构性分歧，从而为后续引入多 LLM 协同机制和离群感知处理提供经验基础。</w:t>
      </w:r>
    </w:p>
    <w:p w14:paraId="0B8525BA">
      <w:pPr>
        <w:rPr>
          <w:rFonts w:hint="default"/>
          <w:b/>
          <w:bCs/>
          <w:lang w:val="en-US" w:eastAsia="zh-CN"/>
        </w:rPr>
      </w:pPr>
      <w:r>
        <w:rPr>
          <w:rFonts w:hint="default"/>
          <w:b/>
          <w:bCs/>
          <w:lang w:val="en-US" w:eastAsia="zh-CN"/>
        </w:rPr>
        <w:t>RQ2</w:t>
      </w:r>
      <w:r>
        <w:rPr>
          <w:rFonts w:hint="eastAsia"/>
          <w:b/>
          <w:bCs/>
          <w:lang w:val="en-US" w:eastAsia="zh-CN"/>
        </w:rPr>
        <w:t>:</w:t>
      </w:r>
      <w:r>
        <w:rPr>
          <w:rFonts w:hint="default"/>
          <w:b/>
          <w:bCs/>
          <w:lang w:val="en-US" w:eastAsia="zh-CN"/>
        </w:rPr>
        <w:t>How does the proposed outlier-aware consensus workflow compare with individual LLMs and aggregation baselines in producing per-requirement quality issue lists?</w:t>
      </w:r>
    </w:p>
    <w:p w14:paraId="01876007">
      <w:pPr>
        <w:rPr>
          <w:rFonts w:hint="default"/>
          <w:lang w:val="en-US" w:eastAsia="zh-CN"/>
        </w:rPr>
      </w:pPr>
      <w:r>
        <w:rPr>
          <w:rFonts w:hint="eastAsia" w:asciiTheme="minorHAnsi" w:eastAsiaTheme="minorEastAsia"/>
          <w:lang w:val="en-US" w:eastAsia="zh-CN"/>
        </w:rPr>
        <w:t>RQ2 关注本文提出的离群感知共识流程在生成逐条需求质量问题清单时，相较于单模型评审和传统聚合基线表现出怎样的效果与权衡。这里的 proposed outlier-aware consensus workflow 指本文提出的完整流程，包括结构化评分、离群预筛、论证质量向量、好/坏离群判别、模型画像与固定权重，以及结合动态置信度的圆桌共识。该问题并不预设本文方法必然在所有指标上优于基线，而是考察其在 Ground Truth 对齐、问题清单规模、证据支持、集合收敛性和人工审查可用性等方面的综合表现。通过该问题，本文旨在判断该流程是否能够将多模型分歧转化为更稳定、更聚焦的团队级需求问题清单，同时识别其可能带来的召回损失或过度过滤风险。</w:t>
      </w:r>
    </w:p>
    <w:p w14:paraId="4457C75A">
      <w:pPr>
        <w:rPr>
          <w:rFonts w:hint="default"/>
          <w:b/>
          <w:bCs/>
          <w:lang w:val="en-US" w:eastAsia="zh-CN"/>
        </w:rPr>
      </w:pPr>
      <w:r>
        <w:rPr>
          <w:rFonts w:hint="default"/>
          <w:b/>
          <w:bCs/>
          <w:lang w:val="en-US" w:eastAsia="zh-CN"/>
        </w:rPr>
        <w:t>RQ3</w:t>
      </w:r>
      <w:r>
        <w:rPr>
          <w:rFonts w:hint="eastAsia"/>
          <w:b/>
          <w:bCs/>
          <w:lang w:val="en-US" w:eastAsia="zh-CN"/>
        </w:rPr>
        <w:t>:</w:t>
      </w:r>
      <w:r>
        <w:rPr>
          <w:rFonts w:hint="default"/>
          <w:b/>
          <w:bCs/>
          <w:lang w:val="en-US" w:eastAsia="zh-CN"/>
        </w:rPr>
        <w:t>How does the performance of the consensus workflow vary across requirements documents and quality dimensions?</w:t>
      </w:r>
    </w:p>
    <w:p w14:paraId="39A5CD96">
      <w:pPr>
        <w:rPr>
          <w:rFonts w:hint="default"/>
          <w:lang w:val="en-US" w:eastAsia="zh-CN"/>
        </w:rPr>
      </w:pPr>
      <w:r>
        <w:rPr>
          <w:rFonts w:hint="eastAsia" w:asciiTheme="minorHAnsi" w:eastAsiaTheme="minorEastAsia"/>
          <w:lang w:val="en-US" w:eastAsia="zh-CN"/>
        </w:rPr>
        <w:t>RQ3 关注本文提出的共识流程在不同需求文档和不同质量维度下的表现差异。与 RQ2 主要评估方法的整体效果不同，RQ3 进一步分析该方法的性能是否会随着需求文档规模、缺陷密度、领域语境以及 U/A/C/V 质量维度的不同而发生变化。该问题旨在识别共识流程在哪些文档或质量问题类型上更有效，以及在哪些场景下仍然存在局限。该分析有助于揭示本文方法的适用边界，并为其在真实需求质量评审场景中的使用提供依据。</w:t>
      </w:r>
    </w:p>
    <w:p w14:paraId="518D0FBD">
      <w:pPr>
        <w:pStyle w:val="3"/>
        <w:bidi w:val="0"/>
        <w:jc w:val="left"/>
        <w:rPr>
          <w:rFonts w:hint="eastAsia"/>
          <w:lang w:val="en-US" w:eastAsia="zh-CN"/>
        </w:rPr>
      </w:pPr>
      <w:r>
        <w:rPr>
          <w:rFonts w:hint="eastAsia"/>
          <w:lang w:val="en-US" w:eastAsia="zh-CN"/>
        </w:rPr>
        <w:t>4 Methodology</w:t>
      </w:r>
    </w:p>
    <w:p w14:paraId="290B56E7">
      <w:pPr>
        <w:rPr>
          <w:rFonts w:hint="default" w:eastAsiaTheme="minorEastAsia"/>
          <w:lang w:val="en-US" w:eastAsia="zh-CN"/>
        </w:rPr>
      </w:pPr>
      <w:r>
        <w:rPr>
          <w:rFonts w:hint="default"/>
          <w:lang w:val="en-US" w:eastAsia="zh-CN"/>
        </w:rPr>
        <w:t>本研究构建了一种融合多大语言模型与动态圆桌共识机制的自动化需求质量评估框架</w:t>
      </w:r>
      <w:r>
        <w:rPr>
          <w:rFonts w:hint="eastAsia"/>
          <w:lang w:val="en-US" w:eastAsia="zh-CN"/>
        </w:rPr>
        <w:t xml:space="preserve">，其核心目标是在单份需求文档内部，以per-requirement为分析粒度，将多个异构大语言模型对同一需求条目的质量判断、证据与改写建议组织为可解释、可复现的团队级问题清单。设待评估的需求条目集合为 </w:t>
      </w:r>
      <m:oMath>
        <m:r>
          <m:rPr>
            <m:scr m:val="script"/>
          </m:rPr>
          <w:rPr>
            <w:rFonts w:hint="default" w:ascii="Cambria Math" w:hAnsi="Cambria Math" w:eastAsia="MS Mincho"/>
            <w:sz w:val="21"/>
          </w:rPr>
          <m:t>ℐ</m:t>
        </m:r>
        <m:r>
          <m:rPr/>
          <w:rPr>
            <w:rFonts w:hint="default" w:ascii="Cambria Math" w:hAnsi="Cambria Math" w:eastAsiaTheme="minorEastAsia"/>
            <w:sz w:val="21"/>
          </w:rPr>
          <m:t>={1,…,n}</m:t>
        </m:r>
      </m:oMath>
      <w:r>
        <w:rPr>
          <w:rFonts w:hint="eastAsia"/>
          <w:lang w:val="en-US" w:eastAsia="zh-CN"/>
        </w:rPr>
        <w:t>，评价维度集合限定为</w:t>
      </w:r>
      <m:oMath>
        <m:r>
          <m:rPr>
            <m:scr m:val="script"/>
          </m:rPr>
          <w:rPr>
            <w:rFonts w:hint="default" w:ascii="Cambria Math" w:hAnsi="Cambria Math" w:eastAsia="MS Mincho"/>
            <w:sz w:val="21"/>
          </w:rPr>
          <m:t>D</m:t>
        </m:r>
        <m:r>
          <m:rPr/>
          <w:rPr>
            <w:rFonts w:hint="default" w:ascii="Cambria Math" w:hAnsi="Cambria Math" w:eastAsiaTheme="minorEastAsia"/>
            <w:sz w:val="21"/>
          </w:rPr>
          <m:t>={U,A,C,V}</m:t>
        </m:r>
      </m:oMath>
      <w:r>
        <w:rPr>
          <w:rFonts w:hint="eastAsia" w:hAnsi="Cambria Math"/>
          <w:i w:val="0"/>
          <w:sz w:val="21"/>
          <w:lang w:eastAsia="zh-CN"/>
        </w:rPr>
        <w:t>，</w:t>
      </w:r>
      <w:r>
        <w:rPr>
          <w:rFonts w:hint="eastAsia" w:hAnsi="Cambria Math"/>
          <w:i w:val="0"/>
          <w:sz w:val="21"/>
          <w:lang w:val="en-US" w:eastAsia="zh-CN"/>
        </w:rPr>
        <w:t>分别对应可理解性 Understandable、无歧义性 Unambiguous、正确性 Correctness 与可验证性 Verifiable。</w:t>
      </w:r>
    </w:p>
    <w:p w14:paraId="5B4C60E5">
      <w:pPr>
        <w:rPr>
          <w:rFonts w:hint="eastAsia"/>
          <w:lang w:val="en-US" w:eastAsia="zh-CN"/>
        </w:rPr>
      </w:pPr>
      <w:r>
        <w:rPr>
          <w:rFonts w:hint="eastAsia"/>
          <w:lang w:val="en-US" w:eastAsia="zh-CN"/>
        </w:rPr>
        <w:t xml:space="preserve">对于任意模型或评分者 </w:t>
      </w:r>
      <m:oMath>
        <m:r>
          <m:rPr/>
          <w:rPr>
            <w:rFonts w:hint="default" w:ascii="Cambria Math" w:hAnsi="Cambria Math" w:eastAsiaTheme="minorEastAsia"/>
            <w:sz w:val="21"/>
          </w:rPr>
          <m:t>r∈</m:t>
        </m:r>
        <m:r>
          <m:rPr>
            <m:scr m:val="script"/>
          </m:rPr>
          <w:rPr>
            <w:rFonts w:hint="default" w:ascii="Cambria Math" w:hAnsi="Cambria Math" w:eastAsia="MS Mincho"/>
            <w:sz w:val="21"/>
          </w:rPr>
          <m:t>ℛ</m:t>
        </m:r>
      </m:oMath>
      <w:r>
        <w:rPr>
          <w:rFonts w:hint="eastAsia"/>
          <w:lang w:val="en-US" w:eastAsia="zh-CN"/>
        </w:rPr>
        <w:t xml:space="preserve">、需求条目 </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lang w:val="en-US" w:eastAsia="zh-CN"/>
        </w:rPr>
        <w:t xml:space="preserve"> 以及维度</w:t>
      </w:r>
      <m:oMath>
        <m:r>
          <m:rPr/>
          <w:rPr>
            <w:rFonts w:hint="default" w:ascii="Cambria Math" w:hAnsi="Cambria Math" w:eastAsiaTheme="minorEastAsia"/>
            <w:sz w:val="21"/>
          </w:rPr>
          <m:t>d∈</m:t>
        </m:r>
        <m:r>
          <m:rPr>
            <m:scr m:val="script"/>
          </m:rPr>
          <w:rPr>
            <w:rFonts w:hint="default" w:ascii="Cambria Math" w:hAnsi="Cambria Math" w:eastAsia="MS Mincho"/>
            <w:sz w:val="21"/>
          </w:rPr>
          <m:t>D</m:t>
        </m:r>
      </m:oMath>
      <w:r>
        <w:rPr>
          <w:rFonts w:hint="eastAsia"/>
          <w:lang w:val="en-US" w:eastAsia="zh-CN"/>
        </w:rPr>
        <w:t xml:space="preserve">，模型输出一个 Likert 1..5 的评分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lang w:val="en-US" w:eastAsia="zh-CN"/>
        </w:rPr>
        <w:t>，并提供相应的置信度、证据片段与建议改写。本文的方法流程通过以下七个阶段，将多模型的异质化评分转化为可复现的团队级需求诊断清单：多LLM逐条需求结构化评分、基于中位数的离群事件自动预筛、论证质量向量评分、好离群/坏离群判别、模型画像与权重构造、固定权重与动态置信度融合的条目级圆桌共识，以及最终问题清单提取。</w:t>
      </w:r>
    </w:p>
    <w:p w14:paraId="79798BE5">
      <w:pPr>
        <w:rPr>
          <w:rFonts w:hint="default"/>
          <w:lang w:val="en-US" w:eastAsia="zh-CN"/>
        </w:rPr>
      </w:pPr>
      <w:r>
        <w:rPr>
          <w:rFonts w:hint="default"/>
          <w:lang w:val="en-US" w:eastAsia="zh-CN"/>
        </w:rPr>
        <w:t>为增强模型定权过程的统计解释性，本文进一步从贝叶斯可靠性更新的视角解释多LLM协同评审过程。具体而言，本文不假设所有模型在需求质量审查中的可靠性相同，而是将每个模型视为一个具有未知审查可靠性的观察者。模型在当前文档中产生的好离群与坏离群，分别被视为支持或削弱其可靠性的观测证据。好离群表示模型虽然偏离群体中位数，但其证据充分、维度匹配且改写建议具有可执行性，因而构成正向证据；坏离群则表示模型偏离群体判断的同时缺乏有效论证，因而构成负向证据。基于这一设定，本文的模型定权过程可以被理解为：先对每个模型赋予均匀且保守的先验信任，再根据当前文档中好/坏离群的观测结果更新其后验可靠性，并将该后验可靠性转化为后续圆桌共识阶段的固定模型权重。</w:t>
      </w:r>
    </w:p>
    <w:p w14:paraId="3538068B">
      <w:pPr>
        <w:rPr>
          <w:rFonts w:hint="default"/>
          <w:lang w:val="en-US" w:eastAsia="zh-CN"/>
        </w:rPr>
      </w:pPr>
      <w:r>
        <w:rPr>
          <w:rFonts w:hint="default"/>
          <w:lang w:val="en-US" w:eastAsia="zh-CN"/>
        </w:rPr>
        <w:t>这种贝叶斯式解释并不改变本文原有的离群定义、论证质量向量或圆桌共识流程，而是为</w:t>
      </w:r>
      <w:r>
        <w:rPr>
          <w:rFonts w:hint="eastAsia"/>
          <w:lang w:val="en-US" w:eastAsia="zh-CN"/>
        </w:rPr>
        <w:t>“</w:t>
      </w:r>
      <w:r>
        <w:rPr>
          <w:rFonts w:hint="default"/>
          <w:lang w:val="en-US" w:eastAsia="zh-CN"/>
        </w:rPr>
        <w:t>为什么好离群应当升权、坏离群应当降权</w:t>
      </w:r>
      <w:r>
        <w:rPr>
          <w:rFonts w:hint="eastAsia"/>
          <w:lang w:val="en-US" w:eastAsia="zh-CN"/>
        </w:rPr>
        <w:t>”</w:t>
      </w:r>
      <w:r>
        <w:rPr>
          <w:rFonts w:hint="default"/>
          <w:lang w:val="en-US" w:eastAsia="zh-CN"/>
        </w:rPr>
        <w:t>提供更明确的概率化依据。与简单多数表决不同，该机制不将偏离群体中心的判断直接视为噪声；与静态模型排序不同，该机制也不预设某一模型在所有任务上永久更可靠。相反，模型权重由当前文档中的有效证据驱动，并受到保守先验约束，从而避免少量偶然离群事件对权重造成过度影响。由此，本文的方法框架可以被概括为一种evidence-driven and uncertainty-aware的多LLM需求质量评审机制：它通过离群质量判别积累模型可靠性证据，再通过后验式权重更新与条目级动态置信度共同驱动团队共识形成。</w:t>
      </w:r>
    </w:p>
    <w:p w14:paraId="01C5B466">
      <w:pPr>
        <w:pStyle w:val="4"/>
        <w:bidi w:val="0"/>
        <w:rPr>
          <w:rFonts w:hint="eastAsia"/>
          <w:lang w:val="en-US" w:eastAsia="zh-CN"/>
        </w:rPr>
      </w:pPr>
      <w:r>
        <w:rPr>
          <w:rFonts w:hint="eastAsia"/>
          <w:lang w:val="en-US" w:eastAsia="zh-CN"/>
        </w:rPr>
        <w:t>4.1 阶段1：多 LLM 逐条需求结构化评分</w:t>
      </w:r>
    </w:p>
    <w:p w14:paraId="3F7E4BB1">
      <w:pPr>
        <w:rPr>
          <w:rFonts w:hint="eastAsia"/>
          <w:lang w:val="en-US" w:eastAsia="zh-CN"/>
        </w:rPr>
      </w:pPr>
      <w:r>
        <w:rPr>
          <w:rFonts w:hint="eastAsia"/>
          <w:lang w:val="en-US" w:eastAsia="zh-CN"/>
        </w:rPr>
        <w:t>在该阶段，鉴于分析粒度严格限定为逐条需求（per-requirement），我们输入包含需求编号（item）与需求原文（text）的需求条目表requirements，同时引入多个异构LLM（记为评估者</w:t>
      </w:r>
      <m:oMath>
        <m:r>
          <m:rPr/>
          <w:rPr>
            <w:rFonts w:hint="default" w:ascii="Cambria Math" w:hAnsi="Cambria Math"/>
            <w:sz w:val="21"/>
          </w:rPr>
          <m:t>r</m:t>
        </m:r>
      </m:oMath>
      <w:r>
        <w:rPr>
          <w:rFonts w:hint="eastAsia"/>
          <w:lang w:val="en-US" w:eastAsia="zh-CN"/>
        </w:rPr>
        <w:t>）作为虚拟评审员。对每条需求（记作</w:t>
      </w:r>
      <m:oMath>
        <m:r>
          <m:rPr/>
          <w:rPr>
            <w:rFonts w:hint="default" w:ascii="Cambria Math" w:hAnsi="Cambria Math" w:eastAsiaTheme="minorEastAsia"/>
            <w:sz w:val="21"/>
          </w:rPr>
          <m:t>xi</m:t>
        </m:r>
      </m:oMath>
      <w:r>
        <w:rPr>
          <w:rFonts w:hint="eastAsia"/>
          <w:lang w:val="en-US" w:eastAsia="zh-CN"/>
        </w:rPr>
        <w:t>），系统调用每个模型</w:t>
      </w:r>
      <m:oMath>
        <m:r>
          <m:rPr/>
          <w:rPr>
            <w:rFonts w:hint="default" w:ascii="Cambria Math" w:hAnsi="Cambria Math" w:eastAsiaTheme="minorEastAsia"/>
            <w:sz w:val="21"/>
          </w:rPr>
          <m:t>r∈ℛ</m:t>
        </m:r>
      </m:oMath>
      <w:r>
        <w:rPr>
          <w:rFonts w:hint="eastAsia" w:hAnsi="Cambria Math"/>
          <w:i w:val="0"/>
          <w:sz w:val="21"/>
          <w:lang w:val="en-US" w:eastAsia="zh-CN"/>
        </w:rPr>
        <w:t>针对需求条目</w:t>
      </w:r>
      <m:oMath>
        <m:r>
          <m:rPr/>
          <w:rPr>
            <w:rFonts w:hint="default" w:ascii="Cambria Math" w:hAnsi="Cambria Math" w:eastAsiaTheme="minorEastAsia"/>
            <w:sz w:val="21"/>
          </w:rPr>
          <m:t>i∈</m:t>
        </m:r>
        <m:r>
          <m:rPr>
            <m:scr m:val="script"/>
          </m:rPr>
          <w:rPr>
            <w:rFonts w:hint="default" w:ascii="Cambria Math" w:hAnsi="Cambria Math" w:eastAsia="MS Mincho"/>
            <w:sz w:val="21"/>
          </w:rPr>
          <m:t>ℐ</m:t>
        </m:r>
      </m:oMath>
      <w:r>
        <w:rPr>
          <w:rFonts w:hint="eastAsia" w:hAnsi="Cambria Math" w:eastAsia="宋体"/>
          <w:i w:val="0"/>
          <w:sz w:val="21"/>
          <w:lang w:val="en-US" w:eastAsia="zh-CN"/>
        </w:rPr>
        <w:t>在维度</w:t>
      </w:r>
      <m:oMath>
        <m:r>
          <m:rPr/>
          <w:rPr>
            <w:rFonts w:hint="default" w:ascii="Cambria Math" w:hAnsi="Cambria Math" w:eastAsia="MS Mincho"/>
            <w:sz w:val="21"/>
          </w:rPr>
          <m:t>d∈</m:t>
        </m:r>
        <m:r>
          <m:rPr>
            <m:scr m:val="script"/>
          </m:rPr>
          <w:rPr>
            <w:rFonts w:hint="default" w:ascii="Cambria Math" w:hAnsi="Cambria Math" w:eastAsia="MS Mincho"/>
            <w:sz w:val="21"/>
          </w:rPr>
          <m:t>D</m:t>
        </m:r>
      </m:oMath>
      <w:r>
        <w:rPr>
          <w:rFonts w:hint="eastAsia" w:hAnsi="Cambria Math" w:eastAsia="宋体"/>
          <w:i w:val="0"/>
          <w:sz w:val="21"/>
          <w:lang w:val="en-US" w:eastAsia="zh-CN"/>
        </w:rPr>
        <w:t>上进行独立推断，依据1..5分的Likert量表对单条需求独立评分。每个模型必须输出四维评分（</w:t>
      </w:r>
      <m:oMath>
        <m:r>
          <m:rPr/>
          <w:rPr>
            <w:rFonts w:hint="default" w:ascii="Cambria Math" w:hAnsi="Cambria Math" w:eastAsia="MS Mincho"/>
            <w:sz w:val="21"/>
          </w:rPr>
          <m:t>score</m:t>
        </m:r>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∈{1,2,3,4,5}</m:t>
        </m:r>
      </m:oMath>
      <w:r>
        <w:rPr>
          <w:rFonts w:hint="eastAsia" w:hAnsi="Cambria Math" w:eastAsia="宋体"/>
          <w:i w:val="0"/>
          <w:sz w:val="21"/>
          <w:lang w:eastAsia="zh-CN"/>
        </w:rPr>
        <w:t>）</w:t>
      </w:r>
      <w:r>
        <w:rPr>
          <w:rFonts w:hint="eastAsia" w:hAnsi="Cambria Math" w:eastAsia="宋体"/>
          <w:i w:val="0"/>
          <w:sz w:val="21"/>
          <w:lang w:val="en-US" w:eastAsia="zh-CN"/>
        </w:rPr>
        <w:t>、初始置信度（</w:t>
      </w:r>
      <m:oMath>
        <m:r>
          <m:rPr/>
          <w:rPr>
            <w:rFonts w:hint="default" w:ascii="Cambria Math" w:hAnsi="Cambria Math" w:eastAsia="MS Mincho"/>
            <w:sz w:val="21"/>
          </w:rPr>
          <m:t>con</m:t>
        </m:r>
        <m:sSub>
          <m:sSubPr>
            <m:ctrlPr>
              <w:rPr>
                <w:rFonts w:hint="default" w:ascii="Cambria Math" w:hAnsi="Cambria Math" w:eastAsia="MS Mincho"/>
                <w:sz w:val="21"/>
              </w:rPr>
            </m:ctrlPr>
          </m:sSubPr>
          <m:e>
            <m:r>
              <m:rPr/>
              <w:rPr>
                <w:rFonts w:hint="default" w:ascii="Cambria Math" w:hAnsi="Cambria Math" w:eastAsia="MS Mincho"/>
                <w:sz w:val="21"/>
              </w:rPr>
              <m:t>f</m:t>
            </m:r>
            <m:ctrlPr>
              <w:rPr>
                <w:rFonts w:ascii="Cambria Math" w:hAnsi="Cambria Math" w:eastAsia="MS Mincho"/>
                <w:sz w:val="21"/>
              </w:rPr>
            </m:ctrlPr>
          </m:e>
          <m:sub>
            <m:r>
              <m:rPr/>
              <w:rPr>
                <w:rFonts w:hint="default" w:ascii="Cambria Math" w:hAnsi="Cambria Math" w:eastAsia="MS Mincho"/>
                <w:sz w:val="21"/>
              </w:rPr>
              <m:t>r,i,d</m:t>
            </m:r>
            <m:ctrlPr>
              <w:rPr>
                <w:rFonts w:ascii="Cambria Math" w:hAnsi="Cambria Math" w:eastAsia="MS Mincho"/>
                <w:sz w:val="21"/>
              </w:rPr>
            </m:ctrlPr>
          </m:sub>
        </m:sSub>
        <m:r>
          <m:rPr/>
          <w:rPr>
            <w:rFonts w:hint="default" w:ascii="Cambria Math" w:hAnsi="Cambria Math" w:eastAsia="MS Mincho"/>
            <w:sz w:val="21"/>
          </w:rPr>
          <m:t>∈[0,1]</m:t>
        </m:r>
      </m:oMath>
      <w:r>
        <w:rPr>
          <w:rFonts w:hint="eastAsia" w:hAnsi="Cambria Math" w:eastAsia="宋体"/>
          <w:i w:val="0"/>
          <w:sz w:val="21"/>
          <w:lang w:eastAsia="zh-CN"/>
        </w:rPr>
        <w:t>）、</w:t>
      </w:r>
      <w:r>
        <w:rPr>
          <w:rFonts w:hint="eastAsia" w:hAnsi="Cambria Math" w:eastAsia="宋体"/>
          <w:i w:val="0"/>
          <w:sz w:val="21"/>
          <w:lang w:val="en-US" w:eastAsia="zh-CN"/>
        </w:rPr>
        <w:t>相对应的原文证据片段（evidence），以及原子化、无歧义且可执行的建议改写（rewrite_suggestion）。该阶段承担两个基础功能。其一，它将多模型意见统一到相同维度协议和相同数值区间内，使后续的离群识别具有可比较性。其二，它显式地保留证据与改写建议，而不是仅保留数值评分，从而为后续论证质量判定和圆桌讨论提供可审查地语义材料。总而言之，本阶段的输出并非单纯的评分矩阵，而是一个同时保留数值判断与语义判断的结构化多模型评审结果。</w:t>
      </w:r>
    </w:p>
    <w:p w14:paraId="00C5D5E5">
      <w:pPr>
        <w:pStyle w:val="4"/>
        <w:bidi w:val="0"/>
        <w:rPr>
          <w:rFonts w:hint="eastAsia"/>
          <w:lang w:val="en-US" w:eastAsia="zh-CN"/>
        </w:rPr>
      </w:pPr>
      <w:r>
        <w:rPr>
          <w:rFonts w:hint="eastAsia"/>
          <w:lang w:val="en-US" w:eastAsia="zh-CN"/>
        </w:rPr>
        <w:t>4.2 阶段2：离群事件自动预筛</w:t>
      </w:r>
    </w:p>
    <w:p w14:paraId="063B2C22">
      <w:pPr>
        <w:rPr>
          <w:rFonts w:hint="eastAsia"/>
          <w:lang w:val="en-US" w:eastAsia="zh-CN"/>
        </w:rPr>
      </w:pPr>
      <w:r>
        <w:rPr>
          <w:rFonts w:hint="eastAsia"/>
          <w:lang w:val="en-US" w:eastAsia="zh-CN"/>
        </w:rPr>
        <w:t>多LLM评分往往存在显著分歧。本阶段旨在从海量评分长表中识别出严重偏离群体共识的“离群事件”（Outlier Events），以作为后续深度审查的重点。</w:t>
      </w:r>
    </w:p>
    <w:p w14:paraId="6FFDC5E0">
      <w:pPr>
        <w:rPr>
          <w:rFonts w:hint="eastAsia" w:hAnsi="Cambria Math"/>
          <w:i w:val="0"/>
          <w:sz w:val="21"/>
          <w:lang w:val="en-US" w:eastAsia="zh-CN"/>
        </w:rPr>
      </w:pPr>
      <w:r>
        <w:rPr>
          <w:rFonts w:hint="eastAsia"/>
          <w:lang w:val="en-US" w:eastAsia="zh-CN"/>
        </w:rPr>
        <w:t>针对阶段1产出的包含评分分值的全量结构化结果集合，为消除单一模型偏差，我们以模型群体的中位数作为一致性基准。对于每个需求条目</w:t>
      </w:r>
      <m:oMath>
        <m:r>
          <m:rPr/>
          <w:rPr>
            <w:rFonts w:hint="default" w:ascii="Cambria Math" w:hAnsi="Cambria Math"/>
            <w:sz w:val="21"/>
          </w:rPr>
          <m:t>i</m:t>
        </m:r>
      </m:oMath>
      <w:r>
        <w:rPr>
          <w:rFonts w:hint="eastAsia" w:hAnsi="Cambria Math"/>
          <w:i w:val="0"/>
          <w:sz w:val="21"/>
          <w:lang w:val="en-US" w:eastAsia="zh-CN"/>
        </w:rPr>
        <w:t>和每个维度</w:t>
      </w:r>
      <m:oMath>
        <m:r>
          <m:rPr/>
          <w:rPr>
            <w:rFonts w:hint="default" w:ascii="Cambria Math" w:hAnsi="Cambria Math"/>
            <w:sz w:val="21"/>
          </w:rPr>
          <m:t>d</m:t>
        </m:r>
      </m:oMath>
      <w:r>
        <w:rPr>
          <w:rFonts w:hint="eastAsia" w:hAnsi="Cambria Math"/>
          <w:i w:val="0"/>
          <w:sz w:val="21"/>
          <w:lang w:eastAsia="zh-CN"/>
        </w:rPr>
        <w:t>，</w:t>
      </w:r>
      <w:r>
        <w:rPr>
          <w:rFonts w:hint="eastAsia"/>
          <w:lang w:val="en-US" w:eastAsia="zh-CN"/>
        </w:rPr>
        <w:t>我们首先以所有评分者在该二元组</w:t>
      </w:r>
      <m:oMath>
        <m:r>
          <m:rPr/>
          <w:rPr>
            <w:rFonts w:hint="default" w:ascii="Cambria Math" w:hAnsi="Cambria Math" w:eastAsiaTheme="minorEastAsia"/>
            <w:sz w:val="21"/>
          </w:rPr>
          <m:t>(i,d)</m:t>
        </m:r>
      </m:oMath>
      <w:r>
        <w:rPr>
          <w:rFonts w:hint="eastAsia"/>
          <w:lang w:val="en-US" w:eastAsia="zh-CN"/>
        </w:rPr>
        <w:t>上的评分集合{</w:t>
      </w:r>
      <m:oMath>
        <m:sSub>
          <m:sSubPr>
            <m:ctrlPr>
              <w:rPr>
                <w:rFonts w:hint="default" w:ascii="Cambria Math" w:hAnsi="Cambria Math" w:eastAsiaTheme="minorEastAsia"/>
                <w:sz w:val="21"/>
              </w:rPr>
            </m:ctrlPr>
          </m:sSub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sz w:val="21"/>
                <w:lang w:val="en-US" w:eastAsia="zh-CN"/>
              </w:rPr>
              <m:t>}</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oMath>
      <w:r>
        <w:rPr>
          <w:rFonts w:hint="eastAsia" w:hAnsi="Cambria Math"/>
          <w:i w:val="0"/>
          <w:sz w:val="21"/>
          <w:lang w:val="en-US" w:eastAsia="zh-CN"/>
        </w:rPr>
        <w:t>构造中位数基准：</w:t>
      </w:r>
    </w:p>
    <w:p w14:paraId="0DB2E625">
      <w:pPr>
        <w:rPr>
          <w:rFonts w:hint="default" w:hAnsi="Cambria Math" w:eastAsiaTheme="minorEastAsia"/>
          <w:i w:val="0"/>
          <w:sz w:val="21"/>
        </w:rPr>
      </w:pPr>
      <m:oMathPara>
        <m:oMath>
          <m:eqArr>
            <m:eqArrPr>
              <m:maxDist m:val="1"/>
              <m:ctrlPr>
                <w:rPr>
                  <w:rFonts w:hint="default" w:ascii="Cambria Math" w:hAnsi="Cambria Math" w:eastAsiaTheme="minorEastAsia"/>
                  <w:sz w:val="21"/>
                </w:rPr>
              </m:ctrlPr>
            </m:eqArrPr>
            <m:e>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median</m:t>
                  </m:r>
                  <m:ctrlPr>
                    <w:rPr>
                      <w:rFonts w:hint="default" w:ascii="Cambria Math" w:hAnsi="Cambria Math" w:eastAsiaTheme="minorEastAsia"/>
                      <w:sz w:val="21"/>
                    </w:rPr>
                  </m:ctrlPr>
                </m:e>
                <m:sub>
                  <m:r>
                    <m:rPr/>
                    <w:rPr>
                      <w:rFonts w:hint="default" w:ascii="Cambria Math" w:hAnsi="Cambria Math" w:eastAsiaTheme="minorEastAsia"/>
                      <w:sz w:val="21"/>
                    </w:rPr>
                    <m:t>r∈R</m:t>
                  </m:r>
                  <m:ctrlPr>
                    <w:rPr>
                      <w:rFonts w:hint="default"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m:t>
              </m:r>
              <m:ctrlPr>
                <w:rPr>
                  <w:rFonts w:hint="default" w:ascii="Cambria Math" w:hAnsi="Cambria Math" w:eastAsiaTheme="minorEastAsia"/>
                  <w:sz w:val="21"/>
                </w:rPr>
              </m:ctrlPr>
            </m:e>
          </m:eqArr>
        </m:oMath>
      </m:oMathPara>
    </w:p>
    <w:p w14:paraId="63E28DFE">
      <w:pPr>
        <w:rPr>
          <w:rFonts w:hint="eastAsia" w:hAnsi="Cambria Math"/>
          <w:i w:val="0"/>
          <w:sz w:val="21"/>
          <w:lang w:val="en-US" w:eastAsia="zh-CN"/>
        </w:rPr>
      </w:pPr>
      <w:r>
        <w:rPr>
          <w:rFonts w:hint="eastAsia" w:hAnsi="Cambria Math"/>
          <w:i w:val="0"/>
          <w:sz w:val="21"/>
          <w:lang w:val="en-US" w:eastAsia="zh-CN"/>
        </w:rPr>
        <w:t>并在此基础上，对每个评分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计算偏差与绝对偏差：</w:t>
      </w:r>
    </w:p>
    <w:p w14:paraId="0F5BE8A1">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acc>
                    <m:accPr>
                      <m:chr m:val="̃"/>
                      <m:ctrlPr>
                        <w:rPr>
                          <w:rFonts w:hint="default" w:ascii="Cambria Math" w:hAnsi="Cambria Math" w:eastAsiaTheme="minorEastAsia"/>
                          <w:sz w:val="21"/>
                        </w:rPr>
                      </m:ctrlPr>
                    </m:accPr>
                    <m:e>
                      <m:r>
                        <m:rPr/>
                        <w:rPr>
                          <w:rFonts w:hint="default" w:ascii="Cambria Math" w:hAnsi="Cambria Math" w:eastAsiaTheme="minorEastAsia"/>
                          <w:sz w:val="21"/>
                        </w:rPr>
                        <m:t>s</m:t>
                      </m:r>
                      <m:ctrlPr>
                        <w:rPr>
                          <w:rFonts w:ascii="Cambria Math" w:hAnsi="Cambria Math" w:eastAsiaTheme="minorEastAsia"/>
                          <w:sz w:val="21"/>
                        </w:rPr>
                      </m:ctrlPr>
                    </m:e>
                  </m:acc>
                  <m:ctrlPr>
                    <w:rPr>
                      <w:rFonts w:hint="default" w:ascii="Cambria Math" w:hAnsi="Cambria Math" w:eastAsiaTheme="minorEastAsia"/>
                      <w:sz w:val="21"/>
                    </w:rPr>
                  </m:ctrlPr>
                </m:e>
                <m:sub>
                  <m:r>
                    <m:rPr/>
                    <w:rPr>
                      <w:rFonts w:hint="default" w:ascii="Cambria Math" w:hAnsi="Cambria Math" w:eastAsiaTheme="minorEastAsia"/>
                      <w:sz w:val="21"/>
                    </w:rPr>
                    <m:t>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(2)</m:t>
              </m:r>
              <m:ctrlPr>
                <w:rPr>
                  <w:rFonts w:hint="default" w:ascii="Cambria Math" w:hAnsi="Cambria Math" w:eastAsiaTheme="minorEastAsia"/>
                  <w:i/>
                  <w:sz w:val="21"/>
                </w:rPr>
              </m:ctrlPr>
            </m:e>
          </m:eqArr>
        </m:oMath>
      </m:oMathPara>
    </w:p>
    <w:p w14:paraId="6129726B">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(3)</m:t>
              </m:r>
              <m:ctrlPr>
                <w:rPr>
                  <w:rFonts w:hint="default" w:ascii="Cambria Math" w:hAnsi="Cambria Math" w:eastAsiaTheme="minorEastAsia"/>
                  <w:i/>
                  <w:sz w:val="21"/>
                </w:rPr>
              </m:ctrlPr>
            </m:e>
          </m:eqArr>
        </m:oMath>
      </m:oMathPara>
    </w:p>
    <w:p w14:paraId="7C629C5F">
      <w:pPr>
        <w:rPr>
          <w:rFonts w:hint="eastAsia" w:hAnsi="Cambria Math"/>
          <w:i w:val="0"/>
          <w:sz w:val="21"/>
          <w:lang w:val="en-US" w:eastAsia="zh-CN"/>
        </w:rPr>
      </w:pPr>
      <w:r>
        <w:rPr>
          <w:rFonts w:hint="eastAsia" w:hAnsi="Cambria Math"/>
          <w:i w:val="0"/>
          <w:sz w:val="21"/>
          <w:lang w:val="en-US" w:eastAsia="zh-CN"/>
        </w:rPr>
        <w:t>设定离群敏感阈值</w:t>
      </w:r>
      <m:oMath>
        <m:r>
          <m:rPr/>
          <w:rPr>
            <w:rFonts w:hint="default" w:ascii="Cambria Math" w:hAnsi="Cambria Math" w:eastAsiaTheme="minorEastAsia"/>
            <w:sz w:val="21"/>
          </w:rPr>
          <m:t>δ=2</m:t>
        </m:r>
      </m:oMath>
      <w:r>
        <w:rPr>
          <w:rFonts w:hint="eastAsia" w:hAnsi="Cambria Math"/>
          <w:i w:val="0"/>
          <w:sz w:val="21"/>
          <w:lang w:val="en-US" w:eastAsia="zh-CN"/>
        </w:rPr>
        <w:t>执行自动预筛。因此，当满足</w:t>
      </w:r>
      <m:oMath>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≥δ</m:t>
        </m:r>
      </m:oMath>
      <w:r>
        <w:rPr>
          <w:rFonts w:hint="eastAsia" w:hAnsi="Cambria Math"/>
          <w:i w:val="0"/>
          <w:sz w:val="21"/>
          <w:lang w:val="en-US" w:eastAsia="zh-CN"/>
        </w:rPr>
        <w:t>时，判定该三元组</w:t>
      </w:r>
      <m:oMath>
        <m:r>
          <m:rPr/>
          <w:rPr>
            <w:rFonts w:hint="default" w:ascii="Cambria Math" w:hAnsi="Cambria Math" w:eastAsiaTheme="minorEastAsia"/>
            <w:sz w:val="21"/>
          </w:rPr>
          <m:t>(r,i,d)</m:t>
        </m:r>
      </m:oMath>
      <w:r>
        <w:rPr>
          <w:rFonts w:hint="eastAsia" w:hAnsi="Cambria Math"/>
          <w:i w:val="0"/>
          <w:sz w:val="21"/>
          <w:lang w:val="en-US" w:eastAsia="zh-CN"/>
        </w:rPr>
        <w:t>触发离群事件。相应的输出为离群事件集合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作为后续论证质量评估的候选池。</w:t>
      </w:r>
    </w:p>
    <w:p w14:paraId="1932D0A7">
      <w:pPr>
        <w:rPr>
          <w:rFonts w:hint="default" w:hAnsi="Cambria Math" w:eastAsiaTheme="minorEastAsia"/>
          <w:i w:val="0"/>
          <w:sz w:val="21"/>
          <w:lang w:val="en-US" w:eastAsia="zh-CN"/>
        </w:rPr>
      </w:pPr>
      <w:r>
        <w:rPr>
          <w:rFonts w:hint="eastAsia" w:hAnsi="Cambria Math"/>
          <w:i w:val="0"/>
          <w:sz w:val="21"/>
          <w:lang w:val="en-US" w:eastAsia="zh-CN"/>
        </w:rPr>
        <w:t>需要指出的是，本阶段的目的不是将偏离共识的判断直接视为错误，而是构建一个“需要重点审查”的候选集合。其输出是一个待进一步评估的离群事件集合</w:t>
      </w:r>
      <m:oMath>
        <m:r>
          <m:rPr/>
          <w:rPr>
            <w:rFonts w:hint="default" w:ascii="Cambria Math" w:hAnsi="Cambria Math" w:eastAsiaTheme="minorEastAsia"/>
            <w:sz w:val="21"/>
          </w:rPr>
          <m:t>H</m:t>
        </m:r>
      </m:oMath>
      <w:r>
        <w:rPr>
          <w:rFonts w:hint="eastAsia" w:hAnsi="Cambria Math"/>
          <w:i w:val="0"/>
          <w:sz w:val="21"/>
          <w:lang w:eastAsia="zh-CN"/>
        </w:rPr>
        <w:t>，</w:t>
      </w:r>
      <w:r>
        <w:rPr>
          <w:rFonts w:hint="eastAsia" w:hAnsi="Cambria Math"/>
          <w:i w:val="0"/>
          <w:sz w:val="21"/>
          <w:lang w:val="en-US" w:eastAsia="zh-CN"/>
        </w:rPr>
        <w:t>后续阶段将在该集合上评估论证质量并区分好离群与坏离群。</w:t>
      </w:r>
    </w:p>
    <w:p w14:paraId="25B021D4">
      <w:pPr>
        <w:pStyle w:val="4"/>
        <w:bidi w:val="0"/>
        <w:rPr>
          <w:rFonts w:hint="eastAsia"/>
          <w:lang w:val="en-US" w:eastAsia="zh-CN"/>
        </w:rPr>
      </w:pPr>
      <w:r>
        <w:rPr>
          <w:rFonts w:hint="eastAsia"/>
          <w:lang w:val="en-US" w:eastAsia="zh-CN"/>
        </w:rPr>
        <w:t>4.3 阶段3：论证质量向量评分</w:t>
      </w:r>
    </w:p>
    <w:p w14:paraId="60BF7D90">
      <w:pPr>
        <w:rPr>
          <w:rFonts w:hint="eastAsia"/>
          <w:lang w:val="en-US" w:eastAsia="zh-CN"/>
        </w:rPr>
      </w:pPr>
      <w:r>
        <w:rPr>
          <w:rFonts w:hint="eastAsia"/>
          <w:lang w:val="en-US" w:eastAsia="zh-CN"/>
        </w:rPr>
        <w:t>离群并不必然代表错误（“坏离群”），它也可能是模型发现了隐蔽缺陷并给出了高质量论证（“好离群”）。本阶段旨在通过六维特征对离群事件的文本输出进行深度质量量化。</w:t>
      </w:r>
    </w:p>
    <w:p w14:paraId="18B63CBA">
      <w:pPr>
        <w:rPr>
          <w:rFonts w:hint="eastAsia" w:hAnsi="Cambria Math"/>
          <w:i w:val="0"/>
          <w:sz w:val="21"/>
          <w:lang w:val="en-US" w:eastAsia="zh-CN"/>
        </w:rPr>
      </w:pPr>
      <w:r>
        <w:rPr>
          <w:rFonts w:hint="eastAsia"/>
          <w:lang w:val="en-US" w:eastAsia="zh-CN"/>
        </w:rPr>
        <w:t>该阶段的输入为离群事件集合</w:t>
      </w:r>
      <m:oMath>
        <m:r>
          <m:rPr/>
          <w:rPr>
            <w:rFonts w:hint="default" w:ascii="Cambria Math" w:hAnsi="Cambria Math" w:eastAsiaTheme="minorEastAsia"/>
            <w:sz w:val="21"/>
          </w:rPr>
          <m:t>H</m:t>
        </m:r>
      </m:oMath>
      <w:r>
        <w:rPr>
          <w:rFonts w:hint="eastAsia" w:hAnsi="Cambria Math"/>
          <w:i w:val="0"/>
          <w:sz w:val="21"/>
          <w:lang w:val="en-US" w:eastAsia="zh-CN"/>
        </w:rPr>
        <w:t>及其关联的文本证据与改写建议。针对已触发离群的三元组</w:t>
      </w:r>
      <m:oMath>
        <m:r>
          <m:rPr/>
          <w:rPr>
            <w:rFonts w:hint="default" w:ascii="Cambria Math" w:hAnsi="Cambria Math" w:eastAsiaTheme="minorEastAsia"/>
            <w:sz w:val="21"/>
          </w:rPr>
          <m:t>(r,i,d)</m:t>
        </m:r>
      </m:oMath>
      <w:r>
        <w:rPr>
          <w:rFonts w:hint="eastAsia" w:hAnsi="Cambria Math"/>
          <w:i w:val="0"/>
          <w:sz w:val="21"/>
          <w:lang w:val="en-US" w:eastAsia="zh-CN"/>
        </w:rPr>
        <w:t>进行质量评估。每个离群事件都要被映射为一个六维论证质量向量，六个子项分别为：证据充分性</w:t>
      </w:r>
      <m:oMath>
        <m:sSub>
          <m:sSubPr>
            <m:ctrlPr>
              <w:rPr>
                <w:rFonts w:hint="default" w:ascii="Cambria Math" w:hAnsi="Cambria Math" w:eastAsiaTheme="minorEastAsia"/>
                <w:sz w:val="21"/>
              </w:rPr>
            </m:ctrlPr>
          </m:sSubPr>
          <m:e>
            <m:r>
              <m:rPr/>
              <w:rPr>
                <w:rFonts w:hint="default" w:ascii="Cambria Math" w:hAnsi="Cambria Math"/>
                <w:sz w:val="21"/>
                <w:lang w:val="en-US" w:eastAsia="zh-CN"/>
              </w:rPr>
              <m:t>(</m:t>
            </m:r>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、可证伪/可测试性</w:t>
      </w:r>
      <m:oMath>
        <m:r>
          <m:rPr>
            <m:sty m:val="p"/>
          </m:rPr>
          <w:rPr>
            <w:rFonts w:hint="default" w:ascii="Cambria Math" w:hAnsi="Cambria Math"/>
            <w:sz w:val="21"/>
            <w:lang w:val="en-US" w:eastAsia="zh-CN"/>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falsifiable</m:t>
            </m:r>
            <m:ctrlPr>
              <w:rPr>
                <w:rFonts w:ascii="Cambria Math" w:hAnsi="Cambria Math" w:eastAsiaTheme="minorEastAsia"/>
                <w:sz w:val="21"/>
              </w:rPr>
            </m:ctrlPr>
          </m:sub>
        </m:sSub>
        <m:r>
          <m:rPr>
            <m:sty m:val="p"/>
          </m:rPr>
          <w:rPr>
            <w:rFonts w:hint="default" w:ascii="Cambria Math" w:hAnsi="Cambria Math"/>
            <w:sz w:val="21"/>
            <w:lang w:val="en-US" w:eastAsia="zh-CN"/>
          </w:rPr>
          <m:t>)</m:t>
        </m:r>
      </m:oMath>
      <w:r>
        <w:rPr>
          <w:rFonts w:hint="eastAsia" w:hAnsi="Cambria Math"/>
          <w:i w:val="0"/>
          <w:sz w:val="21"/>
          <w:lang w:val="en-US" w:eastAsia="zh-CN"/>
        </w:rPr>
        <w:t>、改写可执行性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、理由具体性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specificity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、维度匹配度</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与新颖性</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novelty</m:t>
            </m:r>
            <m:ctrlPr>
              <w:rPr>
                <w:rFonts w:ascii="Cambria Math" w:hAnsi="Cambria Math"/>
                <w:sz w:val="21"/>
              </w:rPr>
            </m:ctrlPr>
          </m:sub>
        </m:sSub>
        <m:r>
          <m:rPr/>
          <w:rPr>
            <w:rFonts w:hint="default" w:ascii="Cambria Math" w:hAnsi="Cambria Math"/>
            <w:sz w:val="21"/>
          </w:rPr>
          <m:t>)</m:t>
        </m:r>
      </m:oMath>
      <w:r>
        <w:rPr>
          <w:rFonts w:hint="eastAsia" w:hAnsi="Cambria Math"/>
          <w:i w:val="0"/>
          <w:sz w:val="21"/>
          <w:lang w:val="en-US" w:eastAsia="zh-CN"/>
        </w:rPr>
        <w:t>。六个子项均采用</w:t>
      </w:r>
      <m:oMath>
        <m:r>
          <m:rPr/>
          <w:rPr>
            <w:rFonts w:hint="default" w:ascii="Cambria Math" w:hAnsi="Cambria Math"/>
            <w:sz w:val="21"/>
            <w:lang w:val="en-US" w:eastAsia="zh-CN"/>
          </w:rPr>
          <m:t>{</m:t>
        </m:r>
        <m:r>
          <m:rPr/>
          <w:rPr>
            <w:rFonts w:hint="default" w:ascii="Cambria Math" w:hAnsi="Cambria Math"/>
            <w:sz w:val="21"/>
          </w:rPr>
          <m:t>0,1,2</m:t>
        </m:r>
        <m:r>
          <m:rPr/>
          <w:rPr>
            <w:rFonts w:hint="default" w:ascii="Cambria Math" w:hAnsi="Cambria Math"/>
            <w:sz w:val="21"/>
            <w:lang w:val="en-US" w:eastAsia="zh-CN"/>
          </w:rPr>
          <m:t>}</m:t>
        </m:r>
      </m:oMath>
      <w:r>
        <w:rPr>
          <w:rFonts w:hint="eastAsia" w:hAnsi="Cambria Math"/>
          <w:i w:val="0"/>
          <w:sz w:val="21"/>
          <w:lang w:val="en-US" w:eastAsia="zh-CN"/>
        </w:rPr>
        <w:t>的离散评分，其中更高分值表示该维度上的论证质量更强。</w:t>
      </w:r>
    </w:p>
    <w:p w14:paraId="053A2859">
      <w:pPr>
        <w:rPr>
          <w:rFonts w:hint="eastAsia" w:hAnsi="Cambria Math"/>
          <w:i w:val="0"/>
          <w:sz w:val="21"/>
          <w:lang w:val="en-US" w:eastAsia="zh-CN"/>
        </w:rPr>
      </w:pPr>
      <w:r>
        <w:rPr>
          <w:rFonts w:hint="eastAsia" w:hAnsi="Cambria Math"/>
          <w:i w:val="0"/>
          <w:sz w:val="21"/>
          <w:lang w:val="en-US" w:eastAsia="zh-CN"/>
        </w:rPr>
        <w:t>设某一离散事件的六个子项分别是</w:t>
      </w:r>
      <m:oMath>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m:sty m:val="p"/>
              </m:rPr>
              <w:rPr>
                <w:rFonts w:hint="eastAsia" w:ascii="Cambria Math" w:hAnsi="Cambria Math"/>
                <w:sz w:val="21"/>
                <w:lang w:val="en-US" w:eastAsia="zh-CN"/>
              </w:rPr>
              <m:t>E</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r>
          <m:rPr/>
          <w:rPr>
            <w:rFonts w:hint="default" w:ascii="Cambria Math" w:hAnsi="Cambria Math" w:eastAsiaTheme="minorEastAsia"/>
            <w:sz w:val="21"/>
          </w:rPr>
          <m:t>,</m:t>
        </m:r>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r>
          <m:rPr/>
          <w:rPr>
            <w:rFonts w:hint="default" w:ascii="Cambria Math" w:hAnsi="Cambria Math" w:eastAsiaTheme="minorEastAsia"/>
            <w:sz w:val="21"/>
          </w:rPr>
          <m:t>∈{0,1,2}</m:t>
        </m:r>
      </m:oMath>
      <w:r>
        <w:rPr>
          <w:rFonts w:hint="eastAsia" w:hAnsi="Cambria Math"/>
          <w:i w:val="0"/>
          <w:sz w:val="21"/>
          <w:lang w:eastAsia="zh-CN"/>
        </w:rPr>
        <w:t>。</w:t>
      </w:r>
      <w:r>
        <w:rPr>
          <w:rFonts w:hint="eastAsia" w:hAnsi="Cambria Math"/>
          <w:i w:val="0"/>
          <w:sz w:val="21"/>
          <w:lang w:val="en-US" w:eastAsia="zh-CN"/>
        </w:rPr>
        <w:t>其归一化论证质量分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定义为：</w:t>
      </w:r>
    </w:p>
    <w:p w14:paraId="0A9853F2">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r>
                    <m:rPr/>
                    <w:rPr>
                      <w:rFonts w:hint="default" w:ascii="Cambria Math" w:hAnsi="Cambria Math" w:eastAsiaTheme="minorEastAsia"/>
                      <w:sz w:val="21"/>
                    </w:rPr>
                    <m:t>1</m:t>
                  </m:r>
                  <m:ctrlPr>
                    <w:rPr>
                      <w:rFonts w:ascii="Cambria Math" w:hAnsi="Cambria Math" w:eastAsiaTheme="minorEastAsia"/>
                      <w:sz w:val="21"/>
                    </w:rPr>
                  </m:ctrlPr>
                </m:num>
                <m:den>
                  <m:r>
                    <m:rPr/>
                    <w:rPr>
                      <w:rFonts w:hint="default" w:ascii="Cambria Math" w:hAnsi="Cambria Math" w:eastAsiaTheme="minorEastAsia"/>
                      <w:sz w:val="21"/>
                    </w:rPr>
                    <m:t>6</m:t>
                  </m:r>
                  <m:ctrlPr>
                    <w:rPr>
                      <w:rFonts w:ascii="Cambria Math" w:hAnsi="Cambria Math" w:eastAsiaTheme="minorEastAsia"/>
                      <w:sz w:val="21"/>
                    </w:rPr>
                  </m:ctrlPr>
                </m:den>
              </m:f>
              <m:d>
                <m:dPr>
                  <m:ctrlPr>
                    <w:rPr>
                      <w:rFonts w:hint="default" w:ascii="Cambria Math" w:hAnsi="Cambria Math" w:eastAsiaTheme="minorEastAsia"/>
                      <w:i/>
                      <w:sz w:val="21"/>
                    </w:rPr>
                  </m:ctrlPr>
                </m:dPr>
                <m:e>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E</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F</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R</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S</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T</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r>
                    <m:rPr/>
                    <w:rPr>
                      <w:rFonts w:hint="default" w:ascii="Cambria Math" w:hAnsi="Cambria Math" w:eastAsiaTheme="minorEastAsia"/>
                      <w:sz w:val="21"/>
                    </w:rPr>
                    <m:t>+</m:t>
                  </m:r>
                  <m:f>
                    <m:fPr>
                      <m:ctrlPr>
                        <w:rPr>
                          <w:rFonts w:hint="default" w:ascii="Cambria Math" w:hAnsi="Cambria Math" w:eastAsiaTheme="minorEastAsia"/>
                          <w:i/>
                          <w:sz w:val="21"/>
                        </w:rPr>
                      </m:ctrlPr>
                    </m:fPr>
                    <m:num>
                      <m:sSubSup>
                        <m:sSubSupPr>
                          <m:ctrlPr>
                            <w:rPr>
                              <w:rFonts w:hint="default" w:ascii="Cambria Math" w:hAnsi="Cambria Math" w:eastAsiaTheme="minorEastAsia"/>
                              <w:sz w:val="21"/>
                            </w:rPr>
                          </m:ctrlPr>
                        </m:sSubSup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up>
                          <m:r>
                            <m:rPr/>
                            <w:rPr>
                              <w:rFonts w:hint="default" w:ascii="Cambria Math" w:hAnsi="Cambria Math" w:eastAsiaTheme="minorEastAsia"/>
                              <w:sz w:val="21"/>
                            </w:rPr>
                            <m:t>D</m:t>
                          </m:r>
                          <m:ctrlPr>
                            <w:rPr>
                              <w:rFonts w:ascii="Cambria Math" w:hAnsi="Cambria Math" w:eastAsiaTheme="minorEastAsia"/>
                              <w:sz w:val="21"/>
                            </w:rPr>
                          </m:ctrlPr>
                        </m:sup>
                      </m:sSubSup>
                      <m:ctrlPr>
                        <w:rPr>
                          <w:rFonts w:hint="default" w:ascii="Cambria Math" w:hAnsi="Cambria Math" w:eastAsiaTheme="minorEastAsia"/>
                          <w:sz w:val="21"/>
                        </w:rPr>
                      </m:ctrlPr>
                    </m:num>
                    <m:den>
                      <m:r>
                        <m:rPr/>
                        <w:rPr>
                          <w:rFonts w:hint="default" w:ascii="Cambria Math" w:hAnsi="Cambria Math" w:eastAsiaTheme="minorEastAsia"/>
                          <w:sz w:val="21"/>
                        </w:rPr>
                        <m:t>2</m:t>
                      </m:r>
                      <m:ctrlPr>
                        <w:rPr>
                          <w:rFonts w:hint="default" w:ascii="Cambria Math" w:hAnsi="Cambria Math" w:eastAsiaTheme="minorEastAsia"/>
                          <w:sz w:val="21"/>
                        </w:rPr>
                      </m:ctrlPr>
                    </m:den>
                  </m:f>
                  <m:ctrlPr>
                    <w:rPr>
                      <w:rFonts w:hint="default" w:ascii="Cambria Math" w:hAnsi="Cambria Math" w:eastAsiaTheme="minorEastAsia"/>
                      <w:i/>
                      <w:sz w:val="21"/>
                    </w:rPr>
                  </m:ctrlPr>
                </m:e>
              </m:d>
              <m:r>
                <m:rPr/>
                <w:rPr>
                  <w:rFonts w:hint="default" w:ascii="Cambria Math" w:hAnsi="Cambria Math" w:eastAsiaTheme="minorEastAsia"/>
                  <w:sz w:val="21"/>
                </w:rPr>
                <m:t>∈[0,1]</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(4)</m:t>
              </m:r>
              <m:ctrlPr>
                <w:rPr>
                  <w:rFonts w:hint="default" w:ascii="Cambria Math" w:hAnsi="Cambria Math" w:eastAsiaTheme="minorEastAsia"/>
                  <w:i/>
                  <w:sz w:val="21"/>
                </w:rPr>
              </m:ctrlPr>
            </m:e>
          </m:eqArr>
        </m:oMath>
      </m:oMathPara>
    </w:p>
    <w:p w14:paraId="50AB5464">
      <w:pPr>
        <w:rPr>
          <w:rFonts w:hint="default" w:hAnsi="Cambria Math"/>
          <w:i w:val="0"/>
          <w:sz w:val="21"/>
          <w:lang w:val="en-US" w:eastAsia="zh-CN"/>
        </w:rPr>
      </w:pPr>
      <w:r>
        <w:rPr>
          <w:rFonts w:hint="eastAsia" w:hAnsi="Cambria Math"/>
          <w:i w:val="0"/>
          <w:sz w:val="21"/>
          <w:lang w:val="en-US" w:eastAsia="zh-CN"/>
        </w:rPr>
        <w:t>同时，我们设定严格的“硬性否决”（Hard Fail）机制：若</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evidence</m:t>
            </m:r>
            <m:ctrlPr>
              <w:rPr>
                <w:rFonts w:ascii="Cambria Math" w:hAnsi="Cambria Math" w:eastAsiaTheme="minorEastAsia"/>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R</m:t>
            </m:r>
            <m:ctrlPr>
              <w:rPr>
                <w:rFonts w:ascii="Cambria Math" w:hAnsi="Cambria Math"/>
                <w:sz w:val="21"/>
              </w:rPr>
            </m:ctrlPr>
          </m:e>
          <m:sub>
            <m:r>
              <m:rPr/>
              <w:rPr>
                <w:rFonts w:hint="default" w:ascii="Cambria Math" w:hAnsi="Cambria Math"/>
                <w:sz w:val="21"/>
              </w:rPr>
              <m:t>rewrite_exec</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或</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taxonomy_fit</m:t>
            </m:r>
            <m:ctrlPr>
              <w:rPr>
                <w:rFonts w:ascii="Cambria Math" w:hAnsi="Cambria Math"/>
                <w:sz w:val="21"/>
              </w:rPr>
            </m:ctrlPr>
          </m:sub>
        </m:sSub>
        <m:r>
          <m:rPr>
            <m:sty m:val="p"/>
          </m:rPr>
          <w:rPr>
            <w:rFonts w:hint="default" w:ascii="Cambria Math" w:hAnsi="Cambria Math"/>
            <w:sz w:val="21"/>
            <w:lang w:val="en-US" w:eastAsia="zh-CN"/>
          </w:rPr>
          <m:t>=0</m:t>
        </m:r>
      </m:oMath>
      <w:r>
        <w:rPr>
          <w:rFonts w:hint="eastAsia" w:hAnsi="Cambria Math"/>
          <w:i w:val="0"/>
          <w:sz w:val="21"/>
          <w:lang w:val="en-US" w:eastAsia="zh-CN"/>
        </w:rPr>
        <w:t>，则该离群事件直接被判定为“坏离群”。这一规则意味着，即时某个离群事件在其他子项上表现较好，只要其证据缺失、改写不可执行或与维度语义不匹配，就不能被视为高质量异议。</w:t>
      </w:r>
    </w:p>
    <w:p w14:paraId="6D653D9B">
      <w:pPr>
        <w:pStyle w:val="4"/>
        <w:bidi w:val="0"/>
        <w:rPr>
          <w:rFonts w:hint="eastAsia"/>
          <w:lang w:val="en-US" w:eastAsia="zh-CN"/>
        </w:rPr>
      </w:pPr>
      <w:r>
        <w:rPr>
          <w:rFonts w:hint="eastAsia"/>
          <w:lang w:val="en-US" w:eastAsia="zh-CN"/>
        </w:rPr>
        <w:t>4.4 阶段4：好/坏离群判别</w:t>
      </w:r>
    </w:p>
    <w:p w14:paraId="77341400">
      <w:pPr>
        <w:rPr>
          <w:rFonts w:hint="eastAsia" w:hAnsi="Cambria Math"/>
          <w:i w:val="0"/>
          <w:sz w:val="21"/>
          <w:lang w:val="en-US" w:eastAsia="zh-CN"/>
        </w:rPr>
      </w:pPr>
      <w:r>
        <w:rPr>
          <w:rFonts w:hint="eastAsia"/>
          <w:lang w:val="en-US" w:eastAsia="zh-CN"/>
        </w:rPr>
        <w:t>本阶段建立自动化判别逻辑，对离群事件的性质进行分类定性。具体来说，在不改变离群定义的前提下，对每个已识别离群事件进行价值判别，设定经验判定阈值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=0.30</m:t>
        </m:r>
      </m:oMath>
      <w:r>
        <w:rPr>
          <w:rFonts w:hint="eastAsia" w:hAnsi="Cambria Math"/>
          <w:i w:val="0"/>
          <w:sz w:val="21"/>
          <w:lang w:val="en-US" w:eastAsia="zh-CN"/>
        </w:rPr>
        <w:t>作为自动判别边界：若某离群事件满足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则被判定为坏离群（bad）；若满足</w:t>
      </w:r>
      <m:oMath>
        <m:r>
          <m:rPr/>
          <w:rPr>
            <w:rFonts w:hint="default" w:ascii="Cambria Math" w:hAnsi="Cambria Math" w:eastAsiaTheme="minorEastAsia"/>
            <w:sz w:val="21"/>
          </w:rPr>
          <m:t>Q≥</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则被判定为好离群（good）。同时，我们将为满足上述条件的处于灰色地带的离群定义为不确定事件（Uncertain），用于后续仅在必要时通过“自动预筛+少量人工确认”的方法覆写。形式化地，可写为：</w:t>
      </w:r>
    </w:p>
    <w:p w14:paraId="1094FF89">
      <w:pPr>
        <w:rPr>
          <w:rFonts w:hint="default" w:hAnsi="Cambria Math"/>
          <w:i w:val="0"/>
          <w:sz w:val="21"/>
          <w:lang w:val="en-US" w:eastAsia="zh-CN"/>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d>
                <m:dPr>
                  <m:begChr m:val="{"/>
                  <m:endChr m:val=""/>
                  <m:ctrlPr>
                    <w:rPr>
                      <w:rFonts w:hint="default" w:ascii="Cambria Math" w:hAnsi="Cambria Math" w:eastAsiaTheme="minorEastAsia"/>
                      <w:i/>
                      <w:sz w:val="21"/>
                    </w:rPr>
                  </m:ctrlPr>
                </m:dPr>
                <m:e>
                  <m:m>
                    <m:mPr>
                      <m:mcs>
                        <m:mc>
                          <m:mcPr>
                            <m:count m:val="2"/>
                            <m:mcJc m:val="left"/>
                          </m:mcPr>
                        </m:mc>
                      </m:mcs>
                      <m:plcHide m:val="1"/>
                      <m:ctrlPr>
                        <w:rPr>
                          <w:rFonts w:hint="default" w:ascii="Cambria Math" w:hAnsi="Cambria Math" w:eastAsiaTheme="minorEastAsia"/>
                          <w:i/>
                          <w:sz w:val="21"/>
                        </w:rPr>
                      </m:ctrlPr>
                    </m:mPr>
                    <m:mr>
                      <m:e>
                        <m:r>
                          <m:rPr/>
                          <w:rPr>
                            <w:rFonts w:hint="default" w:ascii="Cambria Math" w:hAnsi="Cambria Math" w:eastAsiaTheme="minorEastAsia"/>
                            <w:sz w:val="21"/>
                          </w:rPr>
                          <m:t>bad,</m:t>
                        </m:r>
                        <m:ctrlPr>
                          <w:rPr>
                            <w:rFonts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hard_fail=true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or</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good,</m:t>
                        </m:r>
                        <m:ctrlPr>
                          <w:rPr>
                            <w:rFonts w:hint="default" w:ascii="Cambria Math" w:hAnsi="Cambria Math" w:eastAsiaTheme="minorEastAsia"/>
                            <w:sz w:val="21"/>
                          </w:rPr>
                        </m:ctrlPr>
                      </m:e>
                      <m:e>
                        <m:r>
                          <m:rPr/>
                          <w:rPr>
                            <w:rFonts w:hint="default" w:ascii="Cambria Math" w:hAnsi="Cambria Math" w:eastAsiaTheme="minorEastAsia"/>
                            <w:sz w:val="21"/>
                          </w:rPr>
                          <m:t>if</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hard_fail=false</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and</m:t>
                        </m:r>
                        <m:r>
                          <m:rPr>
                            <m:sty m:val="p"/>
                          </m:rPr>
                          <w:rPr>
                            <w:rFonts w:hint="default" w:ascii="Cambria Math" w:hAnsi="Cambria Math" w:eastAsiaTheme="minorEastAsia"/>
                            <w:sz w:val="21"/>
                          </w:rPr>
                          <m:t xml:space="preserve"> </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ctrlPr>
                          <w:rPr>
                            <w:rFonts w:hint="default" w:ascii="Cambria Math" w:hAnsi="Cambria Math" w:eastAsiaTheme="minorEastAsia"/>
                            <w:sz w:val="21"/>
                          </w:rPr>
                        </m:ctrlPr>
                      </m:e>
                    </m:mr>
                    <m:mr>
                      <m:e>
                        <m:r>
                          <m:rPr/>
                          <w:rPr>
                            <w:rFonts w:hint="default" w:ascii="Cambria Math" w:hAnsi="Cambria Math" w:eastAsiaTheme="minorEastAsia"/>
                            <w:sz w:val="21"/>
                          </w:rPr>
                          <m:t>uncertain,</m:t>
                        </m:r>
                        <m:ctrlPr>
                          <w:rPr>
                            <w:rFonts w:hint="default" w:ascii="Cambria Math" w:hAnsi="Cambria Math" w:eastAsiaTheme="minorEastAsia"/>
                            <w:sz w:val="21"/>
                          </w:rPr>
                        </m:ctrlPr>
                      </m:e>
                      <m:e>
                        <m:r>
                          <m:rPr/>
                          <w:rPr>
                            <w:rFonts w:hint="default" w:ascii="Cambria Math" w:hAnsi="Cambria Math" w:eastAsiaTheme="minorEastAsia"/>
                            <w:sz w:val="21"/>
                          </w:rPr>
                          <m:t>otherwise</m:t>
                        </m:r>
                        <m:ctrlPr>
                          <w:rPr>
                            <w:rFonts w:hint="default" w:ascii="Cambria Math" w:hAnsi="Cambria Math" w:eastAsiaTheme="minorEastAsia"/>
                            <w:sz w:val="21"/>
                          </w:rPr>
                        </m:ctrlPr>
                      </m:e>
                    </m:mr>
                  </m:m>
                  <m:ctrlPr>
                    <w:rPr>
                      <w:rFonts w:hint="default" w:ascii="Cambria Math" w:hAnsi="Cambria Math" w:eastAsiaTheme="minorEastAsia"/>
                      <w:i/>
                      <w:sz w:val="21"/>
                    </w:rPr>
                  </m:ctrlPr>
                </m:e>
              </m:d>
              <m:r>
                <m:rPr>
                  <m:sty m:val="p"/>
                </m:rPr>
                <w:rPr>
                  <w:rFonts w:hint="default" w:ascii="Cambria Math" w:hAnsi="Cambria Math" w:eastAsiaTheme="minorEastAsia"/>
                  <w:sz w:val="21"/>
                </w:rPr>
                <m:t>#</m:t>
              </m:r>
              <m:r>
                <m:rPr>
                  <m:sty m:val="p"/>
                </m:rPr>
                <w:rPr>
                  <w:rFonts w:hint="default" w:ascii="Cambria Math" w:hAnsi="Cambria Math"/>
                  <w:sz w:val="21"/>
                  <w:lang w:val="en-US" w:eastAsia="zh-CN"/>
                </w:rPr>
                <m:t>(5)</m:t>
              </m:r>
              <m:ctrlPr>
                <w:rPr>
                  <w:rFonts w:hint="default" w:ascii="Cambria Math" w:hAnsi="Cambria Math" w:eastAsiaTheme="minorEastAsia"/>
                  <w:i/>
                  <w:sz w:val="21"/>
                </w:rPr>
              </m:ctrlPr>
            </m:e>
          </m:eqArr>
        </m:oMath>
      </m:oMathPara>
    </w:p>
    <w:p w14:paraId="2DD9C47C">
      <w:pPr>
        <w:rPr>
          <w:rFonts w:hint="default"/>
          <w:lang w:val="en-US" w:eastAsia="zh-CN"/>
        </w:rPr>
      </w:pPr>
      <w:r>
        <w:rPr>
          <w:rFonts w:hint="eastAsia"/>
          <w:lang w:val="en-US" w:eastAsia="zh-CN"/>
        </w:rPr>
        <w:t>由此，我们可以得到一个包含离群标签的判别表，为后续模型权重学习提供监督信号。这一判别机制体现了本文与简单的“偏差越大越可疑”策略的根本区别。本文并不将所有偏离中位数的评分一概视为错误，而是允许少数模型凭借更充分的证据、更可执行的改写或更高的新颖性，被视为值得优先审查的好离群。相反，若偏离虽大但证据薄弱、维度错配或改写不可落地，则该离群事件将被归入坏离群。这样，离群信息从“异常值”被重新定义为“具有不同审查价值的异议样本”。</w:t>
      </w:r>
    </w:p>
    <w:p w14:paraId="71BAE2CD">
      <w:pPr>
        <w:pStyle w:val="4"/>
        <w:bidi w:val="0"/>
        <w:rPr>
          <w:rFonts w:hint="eastAsia"/>
          <w:lang w:val="en-US" w:eastAsia="zh-CN"/>
        </w:rPr>
      </w:pPr>
      <w:r>
        <w:rPr>
          <w:rFonts w:hint="eastAsia"/>
          <w:lang w:val="en-US" w:eastAsia="zh-CN"/>
        </w:rPr>
        <w:t>4.5 阶段5：模型画像与权重构造</w:t>
      </w:r>
    </w:p>
    <w:p w14:paraId="370C9085">
      <w:pPr>
        <w:rPr>
          <w:rFonts w:hint="eastAsia"/>
          <w:lang w:val="en-US" w:eastAsia="zh-CN"/>
        </w:rPr>
      </w:pPr>
      <w:r>
        <w:rPr>
          <w:rFonts w:hint="eastAsia"/>
          <w:lang w:val="en-US" w:eastAsia="zh-CN"/>
        </w:rPr>
        <w:t>区别与传统集成学习中平权的投票机制，本框架依据各模型处理离群事件的能力对其分配不同的全局固定权重。该权重并不表示模型在所有任务上的通用能力排序，而是表示模型在当前文档、当前需求质量评审任务下，由好/坏离群证据诱导出的相对审查可靠性。即本阶段的目标不是判断某个模型“绝对更强”，而是判断在当前需求文档中，哪些模型更可能产生具有审查价值的判断，哪些模型更可能引入低质量偏离。</w:t>
      </w:r>
    </w:p>
    <w:p w14:paraId="199ABA34">
      <w:pPr>
        <w:rPr>
          <w:rFonts w:hint="eastAsia"/>
          <w:lang w:val="en-US" w:eastAsia="zh-CN"/>
        </w:rPr>
      </w:pPr>
      <w:r>
        <w:rPr>
          <w:rFonts w:hint="eastAsia"/>
          <w:lang w:val="en-US" w:eastAsia="zh-CN"/>
        </w:rPr>
        <w:t>从不确定性建模视角看，本阶段可以被理解为一种贝叶斯启发式的可靠性更新过程。本文不预设所有模型具有相同审查能力，也不依据通用benchmark为模型赋予固定先验优势。相反，在观察当前文档的离群事件之前，所有模型均被赋予相同的均匀先验信任；在观察到当前文档中的好离群与坏离群之后，这些事件被视为支持或削弱模型可靠性的任务内证据。需要强调的是，本文并不引入新的贝叶斯后验公式替换原有权重计算，而是将现有的证据驱动定权机制解释为一种conservative, Bayesian-inspired reliability updating：模型权重由当前文档中的有效证据驱动，同时受到均匀先验和平滑项约束，以避免少量偶然离群事件过度主导后续圆桌。</w:t>
      </w:r>
    </w:p>
    <w:p w14:paraId="776F49C7">
      <w:pPr>
        <w:rPr>
          <w:rFonts w:hint="eastAsia" w:hAnsi="Cambria Math"/>
          <w:i w:val="0"/>
          <w:sz w:val="21"/>
          <w:lang w:eastAsia="zh-CN"/>
        </w:rPr>
      </w:pPr>
      <w:r>
        <w:rPr>
          <w:rFonts w:hint="eastAsia"/>
          <w:lang w:val="en-US" w:eastAsia="zh-CN"/>
        </w:rPr>
        <w:t>具体来说，本阶段将离群事物级别的质量判断累积为模型级画像，并据此构造在后续圆桌会议上保持固定的模型权重。对任意模型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我们定义其正向贡献（好离群强度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r>
        <w:rPr>
          <w:rFonts w:hint="eastAsia" w:hAnsi="Cambria Math"/>
          <w:i w:val="0"/>
          <w:sz w:val="21"/>
          <w:lang w:val="en-US" w:eastAsia="zh-CN"/>
        </w:rPr>
        <w:t>与负向惩罚（坏离群强度</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eastAsia="zh-CN"/>
        </w:rPr>
        <w:t>）：</w:t>
      </w:r>
    </w:p>
    <w:p w14:paraId="37585F41">
      <w:pPr>
        <w:rPr>
          <w:rFonts w:hAnsi="Cambria Math" w:eastAsiaTheme="minorEastAsia"/>
          <w:i w:val="0"/>
          <w:sz w:val="21"/>
        </w:rPr>
      </w:pPr>
      <m:oMathPara>
        <m:oMath>
          <m:eqArr>
            <m:eqArrPr>
              <m:maxDist m:val="1"/>
              <m:ctrlPr>
                <w:rPr>
                  <w:rFonts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=good]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(6)</m:t>
              </m:r>
              <m:ctrlPr>
                <w:rPr>
                  <w:rFonts w:ascii="Cambria Math" w:hAnsi="Cambria Math" w:eastAsiaTheme="minorEastAsia"/>
                  <w:i w:val="0"/>
                  <w:sz w:val="21"/>
                </w:rPr>
              </m:ctrlPr>
            </m:e>
          </m:eqArr>
        </m:oMath>
      </m:oMathPara>
    </w:p>
    <w:p w14:paraId="15A27069">
      <w:pPr>
        <w:rPr>
          <w:rFonts w:hint="eastAsia" w:hAnsi="Cambria Math" w:eastAsiaTheme="minorEastAsia"/>
          <w:i w:val="0"/>
          <w:sz w:val="21"/>
          <w:lang w:val="en-US" w:eastAsia="zh-CN"/>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i,d</m:t>
                  </m:r>
                  <m:ctrlPr>
                    <w:rPr>
                      <w:rFonts w:ascii="Cambria Math" w:hAnsi="Cambria Math" w:eastAsiaTheme="minorEastAsia"/>
                      <w:sz w:val="21"/>
                    </w:rPr>
                  </m:ctrlPr>
                </m:sub>
                <m:sup>
                  <m:ctrlPr>
                    <w:rPr>
                      <w:rFonts w:ascii="Cambria Math" w:hAnsi="Cambria Math" w:eastAsiaTheme="minorEastAsia"/>
                      <w:sz w:val="21"/>
                    </w:rPr>
                  </m:ctrlPr>
                </m:sup>
                <m:e>
                  <m:r>
                    <m:rPr>
                      <m:sty m:val="b"/>
                    </m:rPr>
                    <w:rPr>
                      <w:rFonts w:hint="default" w:ascii="Cambria Math" w:hAnsi="Cambria Math" w:eastAsiaTheme="minorEastAsia"/>
                      <w:sz w:val="21"/>
                    </w:rPr>
                    <m:t>1</m:t>
                  </m:r>
                  <m:ctrlPr>
                    <w:rPr>
                      <w:rFonts w:ascii="Cambria Math" w:hAnsi="Cambria Math" w:eastAsiaTheme="minorEastAsia"/>
                      <w:sz w:val="21"/>
                    </w:rPr>
                  </m:ctrlPr>
                </m:e>
              </m:nary>
              <m:r>
                <m:rPr/>
                <w:rPr>
                  <w:rFonts w:hint="default" w:ascii="Cambria Math" w:hAnsi="Cambria Math" w:eastAsiaTheme="minorEastAsia"/>
                  <w:sz w:val="21"/>
                </w:rPr>
                <m:t>[decisio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=bad]</m:t>
              </m:r>
              <m:r>
                <m:rPr>
                  <m:sty m:val="p"/>
                </m:rPr>
                <w:rPr>
                  <w:rFonts w:hint="default" w:ascii="Cambria Math" w:hAnsi="Cambria Math" w:eastAsiaTheme="minorEastAsia"/>
                  <w:sz w:val="21"/>
                </w:rPr>
                <m:t>×</m:t>
              </m:r>
              <m:r>
                <m:rPr/>
                <w:rPr>
                  <w:rFonts w:hint="default" w:ascii="Cambria Math" w:hAnsi="Cambria Math" w:eastAsiaTheme="minorEastAsia"/>
                  <w:sz w:val="21"/>
                </w:rPr>
                <m:t>abs_deviatio</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(1−</m:t>
              </m:r>
              <m:sSub>
                <m:sSubPr>
                  <m:ctrlPr>
                    <w:rPr>
                      <w:rFonts w:hint="default" w:ascii="Cambria Math" w:hAnsi="Cambria Math" w:eastAsiaTheme="minorEastAsia"/>
                      <w:sz w:val="21"/>
                    </w:rPr>
                  </m:ctrlPr>
                </m:sSubPr>
                <m:e>
                  <m:r>
                    <m:rPr/>
                    <w:rPr>
                      <w:rFonts w:hint="default" w:ascii="Cambria Math" w:hAnsi="Cambria Math" w:eastAsiaTheme="minorEastAsia"/>
                      <w:sz w:val="21"/>
                    </w:rPr>
                    <m:t>Q</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(7)</m:t>
              </m:r>
              <m:ctrlPr>
                <w:rPr>
                  <w:rFonts w:hint="default" w:ascii="Cambria Math" w:hAnsi="Cambria Math" w:eastAsiaTheme="minorEastAsia"/>
                  <w:i/>
                  <w:sz w:val="21"/>
                </w:rPr>
              </m:ctrlPr>
            </m:e>
          </m:eqArr>
        </m:oMath>
      </m:oMathPara>
    </w:p>
    <w:p w14:paraId="00C3B1BF">
      <w:pPr>
        <w:rPr>
          <w:rFonts w:hint="eastAsia" w:hAnsi="Cambria Math"/>
          <w:i w:val="0"/>
          <w:sz w:val="21"/>
          <w:lang w:val="en-US" w:eastAsia="zh-CN"/>
        </w:rPr>
      </w:pPr>
      <w:r>
        <w:rPr>
          <w:rFonts w:hint="eastAsia"/>
          <w:lang w:val="en-US" w:eastAsia="zh-CN"/>
        </w:rPr>
        <w:t>其中，</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表示模型在识别“高价值异议”方面的累计贡献，</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表示模型在产生“低质量偏离”方面的累计负担，从而体现出了我们“离群并非必然降权：好离群可升权，坏离群降权”的原则。</w:t>
      </w:r>
    </w:p>
    <w:p w14:paraId="252B01BD">
      <w:pPr>
        <w:rPr>
          <w:rFonts w:hint="default" w:hAnsi="Cambria Math" w:eastAsiaTheme="minorEastAsia"/>
          <w:i w:val="0"/>
          <w:sz w:val="21"/>
          <w:lang w:val="en-US"/>
        </w:rPr>
      </w:pPr>
      <w:r>
        <w:rPr>
          <w:rFonts w:hint="eastAsia" w:hAnsi="Cambria Math"/>
          <w:i w:val="0"/>
          <w:sz w:val="21"/>
          <w:lang w:val="en-US" w:eastAsia="zh-CN"/>
        </w:rPr>
        <w:t>在获得</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和</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后，为了避免1~2个好/坏离群在小样本场景下直接主导后续圆桌，我们先计算引入平滑常数</w:t>
      </w:r>
      <m:oMath>
        <m:r>
          <m:rPr/>
          <w:rPr>
            <w:rFonts w:hint="default" w:ascii="Cambria Math" w:hAnsi="Cambria Math" w:eastAsiaTheme="minorEastAsia"/>
            <w:sz w:val="21"/>
          </w:rPr>
          <m:t>κ</m:t>
        </m:r>
      </m:oMath>
      <w:r>
        <w:rPr>
          <w:rFonts w:hint="eastAsia" w:hAnsi="Cambria Math"/>
          <w:i w:val="0"/>
          <w:sz w:val="21"/>
          <w:lang w:val="en-US" w:eastAsia="zh-CN"/>
        </w:rPr>
        <w:t>的当前文档证据分数：</w:t>
      </w:r>
    </w:p>
    <w:p w14:paraId="731AB497">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scor</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d</m:t>
                  </m:r>
                  <m:r>
                    <m:rPr/>
                    <w:rPr>
                      <w:rFonts w:hint="default" w:ascii="Cambria Math" w:hAnsi="Cambria Math"/>
                      <w:sz w:val="21"/>
                      <w:lang w:val="en-US" w:eastAsia="zh-CN"/>
                    </w:rPr>
                    <m:t>oc</m:t>
                  </m:r>
                  <m:ctrlPr>
                    <w:rPr>
                      <w:rFonts w:ascii="Cambria Math" w:hAnsi="Cambria Math" w:eastAsiaTheme="minorEastAsia"/>
                      <w:sz w:val="21"/>
                    </w:rPr>
                  </m:ctrlPr>
                </m:sub>
              </m:sSub>
              <m:r>
                <m:rPr/>
                <w:rPr>
                  <w:rFonts w:hint="default" w:ascii="Cambria Math" w:hAnsi="Cambria Math" w:eastAsiaTheme="minorEastAsia"/>
                  <w:sz w:val="21"/>
                </w:rPr>
                <m:t>(r)=</m:t>
              </m:r>
              <m:f>
                <m:fPr>
                  <m:ctrlPr>
                    <w:rPr>
                      <w:rFonts w:hint="default" w:ascii="Cambria Math" w:hAnsi="Cambria Math" w:eastAsiaTheme="minorEastAsia"/>
                      <w:i/>
                      <w:sz w:val="21"/>
                    </w:rPr>
                  </m:ctrlPr>
                </m:fPr>
                <m:num>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−λ</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ctrlPr>
                    <w:rPr>
                      <w:rFonts w:hint="default" w:ascii="Cambria Math" w:hAnsi="Cambria Math" w:eastAsiaTheme="minorEastAsia"/>
                      <w:sz w:val="21"/>
                    </w:rPr>
                  </m:ctrlPr>
                </m:num>
                <m:den>
                  <m:r>
                    <m:rPr/>
                    <w:rPr>
                      <w:rFonts w:hint="default" w:ascii="Cambria Math" w:hAnsi="Cambria Math" w:eastAsiaTheme="minorEastAsia"/>
                      <w:sz w:val="21"/>
                    </w:rPr>
                    <m:t>κ+</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(r)+</m:t>
                  </m:r>
                  <m:sSub>
                    <m:sSubPr>
                      <m:ctrlPr>
                        <w:rPr>
                          <w:rFonts w:hint="default" w:ascii="Cambria Math" w:hAnsi="Cambria Math" w:eastAsiaTheme="minorEastAsia"/>
                          <w:sz w:val="21"/>
                        </w:rPr>
                      </m:ctrlPr>
                    </m:sSubPr>
                    <m:e>
                      <m:r>
                        <m:rPr/>
                        <w:rPr>
                          <w:rFonts w:hint="default" w:ascii="Cambria Math" w:hAnsi="Cambria Math" w:eastAsiaTheme="minorEastAsia"/>
                          <w:sz w:val="21"/>
                        </w:rPr>
                        <m:t>n</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(r)</m:t>
                  </m:r>
                  <m:ctrlPr>
                    <w:rPr>
                      <w:rFonts w:hint="default" w:ascii="Cambria Math" w:hAnsi="Cambria Math" w:eastAsiaTheme="minorEastAsia"/>
                      <w:sz w:val="21"/>
                    </w:rPr>
                  </m:ctrlPr>
                </m:den>
              </m:f>
              <m:r>
                <m:rPr>
                  <m:sty m:val="p"/>
                </m:rPr>
                <w:rPr>
                  <w:rFonts w:hint="default" w:ascii="Cambria Math" w:hAnsi="Cambria Math" w:eastAsiaTheme="minorEastAsia"/>
                  <w:sz w:val="21"/>
                </w:rPr>
                <m:t>#</m:t>
              </m:r>
              <m:r>
                <m:rPr>
                  <m:sty m:val="p"/>
                </m:rPr>
                <w:rPr>
                  <w:rFonts w:hint="default" w:ascii="Cambria Math" w:hAnsi="Cambria Math"/>
                  <w:sz w:val="21"/>
                  <w:lang w:val="en-US" w:eastAsia="zh-CN"/>
                </w:rPr>
                <m:t>(8)</m:t>
              </m:r>
              <m:ctrlPr>
                <w:rPr>
                  <w:rFonts w:hint="default" w:ascii="Cambria Math" w:hAnsi="Cambria Math" w:eastAsiaTheme="minorEastAsia"/>
                  <w:i/>
                  <w:sz w:val="21"/>
                </w:rPr>
              </m:ctrlPr>
            </m:e>
          </m:eqArr>
        </m:oMath>
      </m:oMathPara>
    </w:p>
    <w:p w14:paraId="089932A7">
      <w:pPr>
        <w:rPr>
          <w:rFonts w:hint="eastAsia" w:hAnsi="Cambria Math"/>
          <w:i w:val="0"/>
          <w:sz w:val="21"/>
          <w:lang w:val="en-US" w:eastAsia="zh-CN"/>
        </w:rPr>
      </w:pPr>
      <w:r>
        <w:rPr>
          <w:rFonts w:hint="eastAsia" w:hAnsi="Cambria Math"/>
          <w:i w:val="0"/>
          <w:sz w:val="21"/>
          <w:lang w:val="en-US" w:eastAsia="zh-CN"/>
        </w:rPr>
        <w:t>其中，</w:t>
      </w:r>
      <m:oMath>
        <m:r>
          <m:rPr/>
          <w:rPr>
            <w:rFonts w:hint="default" w:ascii="Cambria Math" w:hAnsi="Cambria Math" w:eastAsiaTheme="minorEastAsia"/>
            <w:sz w:val="21"/>
          </w:rPr>
          <m:t>κ</m:t>
        </m:r>
        <m:r>
          <m:rPr>
            <m:sty m:val="p"/>
          </m:rPr>
          <w:rPr>
            <w:rFonts w:hint="default" w:ascii="Cambria Math" w:hAnsi="Cambria Math" w:eastAsiaTheme="minorEastAsia"/>
            <w:sz w:val="21"/>
          </w:rPr>
          <m:t>＞</m:t>
        </m:r>
        <m:r>
          <m:rPr/>
          <w:rPr>
            <w:rFonts w:hint="default" w:ascii="Cambria Math" w:hAnsi="Cambria Math" w:eastAsiaTheme="minorEastAsia"/>
            <w:sz w:val="21"/>
          </w:rPr>
          <m:t>0</m:t>
        </m:r>
      </m:oMath>
      <w:r>
        <w:rPr>
          <w:rFonts w:hint="eastAsia" w:hAnsi="Cambria Math"/>
          <w:i w:val="0"/>
          <w:sz w:val="21"/>
          <w:lang w:val="en-US" w:eastAsia="zh-CN"/>
        </w:rPr>
        <w:t>为分母平滑项，可理解为一个保守的先验样本量项，用于在有效离群数量较少时降低</w:t>
      </w:r>
      <m:oMath>
        <m:r>
          <m:rPr/>
          <w:rPr>
            <w:rFonts w:hint="default" w:ascii="Cambria Math" w:hAnsi="Cambria Math" w:eastAsiaTheme="minorEastAsia"/>
            <w:sz w:val="21"/>
          </w:rPr>
          <m:t>scor</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d</m:t>
            </m:r>
            <m:r>
              <m:rPr/>
              <w:rPr>
                <w:rFonts w:hint="default" w:ascii="Cambria Math" w:hAnsi="Cambria Math"/>
                <w:sz w:val="21"/>
                <w:lang w:val="en-US" w:eastAsia="zh-CN"/>
              </w:rPr>
              <m:t>oc</m:t>
            </m:r>
            <m:ctrlPr>
              <w:rPr>
                <w:rFonts w:ascii="Cambria Math" w:hAnsi="Cambria Math" w:eastAsiaTheme="minorEastAsia"/>
                <w:sz w:val="21"/>
              </w:rPr>
            </m:ctrlPr>
          </m:sub>
        </m:sSub>
        <m:r>
          <m:rPr/>
          <w:rPr>
            <w:rFonts w:hint="default" w:ascii="Cambria Math" w:hAnsi="Cambria Math" w:eastAsiaTheme="minorEastAsia"/>
            <w:sz w:val="21"/>
          </w:rPr>
          <m:t>(r)</m:t>
        </m:r>
      </m:oMath>
      <w:r>
        <w:rPr>
          <w:rFonts w:hint="eastAsia" w:hAnsi="Cambria Math"/>
          <w:i w:val="0"/>
          <w:sz w:val="21"/>
          <w:lang w:val="en-US" w:eastAsia="zh-CN"/>
        </w:rPr>
        <w:t>的敏感性，从而抑制由小样本证据引起的过激定权。本文将</w:t>
      </w:r>
      <m:oMath>
        <m:r>
          <m:rPr/>
          <w:rPr>
            <w:rFonts w:hint="default" w:ascii="Cambria Math" w:hAnsi="Cambria Math" w:eastAsiaTheme="minorEastAsia"/>
            <w:sz w:val="21"/>
          </w:rPr>
          <m:t>κ</m:t>
        </m:r>
      </m:oMath>
      <w:r>
        <w:rPr>
          <w:rFonts w:hint="eastAsia" w:hAnsi="Cambria Math"/>
          <w:i w:val="0"/>
          <w:sz w:val="21"/>
          <w:lang w:val="en-US" w:eastAsia="zh-CN"/>
        </w:rPr>
        <w:t>固定设为3.0，其设计理由是：在当前文档仅出现1至2个有效好/坏离群时，模型权重应仅发生温和调整，而不应被单个离群事件主导；只有当有效离群证据持续积累到与该平滑项同一量级时，当前文档证据才开始更明显地拉开模型差距。因此，</w:t>
      </w:r>
      <m:oMath>
        <m:r>
          <m:rPr/>
          <w:rPr>
            <w:rFonts w:hint="default" w:ascii="Cambria Math" w:hAnsi="Cambria Math" w:eastAsiaTheme="minorEastAsia"/>
            <w:sz w:val="21"/>
          </w:rPr>
          <m:t>κ=3.0</m:t>
        </m:r>
      </m:oMath>
      <w:r>
        <w:rPr>
          <w:rFonts w:hint="eastAsia" w:hAnsi="Cambria Math"/>
          <w:i w:val="0"/>
          <w:sz w:val="21"/>
          <w:lang w:val="en-US" w:eastAsia="zh-CN"/>
        </w:rPr>
        <w:t>在本文中应被理解为一种保守地稳定化设定，而非通过独立超参数优化得到的最优值。</w:t>
      </w:r>
    </w:p>
    <w:p w14:paraId="3F59ED24">
      <w:pPr>
        <w:rPr>
          <w:rFonts w:hint="default" w:hAnsi="Cambria Math" w:eastAsiaTheme="minorEastAsia"/>
          <w:i w:val="0"/>
          <w:sz w:val="21"/>
          <w:lang w:val="en-US" w:eastAsia="zh-CN"/>
        </w:rPr>
      </w:pPr>
      <w:r>
        <w:rPr>
          <w:rFonts w:hint="eastAsia" w:hAnsi="Cambria Math"/>
          <w:i w:val="0"/>
          <w:sz w:val="21"/>
          <w:lang w:val="en-US" w:eastAsia="zh-CN"/>
        </w:rPr>
        <w:t>考虑到本文未引入独立的跨文档校准集，为避免由跨文档统计带来的额外数据依赖与潜在信息泄漏，本文不采用跨文档历史分析得到的模型先验。在观察当前文档中的有效离群证据之前，我们对所有参与模型赋予相同的先验信任度，即</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prior</m:t>
            </m:r>
            <m:ctrlPr>
              <w:rPr>
                <w:rFonts w:ascii="Cambria Math" w:hAnsi="Cambria Math" w:eastAsiaTheme="minorEastAsia"/>
                <w:sz w:val="21"/>
              </w:rPr>
            </m:ctrlPr>
          </m:sub>
        </m:sSub>
        <m:r>
          <m:rPr/>
          <w:rPr>
            <w:rFonts w:hint="default" w:ascii="Cambria Math" w:hAnsi="Cambria Math" w:eastAsiaTheme="minorEastAsia"/>
            <w:sz w:val="21"/>
          </w:rPr>
          <m:t>(r)=1/|</m:t>
        </m:r>
        <m:r>
          <m:rPr>
            <m:scr m:val="script"/>
          </m:rPr>
          <w:rPr>
            <w:rFonts w:hint="default" w:ascii="Cambria Math" w:hAnsi="Cambria Math" w:eastAsia="MS Mincho"/>
            <w:sz w:val="21"/>
          </w:rPr>
          <m:t>ℛ</m:t>
        </m:r>
        <m:r>
          <m:rPr/>
          <w:rPr>
            <w:rFonts w:hint="default" w:ascii="Cambria Math" w:hAnsi="Cambria Math" w:eastAsiaTheme="minorEastAsia"/>
            <w:sz w:val="21"/>
          </w:rPr>
          <m:t>|</m:t>
        </m:r>
      </m:oMath>
      <w:r>
        <w:rPr>
          <w:rFonts w:hint="eastAsia" w:hAnsi="Cambria Math"/>
          <w:i w:val="0"/>
          <w:sz w:val="21"/>
          <w:lang w:eastAsia="zh-CN"/>
        </w:rPr>
        <w:t>。</w:t>
      </w:r>
      <w:r>
        <w:rPr>
          <w:rFonts w:hint="eastAsia" w:hAnsi="Cambria Math"/>
          <w:i w:val="0"/>
          <w:sz w:val="21"/>
          <w:lang w:val="en-US" w:eastAsia="zh-CN"/>
        </w:rPr>
        <w:t>记当前文档的有效离群证据总量为：</w:t>
      </w:r>
    </w:p>
    <w:p w14:paraId="2613EFDC">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r∈</m:t>
                  </m:r>
                  <m:r>
                    <m:rPr>
                      <m:scr m:val="script"/>
                    </m:rPr>
                    <w:rPr>
                      <w:rFonts w:hint="default" w:ascii="Cambria Math" w:hAnsi="Cambria Math" w:eastAsia="MS Mincho"/>
                      <w:sz w:val="21"/>
                    </w:rPr>
                    <m:t>ℛ</m:t>
                  </m:r>
                  <m:ctrlPr>
                    <w:rPr>
                      <w:rFonts w:ascii="Cambria Math" w:hAnsi="Cambria Math" w:eastAsiaTheme="minorEastAsia"/>
                      <w:sz w:val="21"/>
                    </w:rPr>
                  </m:ctrlPr>
                </m:sub>
                <m:sup>
                  <m:ctrlPr>
                    <w:rPr>
                      <w:rFonts w:ascii="Cambria Math" w:hAnsi="Cambria Math" w:eastAsiaTheme="minorEastAsia"/>
                      <w:sz w:val="21"/>
                    </w:rPr>
                  </m:ctrlPr>
                </m:sup>
                <m:e>
                  <m:r>
                    <m:rPr/>
                    <w:rPr>
                      <w:rFonts w:hint="default" w:ascii="Cambria Math" w:hAnsi="Cambria Math" w:eastAsiaTheme="minorEastAsia"/>
                      <w:sz w:val="21"/>
                    </w:rPr>
                    <m:t>(</m:t>
                  </m:r>
                  <m:ctrlPr>
                    <w:rPr>
                      <w:rFonts w:ascii="Cambria Math" w:hAnsi="Cambria Math" w:eastAsiaTheme="minorEastAsia"/>
                      <w:sz w:val="21"/>
                    </w:rPr>
                  </m:ctrlPr>
                </m:e>
              </m:nary>
              <m:sSub>
                <m:sSubPr>
                  <m:ctrlPr>
                    <w:rPr>
                      <w:rFonts w:hint="default" w:ascii="Cambria Math" w:hAnsi="Cambria Math" w:eastAsiaTheme="minorEastAsia"/>
                      <w:sz w:val="21"/>
                    </w:rPr>
                  </m:ctrlPr>
                </m:sSubPr>
                <m:e>
                  <m:r>
                    <m:rPr/>
                    <w:rPr>
                      <w:rFonts w:hint="default" w:ascii="Cambria Math" w:hAnsi="Cambria Math" w:eastAsiaTheme="minorEastAsia"/>
                      <w:sz w:val="21"/>
                    </w:rPr>
                    <m:t>G</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B</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(9)</m:t>
              </m:r>
              <m:ctrlPr>
                <w:rPr>
                  <w:rFonts w:hint="default" w:ascii="Cambria Math" w:hAnsi="Cambria Math" w:eastAsiaTheme="minorEastAsia"/>
                  <w:i/>
                  <w:sz w:val="21"/>
                </w:rPr>
              </m:ctrlPr>
            </m:e>
          </m:eqArr>
        </m:oMath>
      </m:oMathPara>
    </w:p>
    <w:p w14:paraId="55E38762">
      <w:pPr>
        <w:rPr>
          <w:rFonts w:hint="eastAsia" w:hAnsi="Cambria Math"/>
          <w:i w:val="0"/>
          <w:sz w:val="21"/>
          <w:lang w:val="en-US" w:eastAsia="zh-CN"/>
        </w:rPr>
      </w:pPr>
      <m:oMath>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oMath>
      <w:r>
        <w:rPr>
          <w:rFonts w:hint="eastAsia" w:hAnsi="Cambria Math"/>
          <w:i w:val="0"/>
          <w:sz w:val="21"/>
          <w:lang w:val="en-US" w:eastAsia="zh-CN"/>
        </w:rPr>
        <w:t>用于衡量当前文档中可用于定权的有效离群证据总量。当文档中仅出现少量、弱强度的好/坏离群时，</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oMath>
      <w:r>
        <w:rPr>
          <w:rFonts w:hint="eastAsia" w:hAnsi="Cambria Math"/>
          <w:i w:val="0"/>
          <w:sz w:val="21"/>
          <w:lang w:val="en-US" w:eastAsia="zh-CN"/>
        </w:rPr>
        <w:t>较小，表明当前文档尚不足以支持显著的模型定权更新；反之，当高质量或低质量离群持续累积时，</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oMath>
      <w:r>
        <w:rPr>
          <w:rFonts w:hint="eastAsia" w:hAnsi="Cambria Math"/>
          <w:i w:val="0"/>
          <w:sz w:val="21"/>
          <w:lang w:val="en-US" w:eastAsia="zh-CN"/>
        </w:rPr>
        <w:t>增大，意味着该文档为模型相对贡献差异提供了更充分的证据基础。同时我们以此定义文档证据强度：</w:t>
      </w:r>
    </w:p>
    <w:p w14:paraId="6F3991E1">
      <w:pPr>
        <w:rPr>
          <w:rFonts w:hint="default" w:hAnsi="Cambria Math" w:eastAsiaTheme="minorEastAsia"/>
          <w:i w:val="0"/>
          <w:sz w:val="21"/>
        </w:rPr>
      </w:pPr>
      <m:oMathPara>
        <m:oMath>
          <m:eqArr>
            <m:eqArrPr>
              <m:maxDist m:val="1"/>
              <m:ctrlPr>
                <w:rPr>
                  <w:rFonts w:hint="default"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ρ</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m:t>
              </m:r>
              <m:f>
                <m:fPr>
                  <m:ctrlPr>
                    <w:rPr>
                      <w:rFonts w:hint="default" w:ascii="Cambria Math" w:hAnsi="Cambria Math" w:eastAsiaTheme="minorEastAsia"/>
                      <w:i/>
                      <w:sz w:val="21"/>
                    </w:rPr>
                  </m:ctrlPr>
                </m:fPr>
                <m:num>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ctrlPr>
                    <w:rPr>
                      <w:rFonts w:hint="default" w:ascii="Cambria Math" w:hAnsi="Cambria Math" w:eastAsiaTheme="minorEastAsia"/>
                      <w:sz w:val="21"/>
                    </w:rPr>
                  </m:ctrlPr>
                </m:num>
                <m:den>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+η</m:t>
                  </m:r>
                  <m:ctrlPr>
                    <w:rPr>
                      <w:rFonts w:hint="default" w:ascii="Cambria Math" w:hAnsi="Cambria Math" w:eastAsiaTheme="minorEastAsia"/>
                      <w:sz w:val="21"/>
                    </w:rPr>
                  </m:ctrlPr>
                </m:den>
              </m:f>
              <m:r>
                <m:rPr>
                  <m:sty m:val="p"/>
                </m:rPr>
                <w:rPr>
                  <w:rFonts w:hint="default" w:ascii="Cambria Math" w:hAnsi="Cambria Math" w:eastAsiaTheme="minorEastAsia"/>
                  <w:sz w:val="21"/>
                </w:rPr>
                <m:t>#</m:t>
              </m:r>
              <m:r>
                <m:rPr>
                  <m:sty m:val="p"/>
                </m:rPr>
                <w:rPr>
                  <w:rFonts w:hint="default" w:ascii="Cambria Math" w:hAnsi="Cambria Math"/>
                  <w:sz w:val="21"/>
                  <w:lang w:val="en-US" w:eastAsia="zh-CN"/>
                </w:rPr>
                <m:t>(10)</m:t>
              </m:r>
              <m:ctrlPr>
                <w:rPr>
                  <w:rFonts w:hint="default" w:ascii="Cambria Math" w:hAnsi="Cambria Math" w:eastAsiaTheme="minorEastAsia"/>
                  <w:i w:val="0"/>
                  <w:sz w:val="21"/>
                </w:rPr>
              </m:ctrlPr>
            </m:e>
          </m:eqArr>
        </m:oMath>
      </m:oMathPara>
    </w:p>
    <w:p w14:paraId="6EA73AAC">
      <w:pPr>
        <w:rPr>
          <w:rFonts w:hint="default" w:hAnsi="Cambria Math" w:eastAsiaTheme="minorEastAsia"/>
          <w:i w:val="0"/>
          <w:sz w:val="21"/>
        </w:rPr>
      </w:pPr>
      <w:r>
        <w:rPr>
          <w:rFonts w:hint="eastAsia" w:hAnsi="Cambria Math"/>
          <w:i w:val="0"/>
          <w:sz w:val="21"/>
          <w:lang w:val="en-US" w:eastAsia="zh-CN"/>
        </w:rPr>
        <w:t>其中，</w:t>
      </w:r>
      <m:oMath>
        <m:r>
          <m:rPr/>
          <w:rPr>
            <w:rFonts w:hint="default" w:ascii="Cambria Math" w:hAnsi="Cambria Math" w:eastAsiaTheme="minorEastAsia"/>
            <w:sz w:val="21"/>
          </w:rPr>
          <m:t>η&gt;0</m:t>
        </m:r>
      </m:oMath>
      <w:r>
        <w:rPr>
          <w:rFonts w:hint="default" w:hAnsi="Cambria Math" w:eastAsiaTheme="minorEastAsia"/>
          <w:i w:val="0"/>
          <w:sz w:val="21"/>
        </w:rPr>
        <w:t>为文档级先验强度，用于控制当前文档证据相对</w:t>
      </w:r>
      <w:r>
        <w:rPr>
          <w:rFonts w:hint="eastAsia" w:hAnsi="Cambria Math"/>
          <w:i w:val="0"/>
          <w:sz w:val="21"/>
          <w:lang w:val="en-US" w:eastAsia="zh-CN"/>
        </w:rPr>
        <w:t>于默认先验</w:t>
      </w:r>
      <w:r>
        <w:rPr>
          <w:rFonts w:hint="default" w:hAnsi="Cambria Math" w:eastAsiaTheme="minorEastAsia"/>
          <w:i w:val="0"/>
          <w:sz w:val="21"/>
        </w:rPr>
        <w:t>的更新幅度。</w:t>
      </w:r>
      <w:r>
        <w:rPr>
          <w:rFonts w:hint="eastAsia" w:hAnsi="Cambria Math"/>
          <w:i w:val="0"/>
          <w:sz w:val="21"/>
          <w:lang w:val="en-US" w:eastAsia="zh-CN"/>
        </w:rPr>
        <w:t>本文将其固定设为4.0，其设计目标是使少量离群证据仅引起温和的权重调整，而只有当有效离群证据累计到与该常数量级相当时，当前文档才开始更明显地偏离均匀先验。因而，</w:t>
      </w:r>
      <m:oMath>
        <m:r>
          <m:rPr/>
          <w:rPr>
            <w:rFonts w:hint="default" w:ascii="Cambria Math" w:hAnsi="Cambria Math" w:eastAsiaTheme="minorEastAsia"/>
            <w:sz w:val="21"/>
          </w:rPr>
          <m:t>η</m:t>
        </m:r>
        <m:r>
          <m:rPr/>
          <w:rPr>
            <w:rFonts w:hint="default" w:ascii="Cambria Math" w:hAnsi="Cambria Math"/>
            <w:sz w:val="21"/>
            <w:lang w:val="en-US" w:eastAsia="zh-CN"/>
          </w:rPr>
          <m:t>=4.0</m:t>
        </m:r>
      </m:oMath>
      <w:r>
        <w:rPr>
          <w:rFonts w:hint="eastAsia" w:hAnsi="Cambria Math"/>
          <w:i w:val="0"/>
          <w:sz w:val="21"/>
          <w:lang w:val="en-US" w:eastAsia="zh-CN"/>
        </w:rPr>
        <w:t>在本文中应被理解为一种保守的稳定化设定，而非通过大规模超参数搜索得到的最优解。</w:t>
      </w:r>
      <w:r>
        <w:rPr>
          <w:rFonts w:hint="default" w:hAnsi="Cambria Math" w:eastAsiaTheme="minorEastAsia"/>
          <w:i w:val="0"/>
          <w:sz w:val="21"/>
        </w:rPr>
        <w:t>然后，当前文档诱导的 Softmax 权重为：</w:t>
      </w:r>
    </w:p>
    <w:p w14:paraId="78B29B18">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(r)=</m:t>
              </m:r>
              <m:f>
                <m:fPr>
                  <m:ctrlPr>
                    <w:rPr>
                      <w:rFonts w:hint="default" w:ascii="Cambria Math" w:hAnsi="Cambria Math" w:eastAsiaTheme="minorEastAsia"/>
                      <w:i/>
                      <w:sz w:val="21"/>
                    </w:rPr>
                  </m:ctrlPr>
                </m:fPr>
                <m:num>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exp</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r>
                    <m:rPr/>
                    <w:rPr>
                      <w:rFonts w:hint="default" w:ascii="Cambria Math" w:hAnsi="Cambria Math" w:eastAsiaTheme="minorEastAsia"/>
                      <w:sz w:val="21"/>
                    </w:rPr>
                    <m:t>β⋅score_doc(r))</m:t>
                  </m:r>
                  <m:ctrlPr>
                    <w:rPr>
                      <w:rFonts w:hint="default" w:ascii="Cambria Math" w:hAnsi="Cambria Math" w:eastAsiaTheme="minorEastAsia"/>
                      <w:sz w:val="21"/>
                    </w:rPr>
                  </m:ctrlPr>
                </m:num>
                <m:den>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j∈</m:t>
                      </m:r>
                      <m:r>
                        <m:rPr>
                          <m:scr m:val="script"/>
                        </m:rPr>
                        <w:rPr>
                          <w:rFonts w:hint="default" w:ascii="Cambria Math" w:hAnsi="Cambria Math" w:eastAsia="MS Mincho"/>
                          <w:sz w:val="21"/>
                        </w:rPr>
                        <m:t>ℛ</m:t>
                      </m:r>
                      <m:ctrlPr>
                        <w:rPr>
                          <w:rFonts w:ascii="Cambria Math" w:hAnsi="Cambria Math" w:eastAsiaTheme="minorEastAsia"/>
                          <w:sz w:val="21"/>
                        </w:rPr>
                      </m:ctrlPr>
                    </m:sub>
                    <m:sup>
                      <m:ctrlPr>
                        <w:rPr>
                          <w:rFonts w:ascii="Cambria Math" w:hAnsi="Cambria Math" w:eastAsiaTheme="minorEastAsia"/>
                          <w:sz w:val="21"/>
                        </w:rPr>
                      </m:ctrlPr>
                    </m:sup>
                    <m:e>
                      <m:func>
                        <m:funcPr>
                          <m:ctrlPr>
                            <w:rPr>
                              <w:rFonts w:hint="default" w:ascii="Cambria Math" w:hAnsi="Cambria Math" w:eastAsiaTheme="minorEastAsia"/>
                              <w:sz w:val="21"/>
                            </w:rPr>
                          </m:ctrlPr>
                        </m:funcPr>
                        <m:fName>
                          <m:r>
                            <m:rPr>
                              <m:sty m:val="p"/>
                            </m:rPr>
                            <w:rPr>
                              <w:rFonts w:hint="default" w:ascii="Cambria Math" w:hAnsi="Cambria Math" w:eastAsiaTheme="minorEastAsia"/>
                              <w:sz w:val="21"/>
                            </w:rPr>
                            <m:t>exp</m:t>
                          </m:r>
                          <m:ctrlPr>
                            <w:rPr>
                              <w:rFonts w:ascii="Cambria Math" w:hAnsi="Cambria Math" w:eastAsiaTheme="minorEastAsia"/>
                              <w:sz w:val="21"/>
                            </w:rPr>
                          </m:ctrlPr>
                        </m:fName>
                        <m:e>
                          <m:r>
                            <m:rPr/>
                            <w:rPr>
                              <w:rFonts w:hint="default" w:ascii="Cambria Math" w:hAnsi="Cambria Math" w:eastAsiaTheme="minorEastAsia"/>
                              <w:sz w:val="21"/>
                            </w:rPr>
                            <m:t>(</m:t>
                          </m:r>
                          <m:ctrlPr>
                            <w:rPr>
                              <w:rFonts w:ascii="Cambria Math" w:hAnsi="Cambria Math" w:eastAsiaTheme="minorEastAsia"/>
                              <w:sz w:val="21"/>
                            </w:rPr>
                          </m:ctrlPr>
                        </m:e>
                      </m:func>
                      <m:ctrlPr>
                        <w:rPr>
                          <w:rFonts w:hint="default" w:ascii="Cambria Math" w:hAnsi="Cambria Math" w:eastAsiaTheme="minorEastAsia"/>
                          <w:sz w:val="21"/>
                        </w:rPr>
                      </m:ctrlPr>
                    </m:e>
                  </m:nary>
                  <m:r>
                    <m:rPr/>
                    <w:rPr>
                      <w:rFonts w:hint="default" w:ascii="Cambria Math" w:hAnsi="Cambria Math" w:eastAsiaTheme="minorEastAsia"/>
                      <w:sz w:val="21"/>
                    </w:rPr>
                    <m:t>β⋅score_doc(j))</m:t>
                  </m:r>
                  <m:ctrlPr>
                    <w:rPr>
                      <w:rFonts w:hint="default" w:ascii="Cambria Math" w:hAnsi="Cambria Math" w:eastAsiaTheme="minorEastAsia"/>
                      <w:i/>
                      <w:sz w:val="21"/>
                    </w:rPr>
                  </m:ctrlPr>
                </m:den>
              </m:f>
              <m:r>
                <m:rPr>
                  <m:sty m:val="p"/>
                </m:rPr>
                <w:rPr>
                  <w:rFonts w:hint="default" w:ascii="Cambria Math" w:hAnsi="Cambria Math" w:eastAsiaTheme="minorEastAsia"/>
                  <w:sz w:val="21"/>
                </w:rPr>
                <m:t>#</m:t>
              </m:r>
              <m:r>
                <m:rPr>
                  <m:sty m:val="p"/>
                </m:rPr>
                <w:rPr>
                  <w:rFonts w:hint="default" w:ascii="Cambria Math" w:hAnsi="Cambria Math"/>
                  <w:sz w:val="21"/>
                  <w:lang w:val="en-US" w:eastAsia="zh-CN"/>
                </w:rPr>
                <m:t>(11)</m:t>
              </m:r>
              <m:ctrlPr>
                <w:rPr>
                  <w:rFonts w:hint="default" w:ascii="Cambria Math" w:hAnsi="Cambria Math" w:eastAsiaTheme="minorEastAsia"/>
                  <w:i/>
                  <w:sz w:val="21"/>
                </w:rPr>
              </m:ctrlPr>
            </m:e>
          </m:eqArr>
        </m:oMath>
      </m:oMathPara>
    </w:p>
    <w:p w14:paraId="05B5641C">
      <w:pPr>
        <w:rPr>
          <w:rFonts w:hint="eastAsia" w:hAnsi="Cambria Math"/>
          <w:i w:val="0"/>
          <w:sz w:val="21"/>
          <w:lang w:val="en-US" w:eastAsia="zh-CN"/>
        </w:rPr>
      </w:pPr>
      <w:r>
        <w:rPr>
          <w:rFonts w:hint="eastAsia" w:hAnsi="Cambria Math"/>
          <w:i w:val="0"/>
          <w:sz w:val="21"/>
          <w:lang w:val="en-US" w:eastAsia="zh-CN"/>
        </w:rPr>
        <w:t>最终用于条目级圆桌的固定权重写为：</w:t>
      </w:r>
    </w:p>
    <w:p w14:paraId="3D636747">
      <w:pPr>
        <w:rPr>
          <w:rFonts w:hint="default" w:hAnsi="Cambria Math" w:eastAsiaTheme="minorEastAsia"/>
          <w:i w:val="0"/>
          <w:sz w:val="21"/>
          <w:lang w:val="en-US" w:eastAsia="zh-CN"/>
        </w:rPr>
      </w:pPr>
      <m:oMathPara>
        <m:oMath>
          <m:eqArr>
            <m:eqArrPr>
              <m:maxDist m:val="1"/>
              <m:ctrlPr>
                <w:rPr>
                  <w:rFonts w:hint="default" w:ascii="Cambria Math" w:hAnsi="Cambria Math" w:eastAsiaTheme="minorEastAsia"/>
                  <w:i/>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=(1−</m:t>
              </m:r>
              <m:sSub>
                <m:sSubPr>
                  <m:ctrlPr>
                    <w:rPr>
                      <w:rFonts w:hint="default" w:ascii="Cambria Math" w:hAnsi="Cambria Math" w:eastAsiaTheme="minorEastAsia"/>
                      <w:sz w:val="21"/>
                    </w:rPr>
                  </m:ctrlPr>
                </m:sSubPr>
                <m:e>
                  <m:r>
                    <m:rPr/>
                    <w:rPr>
                      <w:rFonts w:hint="default" w:ascii="Cambria Math" w:hAnsi="Cambria Math" w:eastAsiaTheme="minorEastAsia"/>
                      <w:sz w:val="21"/>
                    </w:rPr>
                    <m:t>ρ</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prior</m:t>
                  </m:r>
                  <m:ctrlPr>
                    <w:rPr>
                      <w:rFonts w:ascii="Cambria Math" w:hAnsi="Cambria Math" w:eastAsiaTheme="minorEastAsia"/>
                      <w:sz w:val="21"/>
                    </w:rPr>
                  </m:ctrlPr>
                </m:sub>
              </m:sSub>
              <m:r>
                <m:rPr/>
                <w:rPr>
                  <w:rFonts w:hint="default" w:ascii="Cambria Math" w:hAnsi="Cambria Math" w:eastAsiaTheme="minorEastAsia"/>
                  <w:sz w:val="21"/>
                </w:rPr>
                <m:t>(r)+</m:t>
              </m:r>
              <m:sSub>
                <m:sSubPr>
                  <m:ctrlPr>
                    <w:rPr>
                      <w:rFonts w:hint="default" w:ascii="Cambria Math" w:hAnsi="Cambria Math" w:eastAsiaTheme="minorEastAsia"/>
                      <w:sz w:val="21"/>
                    </w:rPr>
                  </m:ctrlPr>
                </m:sSubPr>
                <m:e>
                  <m:r>
                    <m:rPr/>
                    <w:rPr>
                      <w:rFonts w:hint="default" w:ascii="Cambria Math" w:hAnsi="Cambria Math" w:eastAsiaTheme="minorEastAsia"/>
                      <w:sz w:val="21"/>
                    </w:rPr>
                    <m:t>ρ</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doc</m:t>
                  </m:r>
                  <m:ctrlPr>
                    <w:rPr>
                      <w:rFonts w:ascii="Cambria Math" w:hAnsi="Cambria Math" w:eastAsiaTheme="minorEastAsia"/>
                      <w:sz w:val="21"/>
                    </w:rPr>
                  </m:ctrlPr>
                </m:sub>
              </m:sSub>
              <m:r>
                <m:rPr/>
                <w:rPr>
                  <w:rFonts w:hint="default" w:ascii="Cambria Math" w:hAnsi="Cambria Math" w:eastAsiaTheme="minorEastAsia"/>
                  <w:sz w:val="21"/>
                </w:rPr>
                <m:t>(r)</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(12)</m:t>
              </m:r>
              <m:ctrlPr>
                <w:rPr>
                  <w:rFonts w:hint="default" w:ascii="Cambria Math" w:hAnsi="Cambria Math" w:eastAsiaTheme="minorEastAsia"/>
                  <w:i/>
                  <w:sz w:val="21"/>
                </w:rPr>
              </m:ctrlPr>
            </m:e>
          </m:eqArr>
        </m:oMath>
      </m:oMathPara>
    </w:p>
    <w:p w14:paraId="3ADB6AF4">
      <w:pPr>
        <w:rPr>
          <w:rFonts w:hint="eastAsia" w:hAnsi="Cambria Math"/>
          <w:i w:val="0"/>
          <w:sz w:val="21"/>
          <w:lang w:val="en-US" w:eastAsia="zh-CN"/>
        </w:rPr>
      </w:pPr>
      <w:r>
        <w:rPr>
          <w:rFonts w:hint="eastAsia" w:hAnsi="Cambria Math"/>
          <w:i w:val="0"/>
          <w:sz w:val="21"/>
          <w:lang w:val="en-US" w:eastAsia="zh-CN"/>
        </w:rPr>
        <w:t>（其中默认超参数设定为</w:t>
      </w:r>
      <m:oMath>
        <m:r>
          <m:rPr/>
          <w:rPr>
            <w:rFonts w:hint="default" w:ascii="Cambria Math" w:hAnsi="Cambria Math" w:eastAsiaTheme="minorEastAsia"/>
            <w:sz w:val="21"/>
          </w:rPr>
          <m:t>β=1.0,</m:t>
        </m:r>
        <m:r>
          <m:rPr>
            <m:sty m:val="p"/>
          </m:rPr>
          <w:rPr>
            <w:rFonts w:hint="default" w:ascii="Cambria Math" w:hAnsi="Cambria Math" w:eastAsiaTheme="minorEastAsia"/>
            <w:sz w:val="21"/>
          </w:rPr>
          <m:t xml:space="preserve"> </m:t>
        </m:r>
        <m:r>
          <m:rPr/>
          <w:rPr>
            <w:rFonts w:hint="default" w:ascii="Cambria Math" w:hAnsi="Cambria Math" w:eastAsiaTheme="minorEastAsia"/>
            <w:sz w:val="21"/>
          </w:rPr>
          <m:t>λ=1.5</m:t>
        </m:r>
      </m:oMath>
      <w:r>
        <w:rPr>
          <w:rFonts w:hint="eastAsia" w:hAnsi="Cambria Math"/>
          <w:i w:val="0"/>
          <w:sz w:val="21"/>
          <w:lang w:eastAsia="zh-CN"/>
        </w:rPr>
        <w:t>）。</w:t>
      </w:r>
      <w:r>
        <w:rPr>
          <w:rFonts w:hint="eastAsia" w:hAnsi="Cambria Math"/>
          <w:i w:val="0"/>
          <w:sz w:val="21"/>
          <w:lang w:val="en-US" w:eastAsia="zh-CN"/>
        </w:rPr>
        <w:t>由于这一权重来自离群事件在历史样本上的质量画像，它反映的不是抽象意义上的全局真值型信任度，而是针对当前需求任务与当前数据条件、由模型离群画像导出的固定先验权重，即模型在当前情况下“发现高质量问题”与“制造低质量噪声”之间的综合表现。该固定权重并不作为独立的最终输出，而是作为后续条目级圆桌共识中的先验影响力项，其实际贡献将在完整方法与无权重圆桌的消融比较中进行评估。</w:t>
      </w:r>
    </w:p>
    <w:p w14:paraId="29446DCF">
      <w:pPr>
        <w:pStyle w:val="4"/>
        <w:bidi w:val="0"/>
        <w:rPr>
          <w:rFonts w:hint="eastAsia"/>
          <w:lang w:val="en-US" w:eastAsia="zh-CN"/>
        </w:rPr>
      </w:pPr>
      <w:r>
        <w:rPr>
          <w:rFonts w:hint="eastAsia"/>
          <w:lang w:val="en-US" w:eastAsia="zh-CN"/>
        </w:rPr>
        <w:t>4.6 阶段6：融合固定权重与动态置信度的条目级圆桌共识</w:t>
      </w:r>
    </w:p>
    <w:p w14:paraId="494B3172">
      <w:pPr>
        <w:rPr>
          <w:rFonts w:hint="eastAsia" w:hAnsi="Cambria Math"/>
          <w:i w:val="0"/>
          <w:sz w:val="21"/>
          <w:lang w:val="en-US" w:eastAsia="zh-CN"/>
        </w:rPr>
      </w:pPr>
      <w:r>
        <w:rPr>
          <w:rFonts w:hint="eastAsia"/>
          <w:lang w:val="en-US" w:eastAsia="zh-CN"/>
        </w:rPr>
        <w:t>为模拟真实的评审会议，我们受RECONCILE框架启发，本阶段在单条需求内部开展多轮意见交互。需要强调的是，这里我们设定圆桌遵循三个不可更改的核心约束：第一，圆桌中不显式讨论“离群”概念，离群仅用于事前权重分配；第二，模型权重</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oMath>
      <w:r>
        <w:rPr>
          <w:rFonts w:hint="eastAsia" w:hAnsi="Cambria Math"/>
          <w:i w:val="0"/>
          <w:sz w:val="21"/>
          <w:lang w:val="en-US" w:eastAsia="zh-CN"/>
        </w:rPr>
        <w:t>在整个圆桌过程中固定不变；第三，代表模型当前确信度的置信度</w:t>
      </w:r>
      <m:oMath>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oMath>
      <w:r>
        <w:rPr>
          <w:rFonts w:hint="eastAsia" w:hAnsi="Cambria Math"/>
          <w:i w:val="0"/>
          <w:sz w:val="21"/>
          <w:lang w:val="en-US" w:eastAsia="zh-CN"/>
        </w:rPr>
        <w:t>随模型间的多轮交互动态更新。在候选问题构造上，我们优先使用好离群对应的</w:t>
      </w:r>
      <m:oMath>
        <m:r>
          <m:rPr/>
          <w:rPr>
            <w:rFonts w:hint="default" w:ascii="Cambria Math" w:hAnsi="Cambria Math" w:eastAsiaTheme="minorEastAsia"/>
            <w:sz w:val="21"/>
          </w:rPr>
          <m:t>(i,d)</m:t>
        </m:r>
      </m:oMath>
      <w:r>
        <w:rPr>
          <w:rFonts w:hint="eastAsia" w:hAnsi="Cambria Math"/>
          <w:i w:val="0"/>
          <w:sz w:val="21"/>
          <w:lang w:val="en-US" w:eastAsia="zh-CN"/>
        </w:rPr>
        <w:t>作为候选问题集合，以此来确保好离群优先在圆桌中讨论；当该集合不足以支撑讨论时，允许回退到全量问题集合。</w:t>
      </w:r>
    </w:p>
    <w:p w14:paraId="02AA46BF">
      <w:pPr>
        <w:rPr>
          <w:rFonts w:hint="eastAsia" w:hAnsi="Cambria Math"/>
          <w:i w:val="0"/>
          <w:sz w:val="21"/>
          <w:lang w:val="en-US" w:eastAsia="zh-CN"/>
        </w:rPr>
      </w:pPr>
      <w:r>
        <w:rPr>
          <w:rFonts w:hint="eastAsia" w:hAnsi="Cambria Math"/>
          <w:i w:val="0"/>
          <w:sz w:val="21"/>
          <w:lang w:val="en-US" w:eastAsia="zh-CN"/>
        </w:rPr>
        <w:t>对任意模型</w:t>
      </w:r>
      <m:oMath>
        <m:r>
          <m:rPr/>
          <w:rPr>
            <w:rFonts w:hint="default" w:ascii="Cambria Math" w:hAnsi="Cambria Math"/>
            <w:sz w:val="21"/>
          </w:rPr>
          <m:t>r</m:t>
        </m:r>
      </m:oMath>
      <w:r>
        <w:rPr>
          <w:rFonts w:hint="eastAsia" w:hAnsi="Cambria Math"/>
          <w:i w:val="0"/>
          <w:sz w:val="21"/>
          <w:lang w:eastAsia="zh-CN"/>
        </w:rPr>
        <w:t>、</w:t>
      </w:r>
      <w:r>
        <w:rPr>
          <w:rFonts w:hint="eastAsia" w:hAnsi="Cambria Math"/>
          <w:i w:val="0"/>
          <w:sz w:val="21"/>
          <w:lang w:val="en-US" w:eastAsia="zh-CN"/>
        </w:rPr>
        <w:t>需求条目</w:t>
      </w:r>
      <m:oMath>
        <m:r>
          <m:rPr/>
          <w:rPr>
            <w:rFonts w:hint="default" w:ascii="Cambria Math" w:hAnsi="Cambria Math"/>
            <w:sz w:val="21"/>
          </w:rPr>
          <m:t>i</m:t>
        </m:r>
      </m:oMath>
      <w:r>
        <w:rPr>
          <w:rFonts w:hint="eastAsia" w:hAnsi="Cambria Math"/>
          <w:i w:val="0"/>
          <w:sz w:val="21"/>
          <w:lang w:val="en-US" w:eastAsia="zh-CN"/>
        </w:rPr>
        <w:t>与维度</w:t>
      </w:r>
      <m:oMath>
        <m:r>
          <m:rPr/>
          <w:rPr>
            <w:rFonts w:hint="default" w:ascii="Cambria Math" w:hAnsi="Cambria Math"/>
            <w:sz w:val="21"/>
          </w:rPr>
          <m:t>d</m:t>
        </m:r>
      </m:oMath>
      <w:r>
        <w:rPr>
          <w:rFonts w:hint="eastAsia" w:hAnsi="Cambria Math"/>
          <w:i w:val="0"/>
          <w:sz w:val="21"/>
          <w:lang w:eastAsia="zh-CN"/>
        </w:rPr>
        <w:t>，</w:t>
      </w:r>
      <w:r>
        <w:rPr>
          <w:rFonts w:hint="eastAsia" w:hAnsi="Cambria Math"/>
          <w:i w:val="0"/>
          <w:sz w:val="21"/>
          <w:lang w:val="en-US" w:eastAsia="zh-CN"/>
        </w:rPr>
        <w:t>定义其在该问题上的影响力为：</w:t>
      </w:r>
    </w:p>
    <w:p w14:paraId="6335619E">
      <w:pPr>
        <w:rPr>
          <w:rFonts w:hint="default" w:hAnsi="Cambria Math"/>
          <w:i w:val="0"/>
          <w:sz w:val="21"/>
          <w:lang w:val="en-US" w:eastAsia="zh-CN"/>
        </w:rPr>
      </w:pPr>
      <m:oMathPara>
        <m:oMath>
          <m:eqArr>
            <m:eqArrPr>
              <m:maxDist m:val="1"/>
              <m:ctrlPr>
                <w:rPr>
                  <w:rFonts w:ascii="Cambria Math" w:hAnsi="Cambria Math" w:eastAsiaTheme="minorEastAsia"/>
                  <w:i w:val="0"/>
                  <w:sz w:val="21"/>
                </w:rPr>
              </m:ctrlPr>
            </m:eqArrPr>
            <m:e>
              <m:r>
                <m:rPr/>
                <w:rPr>
                  <w:rFonts w:hint="default" w:ascii="Cambria Math" w:hAnsi="Cambria Math" w:eastAsiaTheme="minorEastAsia"/>
                  <w:sz w:val="21"/>
                </w:rPr>
                <m:t>influenc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m:sty m:val="p"/>
                </m:rPr>
                <w:rPr>
                  <w:rFonts w:hint="default" w:ascii="Cambria Math" w:hAnsi="Cambria Math" w:eastAsiaTheme="minorEastAsia"/>
                  <w:sz w:val="21"/>
                </w:rPr>
                <m:t>×</m:t>
              </m:r>
              <m:r>
                <m:rPr/>
                <w:rPr>
                  <w:rFonts w:hint="default" w:ascii="Cambria Math" w:hAnsi="Cambria Math" w:eastAsiaTheme="minorEastAsia"/>
                  <w:sz w:val="21"/>
                </w:rPr>
                <m:t>con</m:t>
              </m:r>
              <m:sSub>
                <m:sSubPr>
                  <m:ctrlPr>
                    <w:rPr>
                      <w:rFonts w:hint="default" w:ascii="Cambria Math" w:hAnsi="Cambria Math" w:eastAsiaTheme="minorEastAsia"/>
                      <w:sz w:val="21"/>
                    </w:rPr>
                  </m:ctrlPr>
                </m:sSubPr>
                <m:e>
                  <m:r>
                    <m:rPr/>
                    <w:rPr>
                      <w:rFonts w:hint="default" w:ascii="Cambria Math" w:hAnsi="Cambria Math" w:eastAsiaTheme="minorEastAsia"/>
                      <w:sz w:val="21"/>
                    </w:rPr>
                    <m:t>f</m:t>
                  </m:r>
                  <m:ctrlPr>
                    <w:rPr>
                      <w:rFonts w:ascii="Cambria Math" w:hAnsi="Cambria Math" w:eastAsiaTheme="minorEastAsia"/>
                      <w:sz w:val="21"/>
                    </w:rPr>
                  </m:ctrlPr>
                </m:e>
                <m:sub>
                  <m:r>
                    <m:rPr/>
                    <w:rPr>
                      <w:rFonts w:hint="default" w:ascii="Cambria Math" w:hAnsi="Cambria Math" w:eastAsiaTheme="minorEastAsia"/>
                      <w:sz w:val="21"/>
                    </w:rPr>
                    <m:t>r,i,d</m:t>
                  </m:r>
                  <m:ctrlPr>
                    <w:rPr>
                      <w:rFonts w:ascii="Cambria Math" w:hAnsi="Cambria Math" w:eastAsiaTheme="minorEastAsia"/>
                      <w:sz w:val="21"/>
                    </w:rPr>
                  </m:ctrlPr>
                </m:sub>
              </m:sSub>
              <m:r>
                <m:rPr>
                  <m:sty m:val="p"/>
                </m:rPr>
                <w:rPr>
                  <w:rFonts w:ascii="Cambria Math" w:hAnsi="Cambria Math" w:eastAsiaTheme="minorEastAsia"/>
                  <w:sz w:val="21"/>
                </w:rPr>
                <m:t>#</m:t>
              </m:r>
              <m:r>
                <m:rPr>
                  <m:sty m:val="p"/>
                </m:rPr>
                <w:rPr>
                  <w:rFonts w:hint="default" w:ascii="Cambria Math" w:hAnsi="Cambria Math"/>
                  <w:sz w:val="21"/>
                  <w:lang w:val="en-US" w:eastAsia="zh-CN"/>
                </w:rPr>
                <m:t>(13)</m:t>
              </m:r>
              <m:ctrlPr>
                <w:rPr>
                  <w:rFonts w:ascii="Cambria Math" w:hAnsi="Cambria Math" w:eastAsiaTheme="minorEastAsia"/>
                  <w:i w:val="0"/>
                  <w:sz w:val="21"/>
                </w:rPr>
              </m:ctrlPr>
            </m:e>
          </m:eqArr>
        </m:oMath>
      </m:oMathPara>
    </w:p>
    <w:p w14:paraId="43F71FAB">
      <w:pPr>
        <w:rPr>
          <w:rFonts w:hint="eastAsia"/>
          <w:lang w:val="en-US" w:eastAsia="zh-CN"/>
        </w:rPr>
      </w:pPr>
      <w:r>
        <w:rPr>
          <w:rFonts w:hint="eastAsia"/>
          <w:lang w:val="en-US" w:eastAsia="zh-CN"/>
        </w:rPr>
        <w:t>进一步地，将支持该问题的模型集合</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oMath>
      <w:r>
        <w:rPr>
          <w:rFonts w:hint="eastAsia"/>
          <w:lang w:val="en-US" w:eastAsia="zh-CN"/>
        </w:rPr>
        <w:t>进行影响力聚合，得出该问题的团队得分：</w:t>
      </w:r>
    </w:p>
    <w:p w14:paraId="07450B9C">
      <w:pPr>
        <w:rPr>
          <w:rFonts w:hint="default" w:hAnsi="Cambria Math" w:eastAsiaTheme="minorEastAsia"/>
          <w:i w:val="0"/>
          <w:sz w:val="21"/>
        </w:rPr>
      </w:pPr>
      <m:oMathPara>
        <m:oMath>
          <m:eqArr>
            <m:eqArrPr>
              <m:maxDist m:val="1"/>
              <m:ctrlPr>
                <w:rPr>
                  <w:rFonts w:hint="default" w:ascii="Cambria Math" w:hAnsi="Cambria Math" w:eastAsiaTheme="minorEastAsia"/>
                  <w:i w:val="0"/>
                  <w:sz w:val="21"/>
                </w:rPr>
              </m:ctrlPr>
            </m:eqArrPr>
            <m:e>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nary>
                <m:naryPr>
                  <m:chr m:val="∑"/>
                  <m:limLoc m:val="undOvr"/>
                  <m:supHide m:val="1"/>
                  <m:ctrlPr>
                    <w:rPr>
                      <w:rFonts w:hint="default" w:ascii="Cambria Math" w:hAnsi="Cambria Math" w:eastAsiaTheme="minorEastAsia"/>
                      <w:i/>
                      <w:sz w:val="21"/>
                    </w:rPr>
                  </m:ctrlPr>
                </m:naryPr>
                <m:sub>
                  <m:r>
                    <m:rPr/>
                    <w:rPr>
                      <w:rFonts w:hint="default" w:ascii="Cambria Math" w:hAnsi="Cambria Math" w:eastAsiaTheme="minorEastAsia"/>
                      <w:sz w:val="21"/>
                    </w:rPr>
                    <m:t>r∈</m:t>
                  </m:r>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ctrlPr>
                    <w:rPr>
                      <w:rFonts w:hint="default" w:ascii="Cambria Math" w:hAnsi="Cambria Math" w:eastAsiaTheme="minorEastAsia"/>
                      <w:sz w:val="21"/>
                    </w:rPr>
                  </m:ctrlPr>
                </m:sub>
                <m:sup>
                  <m:ctrlPr>
                    <w:rPr>
                      <w:rFonts w:hint="default" w:ascii="Cambria Math" w:hAnsi="Cambria Math" w:eastAsiaTheme="minorEastAsia"/>
                      <w:sz w:val="21"/>
                    </w:rPr>
                  </m:ctrlPr>
                </m:sup>
                <m:e>
                  <m:r>
                    <m:rPr/>
                    <w:rPr>
                      <w:rFonts w:hint="default" w:ascii="Cambria Math" w:hAnsi="Cambria Math" w:eastAsiaTheme="minorEastAsia"/>
                      <w:sz w:val="21"/>
                    </w:rPr>
                    <m:t>i</m:t>
                  </m:r>
                  <m:ctrlPr>
                    <w:rPr>
                      <w:rFonts w:hint="default" w:ascii="Cambria Math" w:hAnsi="Cambria Math" w:eastAsiaTheme="minorEastAsia"/>
                      <w:sz w:val="21"/>
                    </w:rPr>
                  </m:ctrlPr>
                </m:e>
              </m:nary>
              <m:r>
                <m:rPr/>
                <w:rPr>
                  <w:rFonts w:hint="default" w:ascii="Cambria Math" w:hAnsi="Cambria Math" w:eastAsiaTheme="minorEastAsia"/>
                  <w:sz w:val="21"/>
                </w:rPr>
                <m:t>nfluenc</m:t>
              </m:r>
              <m:sSub>
                <m:sSubPr>
                  <m:ctrlPr>
                    <w:rPr>
                      <w:rFonts w:hint="default" w:ascii="Cambria Math" w:hAnsi="Cambria Math" w:eastAsiaTheme="minorEastAsia"/>
                      <w:sz w:val="21"/>
                    </w:rPr>
                  </m:ctrlPr>
                </m:sSubPr>
                <m:e>
                  <m:r>
                    <m:rPr/>
                    <w:rPr>
                      <w:rFonts w:hint="default" w:ascii="Cambria Math" w:hAnsi="Cambria Math" w:eastAsiaTheme="minorEastAsia"/>
                      <w:sz w:val="21"/>
                    </w:rPr>
                    <m:t>e</m:t>
                  </m:r>
                  <m:ctrlPr>
                    <w:rPr>
                      <w:rFonts w:hint="default" w:ascii="Cambria Math" w:hAnsi="Cambria Math" w:eastAsiaTheme="minorEastAsia"/>
                      <w:sz w:val="21"/>
                    </w:rPr>
                  </m:ctrlPr>
                </m:e>
                <m:sub>
                  <m:r>
                    <m:rPr/>
                    <w:rPr>
                      <w:rFonts w:hint="default" w:ascii="Cambria Math" w:hAnsi="Cambria Math" w:eastAsiaTheme="minorEastAsia"/>
                      <w:sz w:val="21"/>
                    </w:rPr>
                    <m:t>r,i,d</m:t>
                  </m:r>
                  <m:ctrlPr>
                    <w:rPr>
                      <w:rFonts w:hint="default" w:ascii="Cambria Math" w:hAnsi="Cambria Math" w:eastAsiaTheme="minorEastAsia"/>
                      <w:sz w:val="21"/>
                    </w:rPr>
                  </m:ctrlPr>
                </m:sub>
              </m:sSub>
              <m:r>
                <m:rPr>
                  <m:sty m:val="p"/>
                </m:rPr>
                <w:rPr>
                  <w:rFonts w:hint="default" w:ascii="Cambria Math" w:hAnsi="Cambria Math" w:eastAsiaTheme="minorEastAsia"/>
                  <w:sz w:val="21"/>
                </w:rPr>
                <m:t>#</m:t>
              </m:r>
              <m:r>
                <m:rPr>
                  <m:sty m:val="p"/>
                </m:rPr>
                <w:rPr>
                  <w:rFonts w:hint="default" w:ascii="Cambria Math" w:hAnsi="Cambria Math"/>
                  <w:sz w:val="21"/>
                  <w:lang w:val="en-US" w:eastAsia="zh-CN"/>
                </w:rPr>
                <m:t>(14)</m:t>
              </m:r>
              <m:ctrlPr>
                <w:rPr>
                  <w:rFonts w:hint="default" w:ascii="Cambria Math" w:hAnsi="Cambria Math" w:eastAsiaTheme="minorEastAsia"/>
                  <w:i w:val="0"/>
                  <w:sz w:val="21"/>
                </w:rPr>
              </m:ctrlPr>
            </m:e>
          </m:eqArr>
        </m:oMath>
      </m:oMathPara>
    </w:p>
    <w:p w14:paraId="2AA3FF6C">
      <w:pPr>
        <w:rPr>
          <w:rFonts w:hint="eastAsia" w:hAnsi="Cambria Math" w:eastAsia="宋体"/>
          <w:i w:val="0"/>
          <w:sz w:val="21"/>
          <w:lang w:val="en-US" w:eastAsia="zh-CN"/>
        </w:rPr>
      </w:pPr>
      <w:r>
        <w:rPr>
          <w:rFonts w:hint="eastAsia" w:hAnsi="Cambria Math"/>
          <w:i w:val="0"/>
          <w:sz w:val="21"/>
          <w:lang w:val="en-US" w:eastAsia="zh-CN"/>
        </w:rPr>
        <w:t>其中</w:t>
      </w:r>
      <m:oMath>
        <m:sSubSup>
          <m:sSubSupPr>
            <m:ctrlPr>
              <w:rPr>
                <w:rFonts w:hint="default" w:ascii="Cambria Math" w:hAnsi="Cambria Math" w:eastAsiaTheme="minorEastAsia"/>
                <w:sz w:val="21"/>
              </w:rPr>
            </m:ctrlPr>
          </m:sSubSupPr>
          <m:e>
            <m:r>
              <m:rPr>
                <m:scr m:val="script"/>
              </m:rPr>
              <w:rPr>
                <w:rFonts w:hint="default" w:ascii="Cambria Math" w:hAnsi="Cambria Math" w:eastAsia="MS Mincho"/>
                <w:sz w:val="21"/>
              </w:rPr>
              <m:t>ℛ</m:t>
            </m:r>
            <m:ctrlPr>
              <w:rPr>
                <w:rFonts w:ascii="Cambria Math" w:hAnsi="Cambria Math" w:eastAsiaTheme="minorEastAsia"/>
                <w:sz w:val="21"/>
              </w:rPr>
            </m:ctrlPr>
          </m:e>
          <m:sub>
            <m:r>
              <m:rPr/>
              <w:rPr>
                <w:rFonts w:hint="default" w:ascii="Cambria Math" w:hAnsi="Cambria Math" w:eastAsiaTheme="minorEastAsia"/>
                <w:sz w:val="21"/>
              </w:rPr>
              <m:t>i,d</m:t>
            </m:r>
            <m:ctrlPr>
              <w:rPr>
                <w:rFonts w:ascii="Cambria Math" w:hAnsi="Cambria Math" w:eastAsiaTheme="minorEastAsia"/>
                <w:sz w:val="21"/>
              </w:rPr>
            </m:ctrlPr>
          </m:sub>
          <m:sup>
            <m:r>
              <m:rPr/>
              <w:rPr>
                <w:rFonts w:hint="default" w:ascii="Cambria Math" w:hAnsi="Cambria Math" w:eastAsiaTheme="minorEastAsia"/>
                <w:sz w:val="21"/>
              </w:rPr>
              <m:t>+</m:t>
            </m:r>
            <m:ctrlPr>
              <w:rPr>
                <w:rFonts w:ascii="Cambria Math" w:hAnsi="Cambria Math" w:eastAsiaTheme="minorEastAsia"/>
                <w:sz w:val="21"/>
              </w:rPr>
            </m:ctrlPr>
          </m:sup>
        </m:sSubSup>
        <m:r>
          <m:rPr>
            <m:sty m:val="p"/>
          </m:rPr>
          <w:rPr>
            <w:rFonts w:hint="eastAsia" w:ascii="Cambria Math" w:hAnsi="Cambria Math"/>
            <w:sz w:val="21"/>
            <w:lang w:val="en-US" w:eastAsia="zh-CN"/>
          </w:rPr>
          <m:t>∈</m:t>
        </m:r>
        <m:r>
          <m:rPr>
            <m:scr m:val="script"/>
          </m:rPr>
          <w:rPr>
            <w:rFonts w:hint="default" w:ascii="Cambria Math" w:hAnsi="Cambria Math" w:eastAsia="MS Mincho"/>
            <w:sz w:val="21"/>
          </w:rPr>
          <m:t>ℛ</m:t>
        </m:r>
      </m:oMath>
      <w:r>
        <w:rPr>
          <w:rFonts w:hint="eastAsia" w:hAnsi="Cambria Math" w:eastAsia="宋体"/>
          <w:i w:val="0"/>
          <w:sz w:val="21"/>
          <w:lang w:val="en-US" w:eastAsia="zh-CN"/>
        </w:rPr>
        <w:t>表示在当前轮中支持“条目</w:t>
      </w:r>
      <m:oMath>
        <m:r>
          <m:rPr/>
          <w:rPr>
            <w:rFonts w:hint="default" w:ascii="Cambria Math" w:hAnsi="Cambria Math" w:eastAsia="宋体"/>
            <w:sz w:val="21"/>
          </w:rPr>
          <m:t>i</m:t>
        </m:r>
      </m:oMath>
      <w:r>
        <w:rPr>
          <w:rFonts w:hint="eastAsia" w:hAnsi="Cambria Math" w:eastAsia="宋体"/>
          <w:i w:val="0"/>
          <w:sz w:val="21"/>
          <w:lang w:val="en-US" w:eastAsia="zh-CN"/>
        </w:rPr>
        <w:t>在维度</w:t>
      </w:r>
      <m:oMath>
        <m:r>
          <m:rPr/>
          <w:rPr>
            <w:rFonts w:hint="default" w:ascii="Cambria Math" w:hAnsi="Cambria Math" w:eastAsia="宋体" w:cstheme="minorBidi"/>
            <w:kern w:val="2"/>
            <w:sz w:val="21"/>
            <w:szCs w:val="24"/>
            <w:lang w:val="en-US" w:eastAsia="zh-CN" w:bidi="ar-SA"/>
          </w:rPr>
          <m:t>d</m:t>
        </m:r>
      </m:oMath>
      <w:r>
        <w:rPr>
          <w:rFonts w:hint="eastAsia" w:hAnsi="Cambria Math" w:eastAsia="宋体" w:cstheme="minorBidi"/>
          <w:i w:val="0"/>
          <w:kern w:val="2"/>
          <w:sz w:val="21"/>
          <w:szCs w:val="24"/>
          <w:lang w:val="en-US" w:eastAsia="zh-CN" w:bidi="ar-SA"/>
        </w:rPr>
        <w:t>存在问题</w:t>
      </w:r>
      <w:r>
        <w:rPr>
          <w:rFonts w:hint="eastAsia" w:hAnsi="Cambria Math" w:eastAsia="宋体"/>
          <w:i w:val="0"/>
          <w:sz w:val="21"/>
          <w:lang w:val="en-US" w:eastAsia="zh-CN"/>
        </w:rPr>
        <w:t>”的模型集合。在每轮按照</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对候选问题进行排序，并以排序结果组织后续讨论。</w:t>
      </w:r>
    </w:p>
    <w:p w14:paraId="50D04F82">
      <w:pPr>
        <w:rPr>
          <w:rFonts w:hint="default" w:hAnsi="Cambria Math" w:eastAsia="宋体"/>
          <w:i w:val="0"/>
          <w:sz w:val="21"/>
          <w:lang w:val="en-US" w:eastAsia="zh-CN"/>
        </w:rPr>
      </w:pPr>
      <w:r>
        <w:rPr>
          <w:rFonts w:hint="eastAsia" w:hAnsi="Cambria Math" w:eastAsia="宋体"/>
          <w:i w:val="0"/>
          <w:sz w:val="21"/>
          <w:lang w:val="en-US" w:eastAsia="zh-CN"/>
        </w:rPr>
        <w:t>圆桌的终止条件同时保留三类：其一为分数收敛，即不同轮次间问题得分变化足够小；其二为问题集合收敛，即候选问题集合在轮次间趋于稳定，并用集合重叠度刻画；其三为固定轮次上限。我们采用的方法重点并不在于重现RECONCILE框架的全部实现细节，而是采用“多模型讨论+置信度加权+共识收敛”的启发思想，并将其嵌入需求质量审查这一逐条需求场景之中，最终得到经过多轮博弈与共识后的各维度团队问题得分</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分布以及收敛的缺陷清单表现。</w:t>
      </w:r>
    </w:p>
    <w:p w14:paraId="1F61091D">
      <w:pPr>
        <w:pStyle w:val="4"/>
        <w:bidi w:val="0"/>
        <w:rPr>
          <w:rFonts w:hint="eastAsia"/>
          <w:lang w:val="en-US" w:eastAsia="zh-CN"/>
        </w:rPr>
      </w:pPr>
      <w:r>
        <w:rPr>
          <w:rFonts w:hint="eastAsia"/>
          <w:lang w:val="en-US" w:eastAsia="zh-CN"/>
        </w:rPr>
        <w:t>4.7 阶段7：最终问题清单提取</w:t>
      </w:r>
    </w:p>
    <w:p w14:paraId="40629B77">
      <w:pPr>
        <w:rPr>
          <w:rFonts w:hint="eastAsia" w:hAnsi="Cambria Math"/>
          <w:i w:val="0"/>
          <w:sz w:val="21"/>
          <w:lang w:val="en-US" w:eastAsia="zh-CN"/>
        </w:rPr>
      </w:pPr>
      <w:r>
        <w:rPr>
          <w:rFonts w:hint="eastAsia"/>
          <w:lang w:val="en-US" w:eastAsia="zh-CN"/>
        </w:rPr>
        <w:t>最后阶段依据共识机制的量化结果提取可供软件工程团队直接使用的优化建议。针对上阶段圆桌共识结束后得到的团队问题得分</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m:t>
        </m:r>
      </m:oMath>
      <w:r>
        <w:rPr>
          <w:rFonts w:hint="eastAsia" w:hAnsi="Cambria Math"/>
          <w:i w:val="0"/>
          <w:sz w:val="21"/>
          <w:lang w:eastAsia="zh-CN"/>
        </w:rPr>
        <w:t>、</w:t>
      </w:r>
      <w:r>
        <w:rPr>
          <w:rFonts w:hint="eastAsia" w:hAnsi="Cambria Math"/>
          <w:i w:val="0"/>
          <w:sz w:val="21"/>
          <w:lang w:val="en-US" w:eastAsia="zh-CN"/>
        </w:rPr>
        <w:t>对应证据片段以及改写建议，我们引入筛选置信阈值</w:t>
      </w:r>
      <m:oMath>
        <m:r>
          <m:rPr/>
          <w:rPr>
            <w:rFonts w:hint="default" w:ascii="Cambria Math" w:hAnsi="Cambria Math" w:eastAsiaTheme="minorEastAsia"/>
            <w:sz w:val="21"/>
          </w:rPr>
          <m:t>θ</m:t>
        </m:r>
      </m:oMath>
      <w:r>
        <w:rPr>
          <w:rFonts w:hint="eastAsia" w:hAnsi="Cambria Math"/>
          <w:i w:val="0"/>
          <w:sz w:val="21"/>
          <w:lang w:val="en-US" w:eastAsia="zh-CN"/>
        </w:rPr>
        <w:t>进行阶段筛选，提取最终高质量问题集合：</w:t>
      </w:r>
    </w:p>
    <w:p w14:paraId="3416BAB0">
      <w:pPr>
        <w:rPr>
          <w:rFonts w:hint="default" w:hAnsi="Cambria Math" w:eastAsiaTheme="minorEastAsia"/>
          <w:i w:val="0"/>
          <w:sz w:val="21"/>
        </w:rPr>
      </w:pPr>
      <m:oMathPara>
        <m:oMath>
          <m:eqArr>
            <m:eqArrPr>
              <m:maxDist m:val="1"/>
              <m:ctrlPr>
                <w:rPr>
                  <w:rFonts w:hint="default" w:ascii="Cambria Math" w:hAnsi="Cambria Math" w:eastAsiaTheme="minorEastAsia"/>
                  <w:i/>
                  <w:sz w:val="21"/>
                </w:rPr>
              </m:ctrlPr>
            </m:eqArrPr>
            <m:e>
              <m:r>
                <m:rPr/>
                <w:rPr>
                  <w:rFonts w:hint="default" w:ascii="Cambria Math" w:hAnsi="Cambria Math" w:eastAsiaTheme="minorEastAsia"/>
                  <w:sz w:val="21"/>
                </w:rPr>
                <m:t>final_problems={(i,d)|</m:t>
              </m:r>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issue</m:t>
                  </m:r>
                  <m:ctrlPr>
                    <w:rPr>
                      <w:rFonts w:ascii="Cambria Math" w:hAnsi="Cambria Math" w:eastAsiaTheme="minorEastAsia"/>
                      <w:sz w:val="21"/>
                    </w:rPr>
                  </m:ctrlPr>
                </m:sub>
              </m:sSub>
              <m:r>
                <m:rPr/>
                <w:rPr>
                  <w:rFonts w:hint="default" w:ascii="Cambria Math" w:hAnsi="Cambria Math" w:eastAsiaTheme="minorEastAsia"/>
                  <w:sz w:val="21"/>
                </w:rPr>
                <m:t>(i,d)≥θ}</m:t>
              </m:r>
              <m:r>
                <m:rPr>
                  <m:sty m:val="p"/>
                </m:rPr>
                <w:rPr>
                  <w:rFonts w:hint="default" w:ascii="Cambria Math" w:hAnsi="Cambria Math" w:eastAsiaTheme="minorEastAsia"/>
                  <w:sz w:val="21"/>
                </w:rPr>
                <m:t>#</m:t>
              </m:r>
              <m:r>
                <m:rPr>
                  <m:sty m:val="p"/>
                </m:rPr>
                <w:rPr>
                  <w:rFonts w:hint="default" w:ascii="Cambria Math" w:hAnsi="Cambria Math"/>
                  <w:sz w:val="21"/>
                  <w:lang w:val="en-US" w:eastAsia="zh-CN"/>
                </w:rPr>
                <m:t>(15)</m:t>
              </m:r>
              <m:ctrlPr>
                <w:rPr>
                  <w:rFonts w:hint="default" w:ascii="Cambria Math" w:hAnsi="Cambria Math" w:eastAsiaTheme="minorEastAsia"/>
                  <w:i/>
                  <w:sz w:val="21"/>
                </w:rPr>
              </m:ctrlPr>
            </m:e>
          </m:eqArr>
        </m:oMath>
      </m:oMathPara>
    </w:p>
    <w:p w14:paraId="127BEB90">
      <w:pPr>
        <w:rPr>
          <w:rFonts w:hint="default" w:hAnsi="Cambria Math" w:eastAsia="宋体"/>
          <w:i w:val="0"/>
          <w:sz w:val="21"/>
          <w:lang w:val="en-US" w:eastAsia="zh-CN"/>
        </w:rPr>
      </w:pPr>
      <w:r>
        <w:rPr>
          <w:rFonts w:hint="eastAsia" w:hAnsi="Cambria Math"/>
          <w:i w:val="0"/>
          <w:sz w:val="21"/>
          <w:lang w:val="en-US" w:eastAsia="zh-CN"/>
        </w:rPr>
        <w:t>符合条件的问题将按</w:t>
      </w:r>
      <m:oMath>
        <m:sSub>
          <m:sSubPr>
            <m:ctrlPr>
              <w:rPr>
                <w:rFonts w:hint="default" w:ascii="Cambria Math" w:hAnsi="Cambria Math" w:eastAsia="MS Mincho"/>
                <w:sz w:val="21"/>
              </w:rPr>
            </m:ctrlPr>
          </m:sSubPr>
          <m:e>
            <m:r>
              <m:rPr/>
              <w:rPr>
                <w:rFonts w:hint="default" w:ascii="Cambria Math" w:hAnsi="Cambria Math" w:eastAsia="MS Mincho"/>
                <w:sz w:val="21"/>
              </w:rPr>
              <m:t>S</m:t>
            </m:r>
            <m:ctrlPr>
              <w:rPr>
                <w:rFonts w:ascii="Cambria Math" w:hAnsi="Cambria Math" w:eastAsia="MS Mincho"/>
                <w:sz w:val="21"/>
              </w:rPr>
            </m:ctrlPr>
          </m:e>
          <m:sub>
            <m:r>
              <m:rPr/>
              <w:rPr>
                <w:rFonts w:hint="default" w:ascii="Cambria Math" w:hAnsi="Cambria Math" w:eastAsia="MS Mincho"/>
                <w:sz w:val="21"/>
              </w:rPr>
              <m:t>issue</m:t>
            </m:r>
            <m:ctrlPr>
              <w:rPr>
                <w:rFonts w:ascii="Cambria Math" w:hAnsi="Cambria Math" w:eastAsia="MS Mincho"/>
                <w:sz w:val="21"/>
              </w:rPr>
            </m:ctrlPr>
          </m:sub>
        </m:sSub>
      </m:oMath>
      <w:r>
        <w:rPr>
          <w:rFonts w:hint="eastAsia" w:hAnsi="Cambria Math" w:eastAsia="宋体"/>
          <w:i w:val="0"/>
          <w:sz w:val="21"/>
          <w:lang w:val="en-US" w:eastAsia="zh-CN"/>
        </w:rPr>
        <w:t>降序排列，筛选出Top-K（例如10项）最具高影响力的缺陷条目，并最终形成高度结构化的团队级结论。该团队级结论的标准化输出遵循我们的研究目标设定：</w:t>
      </w:r>
    </w:p>
    <w:p w14:paraId="5B6C62A8">
      <w:pPr>
        <w:rPr>
          <w:rFonts w:hint="eastAsia"/>
          <w:lang w:val="en-US" w:eastAsia="zh-CN"/>
        </w:rPr>
      </w:pPr>
      <w:r>
        <w:rPr>
          <w:rFonts w:hint="default"/>
          <w:lang w:val="en-US" w:eastAsia="zh-CN"/>
        </w:rPr>
        <w:t>条目编号+问题类型(U/A/C/V) +证据片段+建议改写(+支持者/影响力)</w:t>
      </w:r>
      <w:r>
        <w:rPr>
          <w:rFonts w:hint="eastAsia"/>
          <w:lang w:val="en-US" w:eastAsia="zh-CN"/>
        </w:rPr>
        <w:t>，此清单即为提供给人类开发者的最终需求优化蓝图。</w:t>
      </w:r>
    </w:p>
    <w:p w14:paraId="3AE1B32D">
      <w:pPr>
        <w:rPr>
          <w:rFonts w:hint="eastAsia"/>
          <w:lang w:val="en-US" w:eastAsia="zh-CN"/>
        </w:rPr>
      </w:pPr>
    </w:p>
    <w:p w14:paraId="6B9018B6">
      <w:pPr>
        <w:rPr>
          <w:rFonts w:hint="default"/>
          <w:lang w:val="en-US" w:eastAsia="zh-CN"/>
        </w:rPr>
      </w:pPr>
      <w:r>
        <w:rPr>
          <w:rFonts w:hint="eastAsia"/>
          <w:lang w:val="en-US" w:eastAsia="zh-CN"/>
        </w:rPr>
        <w:t>综上，本文的方法论形成了一条从评分分歧识别到团队结论生成的完整决策链：首先，通过多LLM逐条需求结构化评分构造统一的评审输入；其次，以中位数基准和固定离群阈值识别需要重点审查的离群事件；进而，以六维论证质量向量和硬性约束区分好离群、坏离群与不确定情形，并进一步将其累计为模型画像与固定权重；最后，在条目级圆桌中融合固定权重与动态置信度形成团队问题得分，并据此提取最终问题清单。该流程避免将“更接近共识”简单等同于“更可靠”，从而为需求质量评审提供了一种兼顾解释性、复现性与团队决策性的多LLM方法框架。</w:t>
      </w:r>
    </w:p>
    <w:p w14:paraId="2118FE8D">
      <w:pPr>
        <w:pStyle w:val="3"/>
        <w:bidi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 Experimental Design</w:t>
      </w:r>
    </w:p>
    <w:p w14:paraId="0C6C734F">
      <w:pPr>
        <w:rPr>
          <w:rFonts w:hint="eastAsia"/>
          <w:lang w:val="en-US" w:eastAsia="zh-CN"/>
        </w:rPr>
      </w:pPr>
      <w:r>
        <w:rPr>
          <w:rFonts w:hint="eastAsia"/>
          <w:lang w:val="en-US" w:eastAsia="zh-CN"/>
        </w:rPr>
        <w:t>本章旨在阐述评估本文提出的多LLM协同需求质量审查框架的实证研究设计。结合前述的三个研究问题(RQs)，实验设计遵循一条由浅入深的验证逻辑：首先刻画多异构LLM在初始评分阶段的分歧特征（RQ1）；其次通过严格的控制变量与消融基线，评估本文提出的完整共识工作流在问题清单生成上的综合表现及其内部机制（RQ2）；最后进一步探究该方法在不同需求文档特征与不同质量维度下的泛化能力与表现差异（RQ3）。</w:t>
      </w:r>
    </w:p>
    <w:p w14:paraId="75BA15C3">
      <w:pPr>
        <w:pStyle w:val="4"/>
        <w:bidi w:val="0"/>
        <w:rPr>
          <w:rFonts w:hint="eastAsia"/>
          <w:lang w:val="en-US" w:eastAsia="zh-CN"/>
        </w:rPr>
      </w:pPr>
      <w:r>
        <w:rPr>
          <w:rFonts w:hint="eastAsia"/>
          <w:lang w:val="en-US" w:eastAsia="zh-CN"/>
        </w:rPr>
        <w:t>5.1</w:t>
      </w:r>
      <w:r>
        <w:rPr>
          <w:rFonts w:hint="default" w:asciiTheme="minorAscii" w:hAnsiTheme="minorAscii"/>
          <w:b/>
          <w:strike/>
          <w:dstrike w:val="0"/>
          <w:sz w:val="24"/>
          <w:lang w:val="en-US" w:eastAsia="zh-CN"/>
        </w:rPr>
        <w:t>实验目标与分析单元</w:t>
      </w:r>
      <w:r>
        <w:rPr>
          <w:rFonts w:hint="eastAsia"/>
          <w:lang w:val="en-US" w:eastAsia="zh-CN"/>
        </w:rPr>
        <w:t>(Experimental Objectives and Evaluation Unit)</w:t>
      </w:r>
    </w:p>
    <w:p w14:paraId="4464064B">
      <w:pPr>
        <w:rPr>
          <w:rFonts w:hint="default"/>
          <w:lang w:val="en-US" w:eastAsia="zh-CN"/>
        </w:rPr>
      </w:pPr>
      <w:r>
        <w:rPr>
          <w:rFonts w:hint="default"/>
          <w:lang w:val="en-US" w:eastAsia="zh-CN"/>
        </w:rPr>
        <w:t>本文的实验单位</w:t>
      </w:r>
      <w:r>
        <w:rPr>
          <w:rFonts w:hint="eastAsia"/>
          <w:lang w:val="en-US" w:eastAsia="zh-CN"/>
        </w:rPr>
        <w:t>严格</w:t>
      </w:r>
      <w:r>
        <w:rPr>
          <w:rFonts w:hint="default"/>
          <w:lang w:val="en-US" w:eastAsia="zh-CN"/>
        </w:rPr>
        <w:t>固定为单份需求文档内部的per-requirement评估。对于每条需求，系统分别在可理解性</w:t>
      </w:r>
      <w:r>
        <w:rPr>
          <w:rFonts w:hint="eastAsia"/>
          <w:lang w:val="en-US" w:eastAsia="zh-CN"/>
        </w:rPr>
        <w:t>(U)</w:t>
      </w:r>
      <w:r>
        <w:rPr>
          <w:rFonts w:hint="default"/>
          <w:lang w:val="en-US" w:eastAsia="zh-CN"/>
        </w:rPr>
        <w:t>、无歧义性</w:t>
      </w:r>
      <w:r>
        <w:rPr>
          <w:rFonts w:hint="eastAsia"/>
          <w:lang w:val="en-US" w:eastAsia="zh-CN"/>
        </w:rPr>
        <w:t>(A)</w:t>
      </w:r>
      <w:r>
        <w:rPr>
          <w:rFonts w:hint="default"/>
          <w:lang w:val="en-US" w:eastAsia="zh-CN"/>
        </w:rPr>
        <w:t>、正确性</w:t>
      </w:r>
      <w:r>
        <w:rPr>
          <w:rFonts w:hint="eastAsia"/>
          <w:lang w:val="en-US" w:eastAsia="zh-CN"/>
        </w:rPr>
        <w:t>(C)</w:t>
      </w:r>
      <w:r>
        <w:rPr>
          <w:rFonts w:hint="default"/>
          <w:lang w:val="en-US" w:eastAsia="zh-CN"/>
        </w:rPr>
        <w:t>与可验证性</w:t>
      </w:r>
      <w:r>
        <w:rPr>
          <w:rFonts w:hint="eastAsia"/>
          <w:lang w:val="en-US" w:eastAsia="zh-CN"/>
        </w:rPr>
        <w:t>(V)</w:t>
      </w:r>
      <w:r>
        <w:rPr>
          <w:rFonts w:hint="default"/>
          <w:lang w:val="en-US" w:eastAsia="zh-CN"/>
        </w:rPr>
        <w:t>四个维度上进行判断。</w:t>
      </w:r>
      <w:r>
        <w:rPr>
          <w:rFonts w:hint="eastAsia"/>
          <w:lang w:val="en-US" w:eastAsia="zh-CN"/>
        </w:rPr>
        <w:t>因此，本实验的最小评价单元被定义为二元组(item,type)，其中item表示需求条目编号，</w:t>
      </w:r>
      <m:oMath>
        <m:r>
          <m:rPr/>
          <w:rPr>
            <w:rFonts w:hint="eastAsia" w:ascii="Cambria Math" w:hAnsi="Cambria Math" w:eastAsiaTheme="minorEastAsia" w:cstheme="minorBidi"/>
            <w:kern w:val="2"/>
            <w:sz w:val="21"/>
            <w:szCs w:val="24"/>
            <w:lang w:val="en-US" w:eastAsia="zh-CN" w:bidi="ar-SA"/>
          </w:rPr>
          <m:t>type ∈ {U, A, C, V}</m:t>
        </m:r>
      </m:oMath>
      <w:r>
        <w:rPr>
          <w:rFonts w:hint="eastAsia" w:hAnsi="Cambria Math" w:cstheme="minorBidi"/>
          <w:i w:val="0"/>
          <w:kern w:val="2"/>
          <w:sz w:val="21"/>
          <w:szCs w:val="24"/>
          <w:lang w:val="en-US" w:eastAsia="zh-CN" w:bidi="ar-SA"/>
        </w:rPr>
        <w:t>。本实验不仅评估模型的数值评分表现，更关注最终能否生成包含证据片段和建议改写的结构化团队级诊断结论。</w:t>
      </w:r>
    </w:p>
    <w:p w14:paraId="6BFEBB19">
      <w:pPr>
        <w:pStyle w:val="4"/>
        <w:bidi w:val="0"/>
        <w:rPr>
          <w:rFonts w:hint="eastAsia"/>
          <w:lang w:val="en-US" w:eastAsia="zh-CN"/>
        </w:rPr>
      </w:pPr>
      <w:r>
        <w:rPr>
          <w:rFonts w:hint="eastAsia"/>
          <w:lang w:val="en-US" w:eastAsia="zh-CN"/>
        </w:rPr>
        <w:t>5.2</w:t>
      </w:r>
      <w:r>
        <w:rPr>
          <w:rFonts w:hint="default" w:asciiTheme="minorAscii" w:hAnsiTheme="minorAscii"/>
          <w:b/>
          <w:strike/>
          <w:dstrike w:val="0"/>
          <w:sz w:val="24"/>
          <w:lang w:val="en-US" w:eastAsia="zh-CN"/>
        </w:rPr>
        <w:t>实验对象与数据集</w:t>
      </w:r>
      <w:r>
        <w:rPr>
          <w:rFonts w:hint="eastAsia"/>
          <w:lang w:val="en-US" w:eastAsia="zh-CN"/>
        </w:rPr>
        <w:t>(Subjects and Datasets)</w:t>
      </w:r>
    </w:p>
    <w:p w14:paraId="4CA86217">
      <w:pPr>
        <w:pStyle w:val="5"/>
        <w:bidi w:val="0"/>
        <w:rPr>
          <w:rFonts w:hint="default"/>
          <w:lang w:val="en-US" w:eastAsia="zh-CN"/>
        </w:rPr>
      </w:pPr>
      <w:r>
        <w:rPr>
          <w:rFonts w:hint="eastAsia"/>
          <w:lang w:val="en-US" w:eastAsia="zh-CN"/>
        </w:rPr>
        <w:t>5.2.1</w:t>
      </w:r>
      <w:r>
        <w:rPr>
          <w:rFonts w:hint="eastAsia"/>
          <w:b/>
          <w:strike/>
          <w:dstrike w:val="0"/>
          <w:lang w:val="en-US" w:eastAsia="zh-CN"/>
        </w:rPr>
        <w:t>评估对象（异构LLMs）</w:t>
      </w:r>
      <w:r>
        <w:rPr>
          <w:rFonts w:hint="eastAsia"/>
          <w:lang w:val="en-US" w:eastAsia="zh-CN"/>
        </w:rPr>
        <w:t>Evaluation Subjects (Heterogeneous LLMs)</w:t>
      </w:r>
    </w:p>
    <w:p w14:paraId="5DE7382E">
      <w:pPr>
        <w:rPr>
          <w:rFonts w:hint="eastAsia"/>
          <w:lang w:val="en-US" w:eastAsia="zh-CN"/>
        </w:rPr>
      </w:pPr>
      <w:r>
        <w:rPr>
          <w:rFonts w:hint="eastAsia"/>
          <w:lang w:val="en-US" w:eastAsia="zh-CN"/>
        </w:rPr>
        <w:t>本实验选取了5款当前主流且底层架构存在差异的大语言模型作为虚拟评审员，分别来自 DeepSeek-Reasoner、Qwen-plus、GPT-5.1、Kimi-k2-0905-preview 和 GLM-5。这种异构型设计旨在最大程度地真实模拟专家评审团队中由于背景知识、训练语料和推理偏好不同而产生的视角差异，从而为“分歧处理”提供充足的实验载体。</w:t>
      </w:r>
    </w:p>
    <w:p w14:paraId="36999624">
      <w:pPr>
        <w:pStyle w:val="5"/>
        <w:bidi w:val="0"/>
        <w:rPr>
          <w:rFonts w:hint="default"/>
          <w:lang w:val="en-US" w:eastAsia="zh-CN"/>
        </w:rPr>
      </w:pPr>
      <w:r>
        <w:rPr>
          <w:rFonts w:hint="eastAsia"/>
          <w:lang w:val="en-US" w:eastAsia="zh-CN"/>
        </w:rPr>
        <w:t>5.2.2</w:t>
      </w:r>
      <w:r>
        <w:rPr>
          <w:rFonts w:hint="eastAsia"/>
          <w:b/>
          <w:strike/>
          <w:dstrike w:val="0"/>
          <w:lang w:val="en-US" w:eastAsia="zh-CN"/>
        </w:rPr>
        <w:t>实验数据集</w:t>
      </w:r>
      <w:r>
        <w:rPr>
          <w:rFonts w:hint="eastAsia"/>
          <w:lang w:val="en-US" w:eastAsia="zh-CN"/>
        </w:rPr>
        <w:t>(Datasets)</w:t>
      </w:r>
    </w:p>
    <w:p w14:paraId="0BC06B0A">
      <w:pPr>
        <w:rPr>
          <w:rFonts w:hint="default"/>
          <w:lang w:val="en-US" w:eastAsia="zh-CN"/>
        </w:rPr>
      </w:pPr>
      <w:r>
        <w:rPr>
          <w:rFonts w:hint="default"/>
          <w:lang w:val="en-US" w:eastAsia="zh-CN"/>
        </w:rPr>
        <w:t>实验采用</w:t>
      </w:r>
      <w:r>
        <w:rPr>
          <w:rFonts w:hint="eastAsia"/>
          <w:lang w:val="en-US" w:eastAsia="zh-CN"/>
        </w:rPr>
        <w:t>广泛用于实证软件工程研究的</w:t>
      </w:r>
      <w:r>
        <w:rPr>
          <w:rFonts w:hint="default"/>
          <w:lang w:val="en-US" w:eastAsia="zh-CN"/>
        </w:rPr>
        <w:t>公共需求文档数据集</w:t>
      </w:r>
      <w:r>
        <w:rPr>
          <w:rFonts w:hint="default"/>
          <w:b/>
          <w:bCs/>
          <w:lang w:val="en-US" w:eastAsia="zh-CN"/>
        </w:rPr>
        <w:t>PURE (PUblic REquirements dataset)</w:t>
      </w:r>
      <w:r>
        <w:rPr>
          <w:rFonts w:hint="default"/>
          <w:lang w:val="en-US" w:eastAsia="zh-CN"/>
        </w:rPr>
        <w:t>。该数据集包含了来自真实工业界和开源项目的软件需求规格说明书（SRS）。</w:t>
      </w:r>
      <w:r>
        <w:rPr>
          <w:rFonts w:hint="eastAsia"/>
          <w:lang w:val="en-US" w:eastAsia="zh-CN"/>
        </w:rPr>
        <w:t>实验采用分层抽样，筛选了10份覆盖不同业务领域、不同规模（从数十条到数百条需求不等）的文档，以确保结论不依赖于单一上下文。</w:t>
      </w:r>
      <w:r>
        <w:rPr>
          <w:rFonts w:hint="default"/>
          <w:lang w:val="en-US" w:eastAsia="zh-CN"/>
        </w:rPr>
        <w:t>PURE数据集保留了自然语言需求中真实存在的模糊、冗余和逻辑不一致等缺陷，且支持被解析为统一的(item, text)结构，完美契合本研究的细粒度分析需求。</w:t>
      </w:r>
    </w:p>
    <w:p w14:paraId="27D09AB1">
      <w:pPr>
        <w:pStyle w:val="4"/>
        <w:bidi w:val="0"/>
        <w:rPr>
          <w:rFonts w:hint="default"/>
          <w:lang w:val="en-US" w:eastAsia="zh-CN"/>
        </w:rPr>
      </w:pPr>
      <w:r>
        <w:rPr>
          <w:rFonts w:hint="eastAsia"/>
          <w:lang w:val="en-US" w:eastAsia="zh-CN"/>
        </w:rPr>
        <w:t>5.3</w:t>
      </w:r>
      <w:r>
        <w:rPr>
          <w:rFonts w:hint="default" w:asciiTheme="minorAscii" w:hAnsiTheme="minorAscii"/>
          <w:b/>
          <w:strike/>
          <w:dstrike w:val="0"/>
          <w:sz w:val="24"/>
          <w:lang w:val="en-US" w:eastAsia="zh-CN"/>
        </w:rPr>
        <w:t>实验处理与基线设置</w:t>
      </w:r>
      <w:r>
        <w:rPr>
          <w:rFonts w:hint="eastAsia"/>
          <w:lang w:val="en-US" w:eastAsia="zh-CN"/>
        </w:rPr>
        <w:t>(Treatments and Baselines)</w:t>
      </w:r>
    </w:p>
    <w:p w14:paraId="2063F46F">
      <w:pPr>
        <w:rPr>
          <w:rFonts w:hint="default"/>
          <w:lang w:val="en-US" w:eastAsia="zh-CN"/>
        </w:rPr>
      </w:pPr>
      <w:r>
        <w:rPr>
          <w:rFonts w:hint="eastAsia"/>
          <w:lang w:val="en-US" w:eastAsia="zh-CN"/>
        </w:rPr>
        <w:t>为准确回答RQ2，隔离并量化本文方法中各模块的实际贡献，同一份需求文档将在以下四种处理条件(Treatments)下进行并行评估：</w:t>
      </w:r>
    </w:p>
    <w:p w14:paraId="5CF72315">
      <w:pPr>
        <w:numPr>
          <w:ilvl w:val="0"/>
          <w:numId w:val="2"/>
        </w:numPr>
        <w:rPr>
          <w:rFonts w:hint="eastAsia"/>
          <w:lang w:val="en-US" w:eastAsia="zh-CN"/>
        </w:rPr>
      </w:pPr>
      <w:r>
        <w:rPr>
          <w:rFonts w:hint="eastAsia"/>
          <w:b/>
          <w:bCs/>
          <w:lang w:val="en-US" w:eastAsia="zh-CN"/>
        </w:rPr>
        <w:t>Single-LLM</w:t>
      </w:r>
      <w:r>
        <w:rPr>
          <w:rFonts w:hint="default" w:asciiTheme="minorAscii" w:hAnsiTheme="minorAscii" w:eastAsiaTheme="minorEastAsia"/>
          <w:b/>
          <w:bCs/>
          <w:strike/>
          <w:dstrike w:val="0"/>
          <w:color w:val="000000" w:themeColor="text1"/>
          <w:sz w:val="21"/>
          <w:lang w:val="en-US" w:eastAsia="zh-CN"/>
          <w14:textFill>
            <w14:solidFill>
              <w14:schemeClr w14:val="tx1"/>
            </w14:solidFill>
          </w14:textFill>
        </w:rPr>
        <w:t>（单一模型）</w:t>
      </w:r>
      <w:r>
        <w:rPr>
          <w:rFonts w:hint="eastAsia"/>
          <w:b/>
          <w:bCs/>
          <w:lang w:val="en-US" w:eastAsia="zh-CN"/>
        </w:rPr>
        <w:t>：</w:t>
      </w:r>
      <w:r>
        <w:rPr>
          <w:rFonts w:hint="eastAsia"/>
          <w:lang w:val="en-US" w:eastAsia="zh-CN"/>
        </w:rPr>
        <w:t>由5个LLM分别独立完成四维评分与问题输出，作为各模型在当前任务上的基础表现下界。</w:t>
      </w:r>
    </w:p>
    <w:p w14:paraId="6D3931B9">
      <w:pPr>
        <w:numPr>
          <w:ilvl w:val="0"/>
          <w:numId w:val="2"/>
        </w:numPr>
        <w:rPr>
          <w:rFonts w:hint="default"/>
          <w:lang w:val="en-US" w:eastAsia="zh-CN"/>
        </w:rPr>
      </w:pPr>
      <w:r>
        <w:rPr>
          <w:rFonts w:hint="default"/>
          <w:b/>
          <w:bCs/>
          <w:lang w:val="en-US" w:eastAsia="zh-CN"/>
        </w:rPr>
        <w:t>Equal-Weight Aggregation</w:t>
      </w:r>
      <w:r>
        <w:rPr>
          <w:rFonts w:hint="default" w:asciiTheme="minorAscii" w:hAnsiTheme="minorAscii" w:eastAsiaTheme="minorEastAsia"/>
          <w:b/>
          <w:bCs/>
          <w:strike/>
          <w:dstrike w:val="0"/>
          <w:color w:val="000000" w:themeColor="text1"/>
          <w:sz w:val="21"/>
          <w:lang w:val="en-US" w:eastAsia="zh-CN"/>
          <w14:textFill>
            <w14:solidFill>
              <w14:schemeClr w14:val="tx1"/>
            </w14:solidFill>
          </w14:textFill>
        </w:rPr>
        <w:t>（等权聚合）</w:t>
      </w:r>
      <w:r>
        <w:rPr>
          <w:rFonts w:hint="default"/>
          <w:b/>
          <w:bCs/>
          <w:lang w:val="en-US" w:eastAsia="zh-CN"/>
        </w:rPr>
        <w:t>：</w:t>
      </w:r>
      <w:r>
        <w:rPr>
          <w:rFonts w:hint="default"/>
          <w:lang w:val="en-US" w:eastAsia="zh-CN"/>
        </w:rPr>
        <w:t>多模型独立评分后，不引入论证质量判别与离群定权，直接按照等权重</w:t>
      </w:r>
      <w:r>
        <w:rPr>
          <w:rFonts w:hint="eastAsia"/>
          <w:lang w:val="en-US" w:eastAsia="zh-CN"/>
        </w:rPr>
        <w:t>原则(</w:t>
      </w:r>
      <m:oMath>
        <m:sSub>
          <m:sSubPr>
            <m:ctrlPr>
              <w:rPr>
                <w:rFonts w:hint="default" w:ascii="Cambria Math" w:hAnsi="Cambria Math" w:eastAsiaTheme="minorEastAsia"/>
                <w:sz w:val="21"/>
              </w:rPr>
            </m:ctrlPr>
          </m:sSubPr>
          <m:e>
            <m:r>
              <m:rPr/>
              <w:rPr>
                <w:rFonts w:hint="default" w:ascii="Cambria Math" w:hAnsi="Cambria Math"/>
                <w:sz w:val="21"/>
                <w:lang w:val="en-US" w:eastAsia="zh-CN"/>
              </w:rPr>
              <m:t xml:space="preserve"> </m:t>
            </m:r>
            <m:r>
              <m:rPr/>
              <w:rPr>
                <w:rFonts w:hint="default" w:ascii="Cambria Math" w:hAnsi="Cambria Math" w:eastAsiaTheme="minorEastAsia"/>
                <w:sz w:val="21"/>
              </w:rPr>
              <m:t>w</m:t>
            </m:r>
            <m:ctrlPr>
              <w:rPr>
                <w:rFonts w:ascii="Cambria Math" w:hAnsi="Cambria Math" w:eastAsiaTheme="minorEastAsia"/>
                <w:sz w:val="21"/>
              </w:rPr>
            </m:ctrlPr>
          </m:e>
          <m:sub>
            <m:r>
              <m:rPr/>
              <w:rPr>
                <w:rFonts w:hint="default" w:ascii="Cambria Math" w:hAnsi="Cambria Math" w:eastAsiaTheme="minorEastAsia"/>
                <w:sz w:val="21"/>
              </w:rPr>
              <m:t>r</m:t>
            </m:r>
            <m:ctrlPr>
              <w:rPr>
                <w:rFonts w:ascii="Cambria Math" w:hAnsi="Cambria Math" w:eastAsiaTheme="minorEastAsia"/>
                <w:sz w:val="21"/>
              </w:rPr>
            </m:ctrlPr>
          </m:sub>
        </m:sSub>
        <m:r>
          <m:rPr/>
          <w:rPr>
            <w:rFonts w:hint="default" w:ascii="Cambria Math" w:hAnsi="Cambria Math" w:eastAsiaTheme="minorEastAsia"/>
            <w:sz w:val="21"/>
          </w:rPr>
          <m:t>=1/|</m:t>
        </m:r>
        <m:r>
          <m:rPr>
            <m:scr m:val="script"/>
          </m:rPr>
          <w:rPr>
            <w:rFonts w:hint="default" w:ascii="Cambria Math" w:hAnsi="Cambria Math" w:eastAsia="MS Mincho"/>
            <w:sz w:val="21"/>
          </w:rPr>
          <m:t>ℛ</m:t>
        </m:r>
        <m:r>
          <m:rPr/>
          <w:rPr>
            <w:rFonts w:hint="default" w:ascii="Cambria Math" w:hAnsi="Cambria Math" w:eastAsiaTheme="minorEastAsia"/>
            <w:sz w:val="21"/>
          </w:rPr>
          <m:t>|</m:t>
        </m:r>
        <m:r>
          <m:rPr/>
          <w:rPr>
            <w:rFonts w:hint="default" w:ascii="Cambria Math" w:hAnsi="Cambria Math"/>
            <w:sz w:val="21"/>
            <w:lang w:val="en-US" w:eastAsia="zh-CN"/>
          </w:rPr>
          <m:t xml:space="preserve"> </m:t>
        </m:r>
      </m:oMath>
      <w:r>
        <w:rPr>
          <w:rFonts w:hint="eastAsia"/>
          <w:lang w:val="en-US" w:eastAsia="zh-CN"/>
        </w:rPr>
        <w:t>)</w:t>
      </w:r>
      <w:r>
        <w:rPr>
          <w:rFonts w:hint="default"/>
          <w:lang w:val="en-US" w:eastAsia="zh-CN"/>
        </w:rPr>
        <w:t>进行聚合</w:t>
      </w:r>
      <w:r>
        <w:rPr>
          <w:rFonts w:hint="eastAsia"/>
          <w:lang w:val="en-US" w:eastAsia="zh-CN"/>
        </w:rPr>
        <w:t>Sissue分数</w:t>
      </w:r>
      <w:r>
        <w:rPr>
          <w:rFonts w:hint="default"/>
          <w:lang w:val="en-US" w:eastAsia="zh-CN"/>
        </w:rPr>
        <w:t>。用于评估“单纯增加模型数量”带来的基线提升</w:t>
      </w:r>
      <w:r>
        <w:rPr>
          <w:rFonts w:hint="eastAsia"/>
          <w:lang w:val="en-US" w:eastAsia="zh-CN"/>
        </w:rPr>
        <w:t>。</w:t>
      </w:r>
    </w:p>
    <w:p w14:paraId="04463D39">
      <w:pPr>
        <w:numPr>
          <w:ilvl w:val="0"/>
          <w:numId w:val="2"/>
        </w:numPr>
        <w:rPr>
          <w:rFonts w:hint="default"/>
          <w:lang w:val="en-US" w:eastAsia="zh-CN"/>
        </w:rPr>
      </w:pPr>
      <w:r>
        <w:rPr>
          <w:rFonts w:hint="default"/>
          <w:b/>
          <w:bCs/>
          <w:lang w:val="en-US" w:eastAsia="zh-CN"/>
        </w:rPr>
        <w:t>Roundtable</w:t>
      </w:r>
      <w:r>
        <w:rPr>
          <w:rFonts w:hint="eastAsia"/>
          <w:b/>
          <w:bCs/>
          <w:lang w:val="en-US" w:eastAsia="zh-CN"/>
        </w:rPr>
        <w:t xml:space="preserve"> N</w:t>
      </w:r>
      <w:r>
        <w:rPr>
          <w:rFonts w:hint="default"/>
          <w:b/>
          <w:bCs/>
          <w:lang w:val="en-US" w:eastAsia="zh-CN"/>
        </w:rPr>
        <w:t>o</w:t>
      </w:r>
      <w:r>
        <w:rPr>
          <w:rFonts w:hint="eastAsia"/>
          <w:b/>
          <w:bCs/>
          <w:lang w:val="en-US" w:eastAsia="zh-CN"/>
        </w:rPr>
        <w:t xml:space="preserve"> </w:t>
      </w:r>
      <w:r>
        <w:rPr>
          <w:rFonts w:hint="default"/>
          <w:b/>
          <w:bCs/>
          <w:lang w:val="en-US" w:eastAsia="zh-CN"/>
        </w:rPr>
        <w:t>Weighting</w:t>
      </w:r>
      <w:r>
        <w:rPr>
          <w:rFonts w:hint="default" w:asciiTheme="minorAscii" w:hAnsiTheme="minorAscii" w:eastAsiaTheme="minorEastAsia"/>
          <w:b/>
          <w:bCs/>
          <w:strike/>
          <w:dstrike w:val="0"/>
          <w:color w:val="000000" w:themeColor="text1"/>
          <w:sz w:val="21"/>
          <w:lang w:val="en-US" w:eastAsia="zh-CN"/>
          <w14:textFill>
            <w14:solidFill>
              <w14:schemeClr w14:val="tx1"/>
            </w14:solidFill>
          </w14:textFill>
        </w:rPr>
        <w:t>（无权重圆桌）</w:t>
      </w:r>
      <w:r>
        <w:rPr>
          <w:rFonts w:hint="default"/>
          <w:b/>
          <w:bCs/>
          <w:lang w:val="en-US" w:eastAsia="zh-CN"/>
        </w:rPr>
        <w:t>：</w:t>
      </w:r>
      <w:r>
        <w:rPr>
          <w:rFonts w:hint="default"/>
          <w:lang w:val="en-US" w:eastAsia="zh-CN"/>
        </w:rPr>
        <w:t>保留多轮</w:t>
      </w:r>
      <w:r>
        <w:rPr>
          <w:rFonts w:hint="eastAsia"/>
          <w:lang w:val="en-US" w:eastAsia="zh-CN"/>
        </w:rPr>
        <w:t>动态置信度与</w:t>
      </w:r>
      <w:r>
        <w:rPr>
          <w:rFonts w:hint="default"/>
          <w:lang w:val="en-US" w:eastAsia="zh-CN"/>
        </w:rPr>
        <w:t>圆桌讨论机制，但在</w:t>
      </w:r>
      <w:r>
        <w:rPr>
          <w:rFonts w:hint="eastAsia"/>
          <w:lang w:val="en-US" w:eastAsia="zh-CN"/>
        </w:rPr>
        <w:t>公式中剥离贝叶斯更新权重，使所有模型在讨论中保持等权参与。</w:t>
      </w:r>
    </w:p>
    <w:p w14:paraId="0F4BAD59">
      <w:pPr>
        <w:numPr>
          <w:ilvl w:val="0"/>
          <w:numId w:val="2"/>
        </w:numPr>
        <w:rPr>
          <w:rFonts w:hint="default"/>
          <w:lang w:val="en-US" w:eastAsia="zh-CN"/>
        </w:rPr>
      </w:pPr>
      <w:r>
        <w:rPr>
          <w:rFonts w:hint="default"/>
          <w:b/>
          <w:bCs/>
          <w:lang w:val="en-US" w:eastAsia="zh-CN"/>
        </w:rPr>
        <w:t>Full Method</w:t>
      </w:r>
      <w:r>
        <w:rPr>
          <w:rFonts w:hint="default" w:asciiTheme="minorAscii" w:hAnsiTheme="minorAscii" w:eastAsiaTheme="minorEastAsia"/>
          <w:b/>
          <w:bCs/>
          <w:strike/>
          <w:dstrike w:val="0"/>
          <w:color w:val="000000" w:themeColor="text1"/>
          <w:sz w:val="21"/>
          <w:lang w:val="en-US" w:eastAsia="zh-CN"/>
          <w14:textFill>
            <w14:solidFill>
              <w14:schemeClr w14:val="tx1"/>
            </w14:solidFill>
          </w14:textFill>
        </w:rPr>
        <w:t>（完整方法）</w:t>
      </w:r>
      <w:r>
        <w:rPr>
          <w:rFonts w:hint="default"/>
          <w:b/>
          <w:bCs/>
          <w:lang w:val="en-US" w:eastAsia="zh-CN"/>
        </w:rPr>
        <w:t>：</w:t>
      </w:r>
      <w:r>
        <w:rPr>
          <w:rFonts w:hint="default"/>
          <w:lang w:val="en-US" w:eastAsia="zh-CN"/>
        </w:rPr>
        <w:t>采用本文</w:t>
      </w:r>
      <w:r>
        <w:rPr>
          <w:rFonts w:hint="eastAsia"/>
          <w:lang w:val="en-US" w:eastAsia="zh-CN"/>
        </w:rPr>
        <w:t>构建</w:t>
      </w:r>
      <w:r>
        <w:rPr>
          <w:rFonts w:hint="default"/>
          <w:lang w:val="en-US" w:eastAsia="zh-CN"/>
        </w:rPr>
        <w:t>的</w:t>
      </w:r>
      <w:r>
        <w:rPr>
          <w:rFonts w:hint="eastAsia"/>
          <w:lang w:val="en-US" w:eastAsia="zh-CN"/>
        </w:rPr>
        <w:t>“结构化评分→离群质量判别→证据驱动型后验定权→动态置信度圆桌共识”的完整</w:t>
      </w:r>
      <w:r>
        <w:rPr>
          <w:rFonts w:hint="default"/>
          <w:lang w:val="en-US" w:eastAsia="zh-CN"/>
        </w:rPr>
        <w:t>决策链。</w:t>
      </w:r>
    </w:p>
    <w:p w14:paraId="37F198A8">
      <w:pPr>
        <w:widowControl w:val="0"/>
        <w:numPr>
          <w:ilvl w:val="0"/>
          <w:numId w:val="0"/>
        </w:numPr>
        <w:tabs>
          <w:tab w:val="left" w:pos="312"/>
        </w:tabs>
        <w:jc w:val="both"/>
        <w:rPr>
          <w:rFonts w:hint="default"/>
          <w:lang w:val="en-US" w:eastAsia="zh-CN"/>
        </w:rPr>
      </w:pPr>
      <w:r>
        <w:rPr>
          <w:rFonts w:hint="eastAsia"/>
          <w:lang w:val="en-US" w:eastAsia="zh-CN"/>
        </w:rPr>
        <w:t>特别地，实验设计了严密的消融对比逻辑：通过比较Full Method与Roundtable No Weighting，隔离“证据驱动型固定模型权重”的贡献；通过比较Roundtable No Weighting与Equal-Weight Aggregation，分析“多轮圆桌讨论机制”本身的贡献；通过比较Full Method与Single-LLM，评估完整框架相较单模型评审的总体增益。</w:t>
      </w:r>
    </w:p>
    <w:p w14:paraId="49579AF0">
      <w:pPr>
        <w:pStyle w:val="4"/>
        <w:bidi w:val="0"/>
        <w:rPr>
          <w:rFonts w:hint="eastAsia"/>
          <w:lang w:val="en-US" w:eastAsia="zh-CN"/>
        </w:rPr>
      </w:pPr>
      <w:r>
        <w:rPr>
          <w:rFonts w:hint="default"/>
          <w:lang w:val="en-US" w:eastAsia="zh-CN"/>
        </w:rPr>
        <w:t>5.</w:t>
      </w:r>
      <w:r>
        <w:rPr>
          <w:rFonts w:hint="eastAsia"/>
          <w:lang w:val="en-US" w:eastAsia="zh-CN"/>
        </w:rPr>
        <w:t>4</w:t>
      </w:r>
      <w:r>
        <w:rPr>
          <w:rFonts w:hint="default" w:asciiTheme="minorAscii" w:hAnsiTheme="minorAscii"/>
          <w:b/>
          <w:strike/>
          <w:dstrike w:val="0"/>
          <w:sz w:val="24"/>
          <w:lang w:val="en-US" w:eastAsia="zh-CN"/>
        </w:rPr>
        <w:t>度量指标与Ground Truth构建</w:t>
      </w:r>
      <w:r>
        <w:rPr>
          <w:rFonts w:hint="eastAsia"/>
          <w:lang w:val="en-US" w:eastAsia="zh-CN"/>
        </w:rPr>
        <w:t>(Metrics and Ground Truth)</w:t>
      </w:r>
    </w:p>
    <w:p w14:paraId="0A986A3A">
      <w:pPr>
        <w:rPr>
          <w:rFonts w:hint="default"/>
          <w:lang w:val="en-US" w:eastAsia="zh-CN"/>
        </w:rPr>
      </w:pPr>
      <w:r>
        <w:rPr>
          <w:rFonts w:hint="default"/>
          <w:lang w:val="en-US" w:eastAsia="zh-CN"/>
        </w:rPr>
        <w:t>为评估最终生成的缺陷清单质量，本研究采用专家交叉盲标的方式构建Ground Truth (GT)。邀请两名具备数年需求工程经验的专家，对所有(item, type)二元组独立标注是否存在对应缺陷；针对分歧项，由第三名资深专家引入讨论并仲裁。专家间的初始一致性通过</w:t>
      </w:r>
      <m:oMath>
        <m:r>
          <m:rPr/>
          <w:rPr>
            <w:rFonts w:hint="default" w:ascii="Cambria Math" w:hAnsi="Cambria Math" w:eastAsiaTheme="minorEastAsia"/>
            <w:sz w:val="21"/>
          </w:rPr>
          <m:t>Cohen's</m:t>
        </m:r>
        <m:r>
          <m:rPr/>
          <w:rPr>
            <w:rFonts w:hint="default" w:ascii="Cambria Math" w:hAnsi="Cambria Math"/>
            <w:sz w:val="21"/>
            <w:lang w:val="en-US" w:eastAsia="zh-CN"/>
          </w:rPr>
          <m:t xml:space="preserve"> </m:t>
        </m:r>
        <m:r>
          <m:rPr/>
          <w:rPr>
            <w:rFonts w:hint="default" w:ascii="Cambria Math" w:hAnsi="Cambria Math" w:eastAsiaTheme="minorEastAsia"/>
            <w:sz w:val="21"/>
          </w:rPr>
          <m:t>Kappa</m:t>
        </m:r>
      </m:oMath>
      <w:r>
        <w:rPr>
          <w:rFonts w:hint="eastAsia" w:hAnsi="Cambria Math"/>
          <w:i w:val="0"/>
          <w:sz w:val="21"/>
          <w:lang w:val="en-US" w:eastAsia="zh-CN"/>
        </w:rPr>
        <w:t xml:space="preserve"> </w:t>
      </w:r>
      <w:r>
        <w:rPr>
          <w:rFonts w:hint="eastAsia" w:hAnsi="Cambria Math"/>
          <w:i w:val="0"/>
          <w:sz w:val="21"/>
          <w:lang w:eastAsia="zh-CN"/>
        </w:rPr>
        <w:t xml:space="preserve">或 </w:t>
      </w:r>
      <m:oMath>
        <m:r>
          <m:rPr/>
          <w:rPr>
            <w:rFonts w:hint="default" w:ascii="Cambria Math" w:hAnsi="Cambria Math" w:eastAsiaTheme="minorEastAsia"/>
            <w:sz w:val="21"/>
          </w:rPr>
          <m:t>Krippendorff's</m:t>
        </m:r>
        <m:r>
          <m:rPr/>
          <w:rPr>
            <w:rFonts w:hint="default" w:ascii="Cambria Math" w:hAnsi="Cambria Math"/>
            <w:sz w:val="21"/>
            <w:lang w:val="en-US" w:eastAsia="zh-CN"/>
          </w:rPr>
          <m:t xml:space="preserve"> </m:t>
        </m:r>
        <m:r>
          <m:rPr/>
          <w:rPr>
            <w:rFonts w:hint="default" w:ascii="Cambria Math" w:hAnsi="Cambria Math" w:eastAsiaTheme="minorEastAsia"/>
            <w:sz w:val="21"/>
          </w:rPr>
          <m:t>α</m:t>
        </m:r>
        <m:r>
          <m:rPr/>
          <w:rPr>
            <w:rFonts w:hint="default" w:ascii="Cambria Math" w:hAnsi="Cambria Math"/>
            <w:sz w:val="21"/>
            <w:lang w:val="en-US" w:eastAsia="zh-CN"/>
          </w:rPr>
          <m:t xml:space="preserve"> </m:t>
        </m:r>
      </m:oMath>
      <w:r>
        <w:rPr>
          <w:rFonts w:hint="default"/>
          <w:lang w:val="en-US" w:eastAsia="zh-CN"/>
        </w:rPr>
        <w:t>予以严谨报告。</w:t>
      </w:r>
    </w:p>
    <w:p w14:paraId="4ABAA3C7">
      <w:pPr>
        <w:rPr>
          <w:rFonts w:hint="eastAsia"/>
          <w:lang w:val="en-US" w:eastAsia="zh-CN"/>
        </w:rPr>
      </w:pPr>
      <w:r>
        <w:rPr>
          <w:rFonts w:hint="eastAsia"/>
          <w:lang w:val="en-US" w:eastAsia="zh-CN"/>
        </w:rPr>
        <w:t>针对三个RQ，定义以下量化指标：</w:t>
      </w:r>
    </w:p>
    <w:p w14:paraId="10C29680">
      <w:pPr>
        <w:numPr>
          <w:ilvl w:val="0"/>
          <w:numId w:val="3"/>
        </w:numPr>
        <w:rPr>
          <w:rFonts w:hint="eastAsia" w:hAnsi="Cambria Math"/>
          <w:i w:val="0"/>
          <w:sz w:val="21"/>
          <w:lang w:val="en-US" w:eastAsia="zh-CN"/>
        </w:rPr>
      </w:pPr>
      <w:r>
        <w:rPr>
          <w:rFonts w:hint="eastAsia"/>
          <w:b/>
          <w:bCs/>
          <w:lang w:val="en-US" w:eastAsia="zh-CN"/>
        </w:rPr>
        <w:t>RQ1(初始评分分歧)：</w:t>
      </w:r>
      <w:r>
        <w:rPr>
          <w:rFonts w:hint="eastAsia"/>
          <w:lang w:val="en-US" w:eastAsia="zh-CN"/>
        </w:rPr>
        <w:t>使用序数型</w:t>
      </w:r>
      <m:oMath>
        <m:r>
          <m:rPr>
            <m:sty m:val="bi"/>
          </m:rPr>
          <w:rPr>
            <w:rFonts w:hint="default" w:ascii="Cambria Math" w:hAnsi="Cambria Math" w:eastAsiaTheme="minorEastAsia"/>
            <w:sz w:val="21"/>
          </w:rPr>
          <m:t>Krippendorff's</m:t>
        </m:r>
        <m:r>
          <m:rPr>
            <m:sty m:val="bi"/>
          </m:rPr>
          <w:rPr>
            <w:rFonts w:hint="default" w:ascii="Cambria Math" w:hAnsi="Cambria Math"/>
            <w:sz w:val="21"/>
            <w:lang w:val="en-US" w:eastAsia="zh-CN"/>
          </w:rPr>
          <m:t xml:space="preserve"> </m:t>
        </m:r>
        <m:r>
          <m:rPr>
            <m:sty m:val="bi"/>
          </m:rPr>
          <w:rPr>
            <w:rFonts w:hint="default" w:ascii="Cambria Math" w:hAnsi="Cambria Math" w:eastAsiaTheme="minorEastAsia"/>
            <w:sz w:val="21"/>
          </w:rPr>
          <m:t>α</m:t>
        </m:r>
        <m:r>
          <m:rPr>
            <m:sty m:val="bi"/>
          </m:rPr>
          <w:rPr>
            <w:rFonts w:hint="default" w:ascii="Cambria Math" w:hAnsi="Cambria Math"/>
            <w:sz w:val="21"/>
            <w:lang w:val="en-US" w:eastAsia="zh-CN"/>
          </w:rPr>
          <m:t xml:space="preserve"> </m:t>
        </m:r>
      </m:oMath>
      <w:r>
        <w:rPr>
          <w:rFonts w:hint="eastAsia" w:hAnsi="Cambria Math"/>
          <w:i w:val="0"/>
          <w:sz w:val="21"/>
          <w:lang w:val="en-US" w:eastAsia="zh-CN"/>
        </w:rPr>
        <w:t>度量模型初始评分的一致性；统计判定为离群(</w:t>
      </w:r>
      <m:oMath>
        <m:r>
          <m:rPr/>
          <w:rPr>
            <w:rFonts w:hint="default" w:ascii="Cambria Math" w:hAnsi="Cambria Math" w:eastAsiaTheme="minorEastAsia"/>
            <w:sz w:val="21"/>
          </w:rPr>
          <m:t>abs_deviation≥δ</m:t>
        </m:r>
      </m:oMath>
      <w:r>
        <w:rPr>
          <w:rFonts w:hint="eastAsia" w:hAnsi="Cambria Math"/>
          <w:i w:val="0"/>
          <w:sz w:val="21"/>
          <w:lang w:val="en-US" w:eastAsia="zh-CN"/>
        </w:rPr>
        <w:t>)的事件频率及其在各维度的分布。</w:t>
      </w:r>
    </w:p>
    <w:p w14:paraId="267733CE">
      <w:pPr>
        <w:numPr>
          <w:ilvl w:val="0"/>
          <w:numId w:val="3"/>
        </w:numPr>
        <w:rPr>
          <w:rFonts w:hint="default" w:hAnsi="Cambria Math"/>
          <w:i w:val="0"/>
          <w:sz w:val="21"/>
          <w:lang w:val="en-US" w:eastAsia="zh-CN"/>
        </w:rPr>
      </w:pPr>
      <w:r>
        <w:rPr>
          <w:rFonts w:hint="default" w:hAnsi="Cambria Math"/>
          <w:b/>
          <w:bCs/>
          <w:i w:val="0"/>
          <w:sz w:val="21"/>
          <w:lang w:val="en-US" w:eastAsia="zh-CN"/>
        </w:rPr>
        <w:t>RQ2 (论证质量判别)</w:t>
      </w:r>
      <w:r>
        <w:rPr>
          <w:rFonts w:hint="eastAsia" w:hAnsi="Cambria Math"/>
          <w:b/>
          <w:bCs/>
          <w:i w:val="0"/>
          <w:sz w:val="21"/>
          <w:lang w:val="en-US" w:eastAsia="zh-CN"/>
        </w:rPr>
        <w:t>：</w:t>
      </w:r>
      <w:r>
        <w:rPr>
          <w:rFonts w:hint="default" w:hAnsi="Cambria Math"/>
          <w:i w:val="0"/>
          <w:sz w:val="21"/>
          <w:lang w:val="en-US" w:eastAsia="zh-CN"/>
        </w:rPr>
        <w:t>计算论证质量归一化分</w:t>
      </w:r>
      <m:oMath>
        <m:r>
          <m:rPr/>
          <w:rPr>
            <w:rFonts w:hint="default" w:ascii="Cambria Math" w:hAnsi="Cambria Math" w:eastAsiaTheme="minorEastAsia"/>
            <w:sz w:val="21"/>
          </w:rPr>
          <m:t>Q∈[0,1]</m:t>
        </m:r>
      </m:oMath>
      <w:r>
        <w:rPr>
          <w:rFonts w:hint="eastAsia" w:hAnsi="Cambria Math"/>
          <w:i w:val="0"/>
          <w:sz w:val="21"/>
          <w:lang w:val="en-US" w:eastAsia="zh-CN"/>
        </w:rPr>
        <w:t>;统计因证据缺失、维度错配或改写不可执行而触发“硬性否决（Hard Fail Rate）”的离群事件占比。</w:t>
      </w:r>
    </w:p>
    <w:p w14:paraId="1F665AC7">
      <w:pPr>
        <w:numPr>
          <w:ilvl w:val="0"/>
          <w:numId w:val="3"/>
        </w:numPr>
        <w:rPr>
          <w:rFonts w:hint="default"/>
          <w:lang w:val="en-US" w:eastAsia="zh-CN"/>
        </w:rPr>
      </w:pPr>
      <w:r>
        <w:rPr>
          <w:rFonts w:hint="eastAsia" w:hAnsi="Cambria Math"/>
          <w:b/>
          <w:bCs/>
          <w:i w:val="0"/>
          <w:sz w:val="21"/>
          <w:lang w:val="en-US" w:eastAsia="zh-CN"/>
        </w:rPr>
        <w:t>RQ3(团队清单质量与收敛性)：</w:t>
      </w:r>
      <w:r>
        <w:rPr>
          <w:rFonts w:hint="eastAsia" w:hAnsi="Cambria Math"/>
          <w:i w:val="0"/>
          <w:sz w:val="21"/>
          <w:lang w:val="en-US" w:eastAsia="zh-CN"/>
        </w:rPr>
        <w:t>鉴于四类缺陷在真实文档中分布极度不均衡，选用</w:t>
      </w:r>
      <m:oMath>
        <m:r>
          <m:rPr>
            <m:sty m:val="bi"/>
          </m:rPr>
          <w:rPr>
            <w:rFonts w:hint="default" w:ascii="Cambria Math" w:hAnsi="Cambria Math" w:eastAsiaTheme="minorEastAsia"/>
            <w:sz w:val="21"/>
          </w:rPr>
          <m:t>Macro−F1</m:t>
        </m:r>
      </m:oMath>
      <w:r>
        <w:rPr>
          <w:rFonts w:hint="eastAsia" w:hAnsi="Cambria Math"/>
          <w:i w:val="0"/>
          <w:sz w:val="21"/>
          <w:lang w:val="en-US" w:eastAsia="zh-CN"/>
        </w:rPr>
        <w:t>作为核心性能主指标（计算各类别F1后取无权平均），乙方少数类缺陷表现被掩盖。同时报告</w:t>
      </w:r>
      <m:oMath>
        <m:r>
          <m:rPr>
            <m:sty m:val="bi"/>
          </m:rPr>
          <w:rPr>
            <w:rFonts w:hint="default" w:ascii="Cambria Math" w:hAnsi="Cambria Math" w:eastAsiaTheme="minorEastAsia"/>
            <w:sz w:val="21"/>
          </w:rPr>
          <m:t>Precision</m:t>
        </m:r>
        <m:r>
          <m:rPr/>
          <w:rPr>
            <w:rFonts w:hint="eastAsia" w:ascii="Cambria Math" w:hAnsi="Cambria Math"/>
            <w:sz w:val="21"/>
            <w:lang w:eastAsia="zh-CN"/>
          </w:rPr>
          <m:t>、</m:t>
        </m:r>
        <m:r>
          <m:rPr>
            <m:sty m:val="bi"/>
          </m:rPr>
          <w:rPr>
            <w:rFonts w:hint="default" w:ascii="Cambria Math" w:hAnsi="Cambria Math" w:eastAsiaTheme="minorEastAsia"/>
            <w:sz w:val="21"/>
          </w:rPr>
          <m:t>Recall</m:t>
        </m:r>
      </m:oMath>
      <w:r>
        <w:rPr>
          <w:rFonts w:hint="eastAsia" w:hAnsi="Cambria Math"/>
          <w:i w:val="0"/>
          <w:sz w:val="21"/>
          <w:lang w:eastAsia="zh-CN"/>
        </w:rPr>
        <w:t>，</w:t>
      </w:r>
      <w:r>
        <w:rPr>
          <w:rFonts w:hint="eastAsia" w:hAnsi="Cambria Math"/>
          <w:i w:val="0"/>
          <w:sz w:val="21"/>
          <w:lang w:val="en-US" w:eastAsia="zh-CN"/>
        </w:rPr>
        <w:t>以及相邻圆桌轮次间候选缺陷集合的</w:t>
      </w:r>
      <m:oMath>
        <m:r>
          <m:rPr>
            <m:sty m:val="bi"/>
          </m:rPr>
          <w:rPr>
            <w:rFonts w:hint="default" w:ascii="Cambria Math" w:hAnsi="Cambria Math" w:eastAsiaTheme="minorEastAsia"/>
            <w:sz w:val="21"/>
          </w:rPr>
          <m:t>Jaccard</m:t>
        </m:r>
      </m:oMath>
      <w:r>
        <w:rPr>
          <w:rFonts w:hint="eastAsia" w:hAnsi="Cambria Math"/>
          <w:b/>
          <w:bCs/>
          <w:i w:val="0"/>
          <w:sz w:val="21"/>
          <w:lang w:val="en-US" w:eastAsia="zh-CN"/>
        </w:rPr>
        <w:t>相似度</w:t>
      </w:r>
      <w:r>
        <w:rPr>
          <w:rFonts w:hint="eastAsia" w:hAnsi="Cambria Math"/>
          <w:i w:val="0"/>
          <w:sz w:val="21"/>
          <w:lang w:val="en-US" w:eastAsia="zh-CN"/>
        </w:rPr>
        <w:t>（量化集合收敛行为）。</w:t>
      </w:r>
    </w:p>
    <w:p w14:paraId="5CA33580">
      <w:pPr>
        <w:pStyle w:val="4"/>
        <w:bidi w:val="0"/>
        <w:rPr>
          <w:rFonts w:hint="eastAsia"/>
          <w:lang w:val="en-US" w:eastAsia="zh-CN"/>
        </w:rPr>
      </w:pPr>
      <w:r>
        <w:rPr>
          <w:rFonts w:hint="eastAsia"/>
          <w:lang w:val="en-US" w:eastAsia="zh-CN"/>
        </w:rPr>
        <w:t>5.5</w:t>
      </w:r>
      <w:r>
        <w:rPr>
          <w:rFonts w:hint="default" w:asciiTheme="minorAscii" w:hAnsiTheme="minorAscii"/>
          <w:b/>
          <w:strike/>
          <w:dstrike w:val="0"/>
          <w:sz w:val="24"/>
          <w:lang w:val="en-US" w:eastAsia="zh-CN"/>
        </w:rPr>
        <w:t>控制变量与复现控制</w:t>
      </w:r>
      <w:r>
        <w:rPr>
          <w:rFonts w:hint="eastAsia"/>
          <w:lang w:val="en-US" w:eastAsia="zh-CN"/>
        </w:rPr>
        <w:t>(Control Variables and Reproducibility)</w:t>
      </w:r>
    </w:p>
    <w:p w14:paraId="43762266">
      <w:pPr>
        <w:rPr>
          <w:rFonts w:hint="eastAsia"/>
          <w:lang w:val="en-US" w:eastAsia="zh-CN"/>
        </w:rPr>
      </w:pPr>
      <w:r>
        <w:rPr>
          <w:rFonts w:hint="eastAsia"/>
          <w:lang w:val="en-US" w:eastAsia="zh-CN"/>
        </w:rPr>
        <w:t>为最大限度降低内部效度威胁，本实验实施了极其严格的复现控制：</w:t>
      </w:r>
    </w:p>
    <w:p w14:paraId="437009D0">
      <w:pPr>
        <w:numPr>
          <w:ilvl w:val="0"/>
          <w:numId w:val="4"/>
        </w:numPr>
        <w:rPr>
          <w:rFonts w:hint="eastAsia"/>
          <w:lang w:val="en-US" w:eastAsia="zh-CN"/>
        </w:rPr>
      </w:pPr>
      <w:r>
        <w:rPr>
          <w:rFonts w:hint="eastAsia"/>
          <w:b/>
          <w:bCs/>
          <w:lang w:val="en-US" w:eastAsia="zh-CN"/>
        </w:rPr>
        <w:t>共享初始状态：</w:t>
      </w:r>
      <w:r>
        <w:rPr>
          <w:rFonts w:hint="eastAsia"/>
          <w:lang w:val="en-US" w:eastAsia="zh-CN"/>
        </w:rPr>
        <w:t>所有聚合方法与圆桌基线共享同一批 round-0 模型输出（初始评分、置信度、证据片段）。此举彻底排除了 LLM API 采样随机性导致的不同方法间输入不一致问题。</w:t>
      </w:r>
    </w:p>
    <w:p w14:paraId="023AF637">
      <w:pPr>
        <w:numPr>
          <w:ilvl w:val="0"/>
          <w:numId w:val="4"/>
        </w:numPr>
        <w:rPr>
          <w:rFonts w:hint="default"/>
          <w:lang w:val="en-US" w:eastAsia="zh-CN"/>
        </w:rPr>
      </w:pPr>
      <w:r>
        <w:rPr>
          <w:rFonts w:hint="eastAsia"/>
          <w:b/>
          <w:bCs/>
          <w:lang w:val="en-US" w:eastAsia="zh-CN"/>
        </w:rPr>
        <w:t>统一参数配置：</w:t>
      </w:r>
      <w:r>
        <w:rPr>
          <w:rFonts w:hint="eastAsia"/>
          <w:lang w:val="en-US" w:eastAsia="zh-CN"/>
        </w:rPr>
        <w:t>所有文档共享固定的超参数：离群阈值</w:t>
      </w:r>
      <m:oMath>
        <m:r>
          <m:rPr/>
          <w:rPr>
            <w:rFonts w:hint="default" w:ascii="Cambria Math" w:hAnsi="Cambria Math" w:eastAsiaTheme="minorEastAsia"/>
            <w:sz w:val="21"/>
          </w:rPr>
          <m:t>δ=2</m:t>
        </m:r>
      </m:oMath>
      <w:r>
        <w:rPr>
          <w:rFonts w:hint="eastAsia" w:hAnsi="Cambria Math"/>
          <w:i w:val="0"/>
          <w:sz w:val="21"/>
          <w:lang w:val="en-US" w:eastAsia="zh-CN"/>
        </w:rPr>
        <w:t>;好/坏离群阈值</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m:t>
        </m:r>
      </m:oMath>
      <w:r>
        <w:rPr>
          <w:rFonts w:hint="eastAsia" w:hAnsi="Cambria Math"/>
          <w:i w:val="0"/>
          <w:sz w:val="21"/>
          <w:lang w:val="en-US" w:eastAsia="zh-CN"/>
        </w:rPr>
        <w:t>,</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bad</m:t>
            </m:r>
            <m:ctrlPr>
              <w:rPr>
                <w:rFonts w:ascii="Cambria Math" w:hAnsi="Cambria Math" w:eastAsiaTheme="minorEastAsia"/>
                <w:sz w:val="21"/>
              </w:rPr>
            </m:ctrlPr>
          </m:sub>
        </m:sSub>
        <m:r>
          <m:rPr/>
          <w:rPr>
            <w:rFonts w:hint="default" w:ascii="Cambria Math" w:hAnsi="Cambria Math" w:eastAsiaTheme="minorEastAsia"/>
            <w:sz w:val="21"/>
          </w:rPr>
          <m:t>=0.30</m:t>
        </m:r>
      </m:oMath>
      <w:r>
        <w:rPr>
          <w:rFonts w:hint="eastAsia" w:hAnsi="Cambria Math"/>
          <w:i w:val="0"/>
          <w:sz w:val="21"/>
          <w:lang w:val="en-US" w:eastAsia="zh-CN"/>
        </w:rPr>
        <w:t>;贝叶斯平滑项</w:t>
      </w:r>
      <m:oMath>
        <m:r>
          <m:rPr/>
          <w:rPr>
            <w:rFonts w:hint="default" w:ascii="Cambria Math" w:hAnsi="Cambria Math" w:eastAsiaTheme="minorEastAsia"/>
            <w:sz w:val="21"/>
          </w:rPr>
          <m:t>κ=3.0</m:t>
        </m:r>
      </m:oMath>
      <w:r>
        <w:rPr>
          <w:rFonts w:hint="eastAsia" w:hAnsi="Cambria Math"/>
          <w:i w:val="0"/>
          <w:sz w:val="21"/>
          <w:lang w:val="en-US" w:eastAsia="zh-CN"/>
        </w:rPr>
        <w:t>,</w:t>
      </w:r>
      <m:oMath>
        <m:r>
          <m:rPr/>
          <w:rPr>
            <w:rFonts w:hint="default" w:ascii="Cambria Math" w:hAnsi="Cambria Math" w:eastAsiaTheme="minorEastAsia"/>
            <w:sz w:val="21"/>
          </w:rPr>
          <m:t>η</m:t>
        </m:r>
        <m:r>
          <m:rPr/>
          <w:rPr>
            <w:rFonts w:hint="default" w:ascii="Cambria Math" w:hAnsi="Cambria Math"/>
            <w:sz w:val="21"/>
            <w:lang w:val="en-US" w:eastAsia="zh-CN"/>
          </w:rPr>
          <m:t>=4.0</m:t>
        </m:r>
      </m:oMath>
      <w:r>
        <w:rPr>
          <w:rFonts w:hint="eastAsia" w:hAnsi="Cambria Math"/>
          <w:i w:val="0"/>
          <w:sz w:val="21"/>
          <w:lang w:val="en-US" w:eastAsia="zh-CN"/>
        </w:rPr>
        <w:t>;Softmax惩罚系数</w:t>
      </w:r>
      <m:oMath>
        <m:r>
          <m:rPr/>
          <w:rPr>
            <w:rFonts w:hint="default" w:ascii="Cambria Math" w:hAnsi="Cambria Math" w:eastAsiaTheme="minorEastAsia"/>
            <w:sz w:val="21"/>
          </w:rPr>
          <m:t>λ=1.5</m:t>
        </m:r>
      </m:oMath>
      <w:r>
        <w:rPr>
          <w:rFonts w:hint="eastAsia" w:hAnsi="Cambria Math"/>
          <w:i w:val="0"/>
          <w:sz w:val="21"/>
          <w:lang w:val="en-US" w:eastAsia="zh-CN"/>
        </w:rPr>
        <w:t>;圆桌讨论最大轮次</w:t>
      </w:r>
      <m:oMath>
        <m:r>
          <m:rPr/>
          <w:rPr>
            <w:rFonts w:hint="default" w:ascii="Cambria Math" w:hAnsi="Cambria Math" w:eastAsiaTheme="minorEastAsia"/>
            <w:sz w:val="21"/>
          </w:rPr>
          <m:t>rounds=2</m:t>
        </m:r>
      </m:oMath>
      <w:r>
        <w:rPr>
          <w:rFonts w:hint="eastAsia" w:hAnsi="Cambria Math"/>
          <w:i w:val="0"/>
          <w:sz w:val="21"/>
          <w:lang w:eastAsia="zh-CN"/>
        </w:rPr>
        <w:t>。</w:t>
      </w:r>
    </w:p>
    <w:p w14:paraId="11F7E578">
      <w:pPr>
        <w:numPr>
          <w:ilvl w:val="0"/>
          <w:numId w:val="4"/>
        </w:numPr>
        <w:rPr>
          <w:rFonts w:hint="default"/>
          <w:lang w:val="en-US" w:eastAsia="zh-CN"/>
        </w:rPr>
      </w:pPr>
      <w:r>
        <w:rPr>
          <w:rFonts w:hint="eastAsia" w:hAnsi="Cambria Math"/>
          <w:b/>
          <w:bCs/>
          <w:i w:val="0"/>
          <w:sz w:val="21"/>
          <w:lang w:val="en-US" w:eastAsia="zh-CN"/>
        </w:rPr>
        <w:t>系统稳健性控制：</w:t>
      </w:r>
      <w:r>
        <w:rPr>
          <w:rFonts w:hint="eastAsia" w:hAnsi="Cambria Math"/>
          <w:i w:val="0"/>
          <w:sz w:val="21"/>
          <w:lang w:val="en-US" w:eastAsia="zh-CN"/>
        </w:rPr>
        <w:t>考虑到真实 API 的不可控性，系统部署了指数退避重试机制。若某模型在特定需求条目上历经最大重试依然失败，系统将在当前case中执行单模型隔离（跳过该模型），其余模型继续执行共识机制，从而真实验证本框架在“评审成员缺席”环境下的鲁棒性。</w:t>
      </w:r>
    </w:p>
    <w:p w14:paraId="02EAAE69">
      <w:pPr>
        <w:pStyle w:val="4"/>
        <w:bidi w:val="0"/>
        <w:rPr>
          <w:rFonts w:hint="eastAsia"/>
          <w:lang w:val="en-US" w:eastAsia="zh-CN"/>
        </w:rPr>
      </w:pPr>
      <w:r>
        <w:rPr>
          <w:rFonts w:hint="eastAsia"/>
          <w:lang w:val="en-US" w:eastAsia="zh-CN"/>
        </w:rPr>
        <w:t>5.6</w:t>
      </w:r>
      <w:r>
        <w:rPr>
          <w:rFonts w:hint="default" w:asciiTheme="minorAscii" w:hAnsiTheme="minorAscii"/>
          <w:b/>
          <w:strike/>
          <w:dstrike w:val="0"/>
          <w:sz w:val="24"/>
          <w:lang w:val="en-US" w:eastAsia="zh-CN"/>
        </w:rPr>
        <w:t>数据分析与统计方法</w:t>
      </w:r>
      <w:r>
        <w:rPr>
          <w:rFonts w:hint="eastAsia"/>
          <w:lang w:val="en-US" w:eastAsia="zh-CN"/>
        </w:rPr>
        <w:t>(Data Analysis Methods)</w:t>
      </w:r>
    </w:p>
    <w:p w14:paraId="3A55827E">
      <w:pPr>
        <w:rPr>
          <w:rFonts w:hint="eastAsia" w:hAnsi="Cambria Math"/>
          <w:i w:val="0"/>
          <w:sz w:val="21"/>
          <w:lang w:val="en-US" w:eastAsia="zh-CN"/>
        </w:rPr>
      </w:pPr>
      <w:r>
        <w:rPr>
          <w:rFonts w:hint="default"/>
          <w:lang w:val="en-US" w:eastAsia="zh-CN"/>
        </w:rPr>
        <w:t>统计分析严格以“</w:t>
      </w:r>
      <w:r>
        <w:rPr>
          <w:rFonts w:hint="eastAsia"/>
          <w:lang w:val="en-US" w:eastAsia="zh-CN"/>
        </w:rPr>
        <w:t>Document</w:t>
      </w:r>
      <w:r>
        <w:rPr>
          <w:rFonts w:hint="default"/>
          <w:lang w:val="en-US" w:eastAsia="zh-CN"/>
        </w:rPr>
        <w:t>”为</w:t>
      </w:r>
      <w:r>
        <w:rPr>
          <w:rFonts w:hint="eastAsia"/>
          <w:lang w:val="en-US" w:eastAsia="zh-CN"/>
        </w:rPr>
        <w:t>单位进行Block处理</w:t>
      </w:r>
      <w:r>
        <w:rPr>
          <w:rFonts w:hint="default"/>
          <w:lang w:val="en-US" w:eastAsia="zh-CN"/>
        </w:rPr>
        <w:t>，</w:t>
      </w:r>
      <w:r>
        <w:rPr>
          <w:rFonts w:hint="eastAsia"/>
          <w:lang w:val="en-US" w:eastAsia="zh-CN"/>
        </w:rPr>
        <w:t>以防止直接混合异质需求条目引发</w:t>
      </w:r>
      <w:r>
        <w:rPr>
          <w:rFonts w:hint="default"/>
          <w:lang w:val="en-US" w:eastAsia="zh-CN"/>
        </w:rPr>
        <w:t>辛普森悖论</w:t>
      </w:r>
      <m:oMath>
        <m:r>
          <m:rPr>
            <m:sty m:val="p"/>
          </m:rPr>
          <w:rPr>
            <w:rFonts w:hint="default" w:ascii="Cambria Math" w:hAnsi="Cambria Math" w:eastAsiaTheme="minorEastAsia"/>
            <w:sz w:val="21"/>
          </w:rPr>
          <m:t>（</m:t>
        </m:r>
        <m:r>
          <m:rPr/>
          <w:rPr>
            <w:rFonts w:hint="default" w:ascii="Cambria Math" w:hAnsi="Cambria Math" w:eastAsiaTheme="minorEastAsia"/>
            <w:sz w:val="21"/>
          </w:rPr>
          <m:t>Simpson's</m:t>
        </m:r>
        <m:r>
          <m:rPr/>
          <w:rPr>
            <w:rFonts w:hint="default" w:ascii="Cambria Math" w:hAnsi="Cambria Math"/>
            <w:sz w:val="21"/>
            <w:lang w:val="en-US" w:eastAsia="zh-CN"/>
          </w:rPr>
          <m:t xml:space="preserve"> </m:t>
        </m:r>
        <m:r>
          <m:rPr/>
          <w:rPr>
            <w:rFonts w:hint="default" w:ascii="Cambria Math" w:hAnsi="Cambria Math" w:eastAsiaTheme="minorEastAsia"/>
            <w:sz w:val="21"/>
          </w:rPr>
          <m:t>Paradox</m:t>
        </m:r>
        <m:r>
          <m:rPr>
            <m:sty m:val="p"/>
          </m:rPr>
          <w:rPr>
            <w:rFonts w:hint="default" w:ascii="Cambria Math" w:hAnsi="Cambria Math" w:eastAsiaTheme="minorEastAsia"/>
            <w:sz w:val="21"/>
          </w:rPr>
          <m:t>）</m:t>
        </m:r>
      </m:oMath>
      <w:r>
        <w:rPr>
          <w:rFonts w:hint="default"/>
          <w:lang w:val="en-US" w:eastAsia="zh-CN"/>
        </w:rPr>
        <w:t>。</w:t>
      </w:r>
      <w:r>
        <w:rPr>
          <w:rFonts w:hint="eastAsia"/>
          <w:lang w:val="en-US" w:eastAsia="zh-CN"/>
        </w:rPr>
        <w:t>本文统一采用</w:t>
      </w:r>
      <m:oMath>
        <m:r>
          <m:rPr/>
          <w:rPr>
            <w:rFonts w:hint="default" w:ascii="Cambria Math" w:hAnsi="Cambria Math" w:eastAsiaTheme="minorEastAsia"/>
            <w:sz w:val="21"/>
          </w:rPr>
          <m:t>α=0.05</m:t>
        </m:r>
      </m:oMath>
      <w:r>
        <w:rPr>
          <w:rFonts w:hint="eastAsia" w:hAnsi="Cambria Math"/>
          <w:i w:val="0"/>
          <w:sz w:val="21"/>
          <w:lang w:val="en-US" w:eastAsia="zh-CN"/>
        </w:rPr>
        <w:t>作为显著性水平，并同时报告非参数效应量，结合显著性与实际指标提升幅度共同解释实验结果。</w:t>
      </w:r>
    </w:p>
    <w:p w14:paraId="0C3719D7">
      <w:pPr>
        <w:numPr>
          <w:ilvl w:val="0"/>
          <w:numId w:val="5"/>
        </w:numPr>
        <w:rPr>
          <w:rFonts w:hint="eastAsia" w:hAnsi="Cambria Math"/>
          <w:i w:val="0"/>
          <w:sz w:val="21"/>
          <w:lang w:val="en-US" w:eastAsia="zh-CN"/>
        </w:rPr>
      </w:pPr>
      <w:r>
        <w:rPr>
          <w:rFonts w:hint="eastAsia" w:hAnsi="Cambria Math"/>
          <w:b/>
          <w:bCs/>
          <w:i w:val="0"/>
          <w:sz w:val="21"/>
          <w:lang w:val="en-US" w:eastAsia="zh-CN"/>
        </w:rPr>
        <w:t>解答RQ1（分歧结构）：</w:t>
      </w:r>
      <w:r>
        <w:rPr>
          <w:rFonts w:hint="eastAsia" w:hAnsi="Cambria Math"/>
          <w:i w:val="0"/>
          <w:sz w:val="21"/>
          <w:lang w:val="en-US" w:eastAsia="zh-CN"/>
        </w:rPr>
        <w:t>采用</w:t>
      </w:r>
      <m:oMath>
        <m:r>
          <m:rPr>
            <m:sty m:val="bi"/>
          </m:rPr>
          <w:rPr>
            <w:rFonts w:hint="default" w:ascii="Cambria Math" w:hAnsi="Cambria Math" w:eastAsiaTheme="minorEastAsia"/>
            <w:sz w:val="21"/>
          </w:rPr>
          <m:t>Kruskal−Wallis</m:t>
        </m:r>
        <m:r>
          <m:rPr>
            <m:sty m:val="bi"/>
          </m:rPr>
          <w:rPr>
            <w:rFonts w:hint="default" w:ascii="Cambria Math" w:hAnsi="Cambria Math"/>
            <w:sz w:val="21"/>
            <w:lang w:val="en-US" w:eastAsia="zh-CN"/>
          </w:rPr>
          <m:t xml:space="preserve"> </m:t>
        </m:r>
        <m:r>
          <m:rPr>
            <m:sty m:val="bi"/>
          </m:rPr>
          <w:rPr>
            <w:rFonts w:hint="default" w:ascii="Cambria Math" w:hAnsi="Cambria Math" w:eastAsiaTheme="minorEastAsia"/>
            <w:sz w:val="21"/>
          </w:rPr>
          <m:t>H</m:t>
        </m:r>
      </m:oMath>
      <w:r>
        <w:rPr>
          <w:rFonts w:hint="eastAsia" w:hAnsi="Cambria Math"/>
          <w:b/>
          <w:bCs/>
          <w:i w:val="0"/>
          <w:sz w:val="21"/>
          <w:lang w:val="en-US" w:eastAsia="zh-CN"/>
        </w:rPr>
        <w:t>检验</w:t>
      </w:r>
      <w:r>
        <w:rPr>
          <w:rFonts w:hint="eastAsia" w:hAnsi="Cambria Math"/>
          <w:i w:val="0"/>
          <w:sz w:val="21"/>
          <w:lang w:val="en-US" w:eastAsia="zh-CN"/>
        </w:rPr>
        <w:t>分析不同质量维度（U/A/C/V）触发强离群事件的频率是否存在显著的统计学差异。</w:t>
      </w:r>
    </w:p>
    <w:p w14:paraId="00A9974F">
      <w:pPr>
        <w:numPr>
          <w:ilvl w:val="0"/>
          <w:numId w:val="5"/>
        </w:numPr>
        <w:rPr>
          <w:rFonts w:hint="default" w:hAnsi="Cambria Math"/>
          <w:i w:val="0"/>
          <w:sz w:val="21"/>
          <w:lang w:val="en-US" w:eastAsia="zh-CN"/>
        </w:rPr>
      </w:pPr>
      <w:r>
        <w:rPr>
          <w:rFonts w:hint="eastAsia" w:hAnsi="Cambria Math"/>
          <w:b/>
          <w:bCs/>
          <w:i w:val="0"/>
          <w:sz w:val="21"/>
          <w:lang w:val="en-US" w:eastAsia="zh-CN"/>
        </w:rPr>
        <w:t>解答RQ2（判别有效性）：</w:t>
      </w:r>
      <w:r>
        <w:rPr>
          <w:rFonts w:hint="eastAsia" w:hAnsi="Cambria Math"/>
          <w:i w:val="0"/>
          <w:sz w:val="21"/>
          <w:lang w:val="en-US" w:eastAsia="zh-CN"/>
        </w:rPr>
        <w:t>采用</w:t>
      </w:r>
      <m:oMath>
        <m:r>
          <m:rPr>
            <m:sty m:val="bi"/>
          </m:rPr>
          <w:rPr>
            <w:rFonts w:hint="default" w:ascii="Cambria Math" w:hAnsi="Cambria Math" w:eastAsiaTheme="minorEastAsia"/>
            <w:sz w:val="21"/>
          </w:rPr>
          <m:t>Mann−Whitney</m:t>
        </m:r>
        <m:r>
          <m:rPr>
            <m:sty m:val="bi"/>
          </m:rPr>
          <w:rPr>
            <w:rFonts w:hint="default" w:ascii="Cambria Math" w:hAnsi="Cambria Math"/>
            <w:sz w:val="21"/>
            <w:lang w:val="en-US" w:eastAsia="zh-CN"/>
          </w:rPr>
          <m:t xml:space="preserve"> </m:t>
        </m:r>
        <m:r>
          <m:rPr>
            <m:sty m:val="bi"/>
          </m:rPr>
          <w:rPr>
            <w:rFonts w:hint="default" w:ascii="Cambria Math" w:hAnsi="Cambria Math" w:eastAsiaTheme="minorEastAsia"/>
            <w:sz w:val="21"/>
          </w:rPr>
          <m:t>U</m:t>
        </m:r>
      </m:oMath>
      <w:r>
        <w:rPr>
          <w:rFonts w:hint="eastAsia" w:hAnsi="Cambria Math"/>
          <w:b/>
          <w:bCs/>
          <w:i w:val="0"/>
          <w:sz w:val="21"/>
          <w:lang w:val="en-US" w:eastAsia="zh-CN"/>
        </w:rPr>
        <w:t>检验</w:t>
      </w:r>
      <w:r>
        <w:rPr>
          <w:rFonts w:hint="eastAsia" w:hAnsi="Cambria Math"/>
          <w:i w:val="0"/>
          <w:sz w:val="21"/>
          <w:lang w:val="en-US" w:eastAsia="zh-CN"/>
        </w:rPr>
        <w:t>比较“好离群”与“坏离群”在</w:t>
      </w:r>
      <m:oMath>
        <m:r>
          <m:rPr/>
          <w:rPr>
            <w:rFonts w:hint="default" w:ascii="Cambria Math" w:hAnsi="Cambria Math" w:eastAsiaTheme="minorEastAsia"/>
            <w:sz w:val="21"/>
          </w:rPr>
          <m:t>Q</m:t>
        </m:r>
      </m:oMath>
      <w:r>
        <w:rPr>
          <w:rFonts w:hint="eastAsia" w:hAnsi="Cambria Math"/>
          <w:i w:val="0"/>
          <w:sz w:val="21"/>
          <w:lang w:val="en-US" w:eastAsia="zh-CN"/>
        </w:rPr>
        <w:t>分数及子维度得分上是否实现了显著分离，并计算效应量（Cliff's Delta）。</w:t>
      </w:r>
    </w:p>
    <w:p w14:paraId="66328F64">
      <w:pPr>
        <w:numPr>
          <w:ilvl w:val="0"/>
          <w:numId w:val="5"/>
        </w:numPr>
        <w:rPr>
          <w:rFonts w:hint="eastAsia"/>
          <w:lang w:val="en-US" w:eastAsia="zh-CN"/>
        </w:rPr>
      </w:pPr>
      <w:r>
        <w:rPr>
          <w:rFonts w:hint="eastAsia" w:hAnsi="Cambria Math"/>
          <w:b/>
          <w:bCs/>
          <w:i w:val="0"/>
          <w:sz w:val="21"/>
          <w:lang w:val="en-US" w:eastAsia="zh-CN"/>
        </w:rPr>
        <w:t>解答RQ3（框架性能与消融）：</w:t>
      </w:r>
      <w:r>
        <w:rPr>
          <w:rFonts w:hint="eastAsia" w:hAnsi="Cambria Math"/>
          <w:i w:val="0"/>
          <w:sz w:val="21"/>
          <w:lang w:val="en-US" w:eastAsia="zh-CN"/>
        </w:rPr>
        <w:t>由于同一份文档在四种处理条件下均被评估，采用全局</w:t>
      </w:r>
      <m:oMath>
        <m:r>
          <m:rPr>
            <m:sty m:val="bi"/>
          </m:rPr>
          <w:rPr>
            <w:rFonts w:hint="default" w:ascii="Cambria Math" w:hAnsi="Cambria Math" w:eastAsiaTheme="minorEastAsia"/>
            <w:strike w:val="0"/>
            <w:dstrike w:val="0"/>
            <w:sz w:val="21"/>
          </w:rPr>
          <m:t>Friedman</m:t>
        </m:r>
      </m:oMath>
      <w:r>
        <w:rPr>
          <w:rFonts w:hint="eastAsia" w:hAnsi="Cambria Math"/>
          <w:b/>
          <w:bCs/>
          <w:i w:val="0"/>
          <w:strike w:val="0"/>
          <w:dstrike w:val="0"/>
          <w:sz w:val="21"/>
          <w:lang w:val="en-US" w:eastAsia="zh-CN"/>
        </w:rPr>
        <w:t>检验</w:t>
      </w:r>
      <w:r>
        <w:rPr>
          <w:rFonts w:hint="eastAsia" w:hAnsi="Cambria Math"/>
          <w:i w:val="0"/>
          <w:strike w:val="0"/>
          <w:dstrike w:val="0"/>
          <w:sz w:val="21"/>
          <w:lang w:val="en-US" w:eastAsia="zh-CN"/>
        </w:rPr>
        <w:t>分析</w:t>
      </w:r>
      <m:oMath>
        <m:r>
          <m:rPr/>
          <w:rPr>
            <w:rFonts w:hint="default" w:ascii="Cambria Math" w:hAnsi="Cambria Math" w:eastAsiaTheme="minorEastAsia"/>
            <w:sz w:val="21"/>
          </w:rPr>
          <m:t>Macro−F1</m:t>
        </m:r>
      </m:oMath>
      <w:r>
        <w:rPr>
          <w:rFonts w:hint="eastAsia" w:hAnsi="Cambria Math"/>
          <w:b w:val="0"/>
          <w:bCs/>
          <w:i w:val="0"/>
          <w:sz w:val="21"/>
          <w:lang w:val="en-US" w:eastAsia="zh-CN"/>
        </w:rPr>
        <w:t>等指标的差异；若全局差异显著，则使用</w:t>
      </w:r>
      <m:oMath>
        <m:r>
          <m:rPr>
            <m:sty m:val="bi"/>
          </m:rPr>
          <w:rPr>
            <w:rFonts w:hint="default" w:ascii="Cambria Math" w:hAnsi="Cambria Math" w:eastAsiaTheme="minorEastAsia"/>
            <w:strike w:val="0"/>
            <w:dstrike w:val="0"/>
            <w:sz w:val="21"/>
          </w:rPr>
          <m:t>Holm−Bonferroni</m:t>
        </m:r>
        <m:r>
          <m:rPr>
            <m:sty m:val="bi"/>
          </m:rPr>
          <w:rPr>
            <w:rFonts w:hint="default" w:ascii="Cambria Math" w:hAnsi="Cambria Math" w:eastAsiaTheme="minorEastAsia"/>
            <w:strike w:val="0"/>
            <w:dstrike w:val="0"/>
            <w:sz w:val="21"/>
            <w:lang w:val="en-US" w:eastAsia="zh-CN"/>
          </w:rPr>
          <m:t xml:space="preserve"> </m:t>
        </m:r>
        <m:r>
          <m:rPr>
            <m:sty m:val="bi"/>
          </m:rPr>
          <w:rPr>
            <w:rFonts w:hint="default" w:ascii="Cambria Math" w:hAnsi="Cambria Math" w:eastAsiaTheme="minorEastAsia"/>
            <w:strike w:val="0"/>
            <w:dstrike w:val="0"/>
            <w:sz w:val="21"/>
          </w:rPr>
          <m:t>method</m:t>
        </m:r>
      </m:oMath>
      <w:r>
        <w:rPr>
          <w:rFonts w:hint="eastAsia" w:hAnsi="Cambria Math"/>
          <w:b/>
          <w:bCs/>
          <w:i w:val="0"/>
          <w:strike w:val="0"/>
          <w:dstrike w:val="0"/>
          <w:sz w:val="21"/>
          <w:lang w:val="en-US" w:eastAsia="zh-CN"/>
        </w:rPr>
        <w:t>事后校正</w:t>
      </w:r>
      <w:r>
        <w:rPr>
          <w:rFonts w:hint="eastAsia" w:hAnsi="Cambria Math"/>
          <w:i w:val="0"/>
          <w:strike w:val="0"/>
          <w:dstrike w:val="0"/>
          <w:sz w:val="21"/>
          <w:lang w:val="en-US" w:eastAsia="zh-CN"/>
        </w:rPr>
        <w:t>依次进行两两成对比较。同时绘制</w:t>
      </w:r>
      <m:oMath>
        <m:r>
          <m:rPr/>
          <w:rPr>
            <w:rFonts w:hint="default" w:ascii="Cambria Math" w:hAnsi="Cambria Math" w:eastAsiaTheme="minorEastAsia"/>
            <w:strike w:val="0"/>
            <w:dstrike w:val="0"/>
            <w:sz w:val="21"/>
          </w:rPr>
          <m:t>Jaccard</m:t>
        </m:r>
      </m:oMath>
      <w:r>
        <w:rPr>
          <w:rFonts w:hint="eastAsia" w:hAnsi="Cambria Math"/>
          <w:i w:val="0"/>
          <w:strike w:val="0"/>
          <w:dstrike w:val="0"/>
          <w:sz w:val="21"/>
          <w:lang w:val="en-US" w:eastAsia="zh-CN"/>
        </w:rPr>
        <w:t>相似度曲线与分数波动衰减图，直观展示系统的收敛轨迹。</w:t>
      </w:r>
    </w:p>
    <w:p w14:paraId="2A3E01AA">
      <w:pPr>
        <w:pStyle w:val="3"/>
        <w:bidi w:val="0"/>
        <w:jc w:val="left"/>
        <w:rPr>
          <w:rFonts w:hint="eastAsia"/>
          <w:lang w:val="en-US" w:eastAsia="zh-CN"/>
        </w:rPr>
      </w:pPr>
      <w:r>
        <w:rPr>
          <w:rFonts w:hint="eastAsia"/>
          <w:lang w:val="en-US" w:eastAsia="zh-CN"/>
        </w:rPr>
        <w:t>6 Results</w:t>
      </w:r>
    </w:p>
    <w:p w14:paraId="5E0D187F">
      <w:pPr>
        <w:rPr>
          <w:rFonts w:hint="eastAsia"/>
          <w:lang w:val="en-US" w:eastAsia="zh-CN"/>
        </w:rPr>
      </w:pPr>
      <w:r>
        <w:rPr>
          <w:rFonts w:hint="eastAsia"/>
          <w:lang w:val="en-US" w:eastAsia="zh-CN"/>
        </w:rPr>
        <w:t>本章报告本文三个研究问题的实证结果。所有结果均基于Ground Truth(GT)、当前多模型输出和文档级统计分析。为保证Full Method诊断结果与配对比较(Treatment-level)使用相同的覆盖范围，本章采用10份共同需求文档作为统一分析口径。</w:t>
      </w:r>
    </w:p>
    <w:p w14:paraId="42F91969">
      <w:pPr>
        <w:pStyle w:val="4"/>
        <w:bidi w:val="0"/>
        <w:rPr>
          <w:rFonts w:hint="eastAsia"/>
          <w:lang w:val="en-US" w:eastAsia="zh-CN"/>
        </w:rPr>
      </w:pPr>
      <w:r>
        <w:rPr>
          <w:rFonts w:hint="eastAsia"/>
          <w:lang w:val="en-US" w:eastAsia="zh-CN"/>
        </w:rPr>
        <w:t>6.1 RQ1：How do individual LLMs differ in identifying per-requirement quality issues?</w:t>
      </w:r>
    </w:p>
    <w:p w14:paraId="29F4045F">
      <w:pPr>
        <w:rPr>
          <w:rFonts w:hint="eastAsia" w:hAnsi="Cambria Math"/>
          <w:i w:val="0"/>
          <w:sz w:val="21"/>
          <w:lang w:val="en-US" w:eastAsia="zh-CN"/>
        </w:rPr>
      </w:pPr>
      <w:r>
        <w:rPr>
          <w:rFonts w:hint="default"/>
          <w:lang w:val="en-US" w:eastAsia="zh-CN"/>
        </w:rPr>
        <w:t>为刻画</w:t>
      </w:r>
      <w:r>
        <w:rPr>
          <w:rFonts w:hint="eastAsia"/>
          <w:lang w:val="en-US" w:eastAsia="zh-CN"/>
        </w:rPr>
        <w:t>RQ1所关注的</w:t>
      </w:r>
      <w:r>
        <w:rPr>
          <w:rFonts w:hint="default"/>
          <w:lang w:val="en-US" w:eastAsia="zh-CN"/>
        </w:rPr>
        <w:t>单个LLM在逐条需求质量问题识别中的初始判断差异，我们首先</w:t>
      </w:r>
      <w:r>
        <w:rPr>
          <w:rFonts w:hint="eastAsia"/>
          <w:lang w:val="en-US" w:eastAsia="zh-CN"/>
        </w:rPr>
        <w:t>对round-0评分矩阵（固定所有文档、所有模型采用同一版prompt、同一版解析脚本、同一组阈值参数的初始评分、置信度、证据、改写建议输出round-0，从而保证不同treatment的实验起点相同，避免LLM概率统计特性的影响）</w:t>
      </w:r>
      <w:r>
        <w:rPr>
          <w:rFonts w:hint="default"/>
          <w:lang w:val="en-US" w:eastAsia="zh-CN"/>
        </w:rPr>
        <w:t>计算了各数据集上</w:t>
      </w:r>
      <w:r>
        <w:rPr>
          <w:rFonts w:hint="eastAsia"/>
          <w:lang w:val="en-US" w:eastAsia="zh-CN"/>
        </w:rPr>
        <w:t>序数型</w:t>
      </w:r>
      <w:r>
        <w:rPr>
          <w:rFonts w:hint="default"/>
          <w:lang w:val="en-US" w:eastAsia="zh-CN"/>
        </w:rPr>
        <w:t xml:space="preserve"> </w:t>
      </w:r>
      <m:oMath>
        <m:r>
          <m:rPr/>
          <w:rPr>
            <w:rFonts w:hint="default" w:ascii="Cambria Math" w:hAnsi="Cambria Math" w:eastAsiaTheme="minorEastAsia"/>
            <w:sz w:val="21"/>
          </w:rPr>
          <m:t>Krippendorff's</m:t>
        </m:r>
        <m:r>
          <m:rPr/>
          <w:rPr>
            <w:rFonts w:hint="default" w:ascii="Cambria Math" w:hAnsi="Cambria Math"/>
            <w:sz w:val="21"/>
            <w:lang w:val="en-US" w:eastAsia="zh-CN"/>
          </w:rPr>
          <m:t xml:space="preserve"> </m:t>
        </m:r>
        <m:r>
          <m:rPr/>
          <w:rPr>
            <w:rFonts w:hint="default" w:ascii="Cambria Math" w:hAnsi="Cambria Math" w:eastAsiaTheme="minorEastAsia"/>
            <w:sz w:val="21"/>
          </w:rPr>
          <m:t>α</m:t>
        </m:r>
      </m:oMath>
      <w:r>
        <w:rPr>
          <w:rFonts w:hint="default"/>
          <w:lang w:val="en-US" w:eastAsia="zh-CN"/>
        </w:rPr>
        <w:t xml:space="preserve"> 指标。</w:t>
      </w:r>
      <w:r>
        <w:rPr>
          <w:rFonts w:hint="eastAsia"/>
          <w:lang w:val="en-US" w:eastAsia="zh-CN"/>
        </w:rPr>
        <w:t>结果显示，跨全部10份文档、978条requirement与3912个(item,type)单元的总体一致性为0.4232，说明不同模型在初始评分阶段存在一定程度但不充分的收敛。进一步按维度分解后，U/A/C/V四个维度的</w:t>
      </w:r>
      <m:oMath>
        <m:r>
          <m:rPr/>
          <w:rPr>
            <w:rFonts w:hint="default" w:ascii="Cambria Math"/>
            <w:lang w:val="en-US" w:eastAsia="zh-CN"/>
          </w:rPr>
          <m:t xml:space="preserve"> </m:t>
        </m:r>
        <m:r>
          <m:rPr/>
          <w:rPr>
            <w:rFonts w:hint="default" w:ascii="Cambria Math" w:hAnsi="Cambria Math"/>
            <w:sz w:val="21"/>
          </w:rPr>
          <m:t>α</m:t>
        </m:r>
      </m:oMath>
      <w:r>
        <w:rPr>
          <w:rFonts w:hint="eastAsia" w:hAnsi="Cambria Math"/>
          <w:i w:val="0"/>
          <w:sz w:val="21"/>
          <w:lang w:val="en-US" w:eastAsia="zh-CN"/>
        </w:rPr>
        <w:t>分别在0.0258、-0.0377、0.1202与0.0526，这表明，当分析粒度下沉到U/A/C/V的细粒度判别任务时，模型间判断没有形成稳定一致性，部分维度甚至表现出低于随机一致性的趋势，即模型间对单个维度的分歧任然较为明显。</w:t>
      </w:r>
    </w:p>
    <w:p w14:paraId="30D01CFF">
      <w:pPr>
        <w:rPr>
          <w:rFonts w:hint="eastAsia" w:hAnsi="Cambria Math"/>
          <w:i w:val="0"/>
          <w:color w:val="000000" w:themeColor="text1"/>
          <w:sz w:val="21"/>
          <w:lang w:val="en-US" w:eastAsia="zh-CN"/>
          <w14:textFill>
            <w14:solidFill>
              <w14:schemeClr w14:val="tx1"/>
            </w14:solidFill>
          </w14:textFill>
        </w:rPr>
      </w:pPr>
      <w:r>
        <w:rPr>
          <w:rFonts w:hint="eastAsia" w:hAnsi="Cambria Math"/>
          <w:i w:val="0"/>
          <w:color w:val="000000" w:themeColor="text1"/>
          <w:sz w:val="21"/>
          <w:lang w:val="en-US" w:eastAsia="zh-CN"/>
          <w14:textFill>
            <w14:solidFill>
              <w14:schemeClr w14:val="tx1"/>
            </w14:solidFill>
          </w14:textFill>
        </w:rPr>
        <w:t>从评分分布看，四个维度的初始评分同样显示出显著的维度间差异。U与C的中位数均为3，A与V的中位数为2；四个维度的平均评分分别为 U=2.6279、A=2.0602、C=2.8605 和 V=1.7030，其中V的平均分最低，而C的平均分最高。这一结果说明，当前模型群体在可验证性相关判断的初始阶段更容易触发“存在问题”的低分信号，而正确性判断整体上更趋于保守。</w:t>
      </w:r>
    </w:p>
    <w:p w14:paraId="2BBADF78">
      <w:pPr>
        <w:rPr>
          <w:rFonts w:hint="eastAsia" w:hAnsi="Cambria Math"/>
          <w:i w:val="0"/>
          <w:sz w:val="21"/>
          <w:lang w:val="en-US" w:eastAsia="zh-CN"/>
        </w:rPr>
      </w:pPr>
      <w:r>
        <w:rPr>
          <w:rFonts w:hint="eastAsia" w:hAnsi="Cambria Math"/>
          <w:i w:val="0"/>
          <w:color w:val="000000" w:themeColor="text1"/>
          <w:sz w:val="21"/>
          <w:lang w:val="en-US" w:eastAsia="zh-CN"/>
          <w14:textFill>
            <w14:solidFill>
              <w14:schemeClr w14:val="tx1"/>
            </w14:solidFill>
          </w14:textFill>
        </w:rPr>
        <w:t>在离群预筛阶段（本文设定的outlier prescreening规则：</w:t>
      </w:r>
      <m:oMath>
        <m:r>
          <m:rPr/>
          <w:rPr>
            <w:rFonts w:hint="default" w:ascii="Cambria Math" w:hAnsi="Cambria Math" w:eastAsiaTheme="minorEastAsia"/>
            <w:sz w:val="21"/>
          </w:rPr>
          <m:t>abs_deviation≥2</m:t>
        </m:r>
      </m:oMath>
      <w:r>
        <w:rPr>
          <w:rFonts w:hint="eastAsia" w:hAnsi="Cambria Math"/>
          <w:i w:val="0"/>
          <w:color w:val="000000" w:themeColor="text1"/>
          <w:sz w:val="21"/>
          <w:lang w:val="en-US" w:eastAsia="zh-CN"/>
          <w14:textFill>
            <w14:solidFill>
              <w14:schemeClr w14:val="tx1"/>
            </w14:solidFill>
          </w14:textFill>
        </w:rPr>
        <w:t>），</w:t>
      </w:r>
      <w:r>
        <w:rPr>
          <w:rFonts w:hint="eastAsia" w:hAnsi="Cambria Math"/>
          <w:i w:val="0"/>
          <w:sz w:val="21"/>
          <w:lang w:val="en-US" w:eastAsia="zh-CN"/>
        </w:rPr>
        <w:t>数据分布显示评分分歧并非随机噪声，而是表现出显著的维度聚集性。我们在10份文档中共识别出60个outlier events。按维度统计，V维度共触发42个outlier，占全部离群事件的70.00%；U、A与C分别仅有7个(11.67%)、6个(10.00%)与5个(8.33%)。若进一步以“文档内离群率”进行归一化，四个维度之间的差异依然显著：V维度的平均离群率依然最高(1.26%)，显著高于U(0.20%)、A(0.15%)与C(0.15%)，</w:t>
      </w:r>
      <m:oMath>
        <m:r>
          <m:rPr/>
          <w:rPr>
            <w:rFonts w:hint="default" w:ascii="Cambria Math" w:hAnsi="Cambria Math" w:eastAsiaTheme="minorEastAsia"/>
            <w:sz w:val="21"/>
          </w:rPr>
          <m:t>Kruskal−Wallis</m:t>
        </m:r>
      </m:oMath>
      <w:r>
        <w:rPr>
          <w:rFonts w:hint="eastAsia" w:hAnsi="Cambria Math"/>
          <w:i w:val="0"/>
          <w:sz w:val="21"/>
          <w:lang w:val="en-US" w:eastAsia="zh-CN"/>
        </w:rPr>
        <w:t>检验验证了这四个维度的文档内离群率存在统计学显著差异（</w:t>
      </w:r>
      <m:oMath>
        <m:r>
          <m:rPr/>
          <w:rPr>
            <w:rFonts w:hint="default" w:ascii="Cambria Math" w:hAnsi="Cambria Math"/>
            <w:sz w:val="21"/>
            <w:lang w:val="en-US" w:eastAsia="zh-CN"/>
          </w:rPr>
          <m:t>H</m:t>
        </m:r>
        <m:r>
          <m:rPr/>
          <w:rPr>
            <w:rFonts w:hint="default" w:ascii="Cambria Math" w:hAnsi="Cambria Math" w:eastAsiaTheme="minorEastAsia"/>
            <w:sz w:val="21"/>
          </w:rPr>
          <m:t>=</m:t>
        </m:r>
        <m:r>
          <m:rPr/>
          <w:rPr>
            <w:rFonts w:hint="default" w:ascii="Cambria Math" w:hAnsi="Cambria Math"/>
            <w:color w:val="000000" w:themeColor="text1"/>
            <w:sz w:val="21"/>
            <w:lang w:val="en-US" w:eastAsia="zh-CN"/>
            <w14:textFill>
              <w14:solidFill>
                <w14:schemeClr w14:val="tx1"/>
              </w14:solidFill>
            </w14:textFill>
          </w:rPr>
          <m:t>10.7601</m:t>
        </m:r>
        <m:r>
          <m:rPr/>
          <w:rPr>
            <w:rFonts w:hint="default" w:ascii="Cambria Math" w:hAnsi="Cambria Math" w:eastAsiaTheme="minorEastAsia"/>
            <w:sz w:val="21"/>
          </w:rPr>
          <m:t>,</m:t>
        </m:r>
        <m:r>
          <m:rPr/>
          <w:rPr>
            <w:rFonts w:hint="default" w:ascii="Cambria Math" w:hAnsi="Cambria Math"/>
            <w:sz w:val="21"/>
            <w:lang w:val="en-US" w:eastAsia="zh-CN"/>
          </w:rPr>
          <m:t>df=3</m:t>
        </m:r>
        <m:r>
          <m:rPr/>
          <w:rPr>
            <w:rFonts w:hint="default" w:ascii="Cambria Math" w:hAnsi="Cambria Math" w:eastAsiaTheme="minorEastAsia"/>
            <w:sz w:val="21"/>
          </w:rPr>
          <m:t>,p</m:t>
        </m:r>
        <m:r>
          <m:rPr/>
          <w:rPr>
            <w:rFonts w:hint="default" w:ascii="Cambria Math" w:hAnsi="Cambria Math"/>
            <w:sz w:val="21"/>
            <w:lang w:val="en-US" w:eastAsia="zh-CN"/>
          </w:rPr>
          <m:t>=0.0131</m:t>
        </m:r>
      </m:oMath>
      <w:r>
        <w:rPr>
          <w:rFonts w:hint="eastAsia" w:hAnsi="Cambria Math"/>
          <w:i w:val="0"/>
          <w:sz w:val="21"/>
          <w:lang w:val="en-US" w:eastAsia="zh-CN"/>
        </w:rPr>
        <w:t>）。</w:t>
      </w:r>
    </w:p>
    <w:p w14:paraId="18569573">
      <w:pPr>
        <w:rPr>
          <w:rFonts w:hint="eastAsia" w:hAnsi="Cambria Math"/>
          <w:i w:val="0"/>
          <w:sz w:val="21"/>
          <w:lang w:val="en-US" w:eastAsia="zh-CN"/>
        </w:rPr>
      </w:pPr>
      <w:r>
        <w:rPr>
          <w:rFonts w:hint="eastAsia" w:hAnsi="Cambria Math"/>
          <w:b/>
          <w:bCs/>
          <w:i w:val="0"/>
          <w:sz w:val="21"/>
          <w:lang w:val="en-US" w:eastAsia="zh-CN"/>
        </w:rPr>
        <w:t>Result for RQ1:</w:t>
      </w:r>
      <w:r>
        <w:rPr>
          <w:rFonts w:hint="eastAsia" w:hAnsi="Cambria Math"/>
          <w:i w:val="0"/>
          <w:sz w:val="21"/>
          <w:lang w:val="en-US" w:eastAsia="zh-CN"/>
        </w:rPr>
        <w:t>个体LLM在逐条需求质量问题识别中并非仅产生无结构的随机噪声，而是在评分水平、维度敏感性和强分歧触发位置上呈现出可观察的结构性差异。尤其是V维度，在当前实验设置下既表现出更低的平均评分，也集中产生最多离群事件。这一结果为本文将“模型分歧”视为可利用的结构化信号提供了坚实的经验基础。</w:t>
      </w:r>
    </w:p>
    <w:p w14:paraId="76723C12">
      <w:pPr>
        <w:pStyle w:val="4"/>
        <w:bidi w:val="0"/>
        <w:rPr>
          <w:rFonts w:hint="eastAsia"/>
          <w:lang w:val="en-US" w:eastAsia="zh-CN"/>
        </w:rPr>
      </w:pPr>
      <w:r>
        <w:rPr>
          <w:rFonts w:hint="eastAsia"/>
          <w:lang w:val="en-US" w:eastAsia="zh-CN"/>
        </w:rPr>
        <w:t>6.2 RQ2：How does the proposed workflow compare with individual LLMs and aggregation baselines?</w:t>
      </w:r>
    </w:p>
    <w:p w14:paraId="54AD150D">
      <w:pPr>
        <w:rPr>
          <w:rFonts w:hint="eastAsia"/>
          <w:lang w:val="en-US" w:eastAsia="zh-CN"/>
        </w:rPr>
      </w:pPr>
      <w:r>
        <w:rPr>
          <w:rFonts w:hint="eastAsia"/>
          <w:lang w:val="en-US" w:eastAsia="zh-CN"/>
        </w:rPr>
        <w:t>RQ2评估本文提出的outlier-aware consensus workflow在生成逐条需求问题清单时，相较于单模型、等权聚合和无权重圆桌基线的表现与权衡。为避免将整体性能变化直接归因于某一个组件，本节依次报告离群质量判别、treatment-level Ground Truth 对齐性能、模型画像与固定权重消融，以及圆桌收敛和问题清单规模。</w:t>
      </w:r>
    </w:p>
    <w:p w14:paraId="6C3015EB">
      <w:pPr>
        <w:pStyle w:val="5"/>
        <w:bidi w:val="0"/>
        <w:rPr>
          <w:rFonts w:hint="eastAsia"/>
          <w:lang w:val="en-US" w:eastAsia="zh-CN"/>
        </w:rPr>
      </w:pPr>
      <w:r>
        <w:rPr>
          <w:rFonts w:hint="eastAsia"/>
          <w:lang w:val="en-US" w:eastAsia="zh-CN"/>
        </w:rPr>
        <w:t>6.2.1 Good and Bad Outlier Separation</w:t>
      </w:r>
    </w:p>
    <w:p w14:paraId="7AE2797C">
      <w:pPr>
        <w:rPr>
          <w:rFonts w:hint="default"/>
          <w:lang w:val="en-US" w:eastAsia="zh-CN"/>
        </w:rPr>
      </w:pPr>
      <w:r>
        <w:rPr>
          <w:rFonts w:hint="default"/>
          <w:lang w:val="en-US" w:eastAsia="zh-CN"/>
        </w:rPr>
        <w:t>对60个离群事件进行论证质量评分与决策后，当前规则下共有26个事件被判定为 `good`，15个被判定为 `bad`，19个被判定为 `uncertain`。整体hard-fail率为21.67%</w:t>
      </w:r>
      <w:r>
        <w:rPr>
          <w:rFonts w:hint="eastAsia"/>
          <w:lang w:val="en-US" w:eastAsia="zh-CN"/>
        </w:rPr>
        <w:t>，且触发hard-fail的事件最终100.00%被归入`bad`，证明该底线规则有效拦截了低质量偏离。</w:t>
      </w:r>
    </w:p>
    <w:p w14:paraId="5443ABC2">
      <w:pPr>
        <w:rPr>
          <w:rFonts w:hint="default"/>
          <w:lang w:val="en-US" w:eastAsia="zh-CN"/>
        </w:rPr>
      </w:pPr>
      <w:r>
        <w:rPr>
          <w:rFonts w:hint="default"/>
          <w:lang w:val="en-US" w:eastAsia="zh-CN"/>
        </w:rPr>
        <w:t>综合论证质量分</w:t>
      </w:r>
      <m:oMath>
        <m:r>
          <m:rPr/>
          <w:rPr>
            <w:rFonts w:hint="default" w:ascii="Cambria Math"/>
            <w:lang w:val="en-US" w:eastAsia="zh-CN"/>
          </w:rPr>
          <m:t xml:space="preserve"> </m:t>
        </m:r>
        <m:r>
          <m:rPr/>
          <w:rPr>
            <w:rFonts w:hint="default" w:ascii="Cambria Math" w:hAnsi="Cambria Math" w:eastAsiaTheme="minorEastAsia"/>
            <w:sz w:val="21"/>
          </w:rPr>
          <m:t>Q</m:t>
        </m:r>
        <m:r>
          <m:rPr/>
          <w:rPr>
            <w:rFonts w:hint="default" w:ascii="Cambria Math" w:hAnsi="Cambria Math"/>
            <w:sz w:val="21"/>
            <w:lang w:val="en-US" w:eastAsia="zh-CN"/>
          </w:rPr>
          <m:t xml:space="preserve"> </m:t>
        </m:r>
      </m:oMath>
      <w:r>
        <w:rPr>
          <w:rFonts w:hint="default"/>
          <w:lang w:val="en-US" w:eastAsia="zh-CN"/>
        </w:rPr>
        <w:t>在三类离群之间呈现出清晰分层。`good` 事件的</w:t>
      </w:r>
      <m:oMath>
        <m:r>
          <m:rPr/>
          <w:rPr>
            <w:rFonts w:hint="default" w:ascii="Cambria Math"/>
            <w:lang w:val="en-US" w:eastAsia="zh-CN"/>
          </w:rPr>
          <m:t xml:space="preserve"> </m:t>
        </m:r>
        <m:r>
          <m:rPr/>
          <w:rPr>
            <w:rFonts w:hint="default" w:ascii="Cambria Math" w:hAnsi="Cambria Math" w:eastAsiaTheme="minorEastAsia"/>
            <w:sz w:val="21"/>
          </w:rPr>
          <m:t>Q</m:t>
        </m:r>
        <m:r>
          <m:rPr/>
          <w:rPr>
            <w:rFonts w:hint="default" w:ascii="Cambria Math" w:hAnsi="Cambria Math"/>
            <w:sz w:val="21"/>
            <w:lang w:val="en-US" w:eastAsia="zh-CN"/>
          </w:rPr>
          <m:t xml:space="preserve"> </m:t>
        </m:r>
      </m:oMath>
      <w:r>
        <w:rPr>
          <w:rFonts w:hint="default"/>
          <w:lang w:val="en-US" w:eastAsia="zh-CN"/>
        </w:rPr>
        <w:t>中位数为0.7500，均值为0.7788；`bad` 事件的</w:t>
      </w:r>
      <m:oMath>
        <m:r>
          <m:rPr/>
          <w:rPr>
            <w:rFonts w:hint="default" w:ascii="Cambria Math"/>
            <w:lang w:val="en-US" w:eastAsia="zh-CN"/>
          </w:rPr>
          <m:t xml:space="preserve"> </m:t>
        </m:r>
        <m:r>
          <m:rPr/>
          <w:rPr>
            <w:rFonts w:hint="default" w:ascii="Cambria Math" w:hAnsi="Cambria Math" w:eastAsiaTheme="minorEastAsia"/>
            <w:sz w:val="21"/>
          </w:rPr>
          <m:t>Q</m:t>
        </m:r>
        <m:r>
          <m:rPr/>
          <w:rPr>
            <w:rFonts w:hint="default" w:ascii="Cambria Math" w:hAnsi="Cambria Math"/>
            <w:sz w:val="21"/>
            <w:lang w:val="en-US" w:eastAsia="zh-CN"/>
          </w:rPr>
          <m:t xml:space="preserve"> </m:t>
        </m:r>
      </m:oMath>
      <w:r>
        <w:rPr>
          <w:rFonts w:hint="default"/>
          <w:lang w:val="en-US" w:eastAsia="zh-CN"/>
        </w:rPr>
        <w:t>中位数为0.2500，均值为0.3056；`uncertain` 事件介于二者之间，中位数为0.4167，均值为0.4386。Mann-Whitney U检验显示，`good` 与 `bad` 的</w:t>
      </w:r>
      <m:oMath>
        <m:r>
          <m:rPr/>
          <w:rPr>
            <w:rFonts w:hint="default" w:ascii="Cambria Math"/>
            <w:lang w:val="en-US" w:eastAsia="zh-CN"/>
          </w:rPr>
          <m:t xml:space="preserve"> </m:t>
        </m:r>
        <m:r>
          <m:rPr/>
          <w:rPr>
            <w:rFonts w:hint="default" w:ascii="Cambria Math" w:hAnsi="Cambria Math" w:eastAsiaTheme="minorEastAsia"/>
            <w:sz w:val="21"/>
          </w:rPr>
          <m:t>Q</m:t>
        </m:r>
        <m:r>
          <m:rPr/>
          <w:rPr>
            <w:rFonts w:hint="default" w:ascii="Cambria Math" w:hAnsi="Cambria Math"/>
            <w:sz w:val="21"/>
            <w:lang w:val="en-US" w:eastAsia="zh-CN"/>
          </w:rPr>
          <m:t xml:space="preserve"> </m:t>
        </m:r>
      </m:oMath>
      <w:r>
        <w:rPr>
          <w:rFonts w:hint="default"/>
          <w:lang w:val="en-US" w:eastAsia="zh-CN"/>
        </w:rPr>
        <w:t>分布差异显著</w:t>
      </w:r>
      <w:r>
        <w:rPr>
          <w:rFonts w:hint="eastAsia"/>
          <w:lang w:val="en-US" w:eastAsia="zh-CN"/>
        </w:rPr>
        <w:t>(</w:t>
      </w:r>
      <m:oMath>
        <m:r>
          <m:rPr/>
          <w:rPr>
            <w:rFonts w:hint="default" w:ascii="Cambria Math" w:hAnsi="Cambria Math" w:eastAsiaTheme="minorEastAsia"/>
            <w:sz w:val="21"/>
          </w:rPr>
          <m:t>U=386.5,p&lt;0.001,Cliff's</m:t>
        </m:r>
        <m:r>
          <m:rPr/>
          <w:rPr>
            <w:rFonts w:hint="default" w:ascii="Cambria Math" w:hAnsi="Cambria Math"/>
            <w:sz w:val="21"/>
            <w:lang w:val="en-US" w:eastAsia="zh-CN"/>
          </w:rPr>
          <m:t xml:space="preserve"> </m:t>
        </m:r>
        <m:r>
          <m:rPr/>
          <w:rPr>
            <w:rFonts w:hint="default" w:ascii="Cambria Math" w:hAnsi="Cambria Math" w:eastAsiaTheme="minorEastAsia"/>
            <w:sz w:val="21"/>
          </w:rPr>
          <m:t>δ=0.9821</m:t>
        </m:r>
      </m:oMath>
      <w:r>
        <w:rPr>
          <w:rFonts w:hint="eastAsia"/>
          <w:lang w:val="en-US" w:eastAsia="zh-CN"/>
        </w:rPr>
        <w:t>)</w:t>
      </w:r>
      <w:r>
        <w:rPr>
          <w:rFonts w:hint="default"/>
          <w:lang w:val="en-US" w:eastAsia="zh-CN"/>
        </w:rPr>
        <w:t>。将`bad`与`uncertain`合并为`non-good` 后，`good`与`non-good`之间的差异同样显著</w:t>
      </w:r>
      <w:r>
        <w:rPr>
          <w:rFonts w:hint="eastAsia"/>
          <w:lang w:val="en-US" w:eastAsia="zh-CN"/>
        </w:rPr>
        <w:t>(</w:t>
      </w:r>
      <m:oMath>
        <m:r>
          <m:rPr/>
          <w:rPr>
            <w:rFonts w:hint="default" w:ascii="Cambria Math" w:hAnsi="Cambria Math" w:eastAsiaTheme="minorEastAsia"/>
            <w:sz w:val="21"/>
          </w:rPr>
          <m:t>U=880.5,p&lt;0.001,Cliff's</m:t>
        </m:r>
        <m:r>
          <m:rPr/>
          <w:rPr>
            <w:rFonts w:hint="default" w:ascii="Cambria Math" w:hAnsi="Cambria Math"/>
            <w:sz w:val="21"/>
            <w:lang w:val="en-US" w:eastAsia="zh-CN"/>
          </w:rPr>
          <m:t xml:space="preserve"> </m:t>
        </m:r>
        <m:r>
          <m:rPr/>
          <w:rPr>
            <w:rFonts w:hint="default" w:ascii="Cambria Math" w:hAnsi="Cambria Math" w:eastAsiaTheme="minorEastAsia"/>
            <w:sz w:val="21"/>
          </w:rPr>
          <m:t>δ=0.9921</m:t>
        </m:r>
      </m:oMath>
      <w:r>
        <w:rPr>
          <w:rFonts w:hint="eastAsia"/>
          <w:lang w:val="en-US" w:eastAsia="zh-CN"/>
        </w:rPr>
        <w:t>)</w:t>
      </w:r>
      <w:r>
        <w:rPr>
          <w:rFonts w:hint="default"/>
          <w:lang w:val="en-US" w:eastAsia="zh-CN"/>
        </w:rPr>
        <w:t>。进一步拆解</w:t>
      </w:r>
      <m:oMath>
        <m:r>
          <m:rPr/>
          <w:rPr>
            <w:rFonts w:hint="default" w:ascii="Cambria Math"/>
            <w:lang w:val="en-US" w:eastAsia="zh-CN"/>
          </w:rPr>
          <m:t xml:space="preserve"> </m:t>
        </m:r>
        <m:r>
          <m:rPr/>
          <w:rPr>
            <w:rFonts w:hint="default" w:ascii="Cambria Math" w:hAnsi="Cambria Math" w:eastAsiaTheme="minorEastAsia"/>
            <w:sz w:val="21"/>
          </w:rPr>
          <m:t>Q</m:t>
        </m:r>
        <m:r>
          <m:rPr/>
          <w:rPr>
            <w:rFonts w:hint="default" w:ascii="Cambria Math" w:hAnsi="Cambria Math"/>
            <w:sz w:val="21"/>
            <w:lang w:val="en-US" w:eastAsia="zh-CN"/>
          </w:rPr>
          <m:t xml:space="preserve"> </m:t>
        </m:r>
      </m:oMath>
      <w:r>
        <w:rPr>
          <w:rFonts w:hint="eastAsia" w:hAnsi="Cambria Math"/>
          <w:i w:val="0"/>
          <w:sz w:val="21"/>
          <w:lang w:val="en-US" w:eastAsia="zh-CN"/>
        </w:rPr>
        <w:t>向量子项</w:t>
      </w:r>
      <w:r>
        <w:rPr>
          <w:rFonts w:hint="default"/>
          <w:lang w:val="en-US" w:eastAsia="zh-CN"/>
        </w:rPr>
        <w:t>可以看到，`good` 事件在</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specificity</m:t>
            </m:r>
            <m:ctrlPr>
              <w:rPr>
                <w:rFonts w:ascii="Cambria Math" w:hAnsi="Cambria Math" w:eastAsiaTheme="minorEastAsia"/>
                <w:sz w:val="21"/>
              </w:rPr>
            </m:ctrlPr>
          </m:sub>
        </m:sSub>
      </m:oMath>
      <w:r>
        <w:rPr>
          <w:rFonts w:hint="default"/>
          <w:lang w:val="en-US" w:eastAsia="zh-CN"/>
        </w:rPr>
        <w:t>与</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taxonomy_fit</m:t>
            </m:r>
            <m:ctrlPr>
              <w:rPr>
                <w:rFonts w:ascii="Cambria Math" w:hAnsi="Cambria Math" w:eastAsiaTheme="minorEastAsia"/>
                <w:sz w:val="21"/>
              </w:rPr>
            </m:ctrlPr>
          </m:sub>
        </m:sSub>
      </m:oMath>
      <w:r>
        <w:rPr>
          <w:rFonts w:hint="default"/>
          <w:lang w:val="en-US" w:eastAsia="zh-CN"/>
        </w:rPr>
        <w:t>上也显著</w:t>
      </w:r>
      <w:r>
        <w:rPr>
          <w:rFonts w:hint="eastAsia"/>
          <w:lang w:val="en-US" w:eastAsia="zh-CN"/>
        </w:rPr>
        <w:t>优</w:t>
      </w:r>
      <w:r>
        <w:rPr>
          <w:rFonts w:hint="default"/>
          <w:lang w:val="en-US" w:eastAsia="zh-CN"/>
        </w:rPr>
        <w:t>于 `non-good`</w:t>
      </w:r>
      <w:r>
        <w:rPr>
          <w:rFonts w:hint="eastAsia"/>
          <w:lang w:val="en-US" w:eastAsia="zh-CN"/>
        </w:rPr>
        <w:t>(</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S</m:t>
            </m:r>
            <m:ctrlPr>
              <w:rPr>
                <w:rFonts w:ascii="Cambria Math" w:hAnsi="Cambria Math" w:eastAsiaTheme="minorEastAsia"/>
                <w:sz w:val="21"/>
              </w:rPr>
            </m:ctrlPr>
          </m:e>
          <m:sub>
            <m:r>
              <m:rPr/>
              <w:rPr>
                <w:rFonts w:hint="default" w:ascii="Cambria Math" w:hAnsi="Cambria Math" w:eastAsiaTheme="minorEastAsia"/>
                <w:sz w:val="21"/>
              </w:rPr>
              <m:t>specificity</m:t>
            </m:r>
            <m:ctrlPr>
              <w:rPr>
                <w:rFonts w:ascii="Cambria Math" w:hAnsi="Cambria Math" w:eastAsiaTheme="minorEastAsia"/>
                <w:sz w:val="21"/>
              </w:rPr>
            </m:ctrlPr>
          </m:sub>
        </m:sSub>
      </m:oMath>
      <w:r>
        <w:rPr>
          <w:rFonts w:hint="eastAsia"/>
          <w:lang w:val="en-US" w:eastAsia="zh-CN"/>
        </w:rPr>
        <w:t>:</w:t>
      </w:r>
      <m:oMath>
        <m:r>
          <m:rPr/>
          <w:rPr>
            <w:rFonts w:hint="default" w:ascii="Cambria Math" w:hAnsi="Cambria Math" w:eastAsiaTheme="minorEastAsia"/>
            <w:sz w:val="21"/>
          </w:rPr>
          <m:t>U=691.0,p&lt;0.001,Cliff's</m:t>
        </m:r>
        <m:r>
          <m:rPr/>
          <w:rPr>
            <w:rFonts w:hint="default" w:ascii="Cambria Math" w:hAnsi="Cambria Math"/>
            <w:sz w:val="21"/>
            <w:lang w:val="en-US" w:eastAsia="zh-CN"/>
          </w:rPr>
          <m:t xml:space="preserve"> </m:t>
        </m:r>
        <m:r>
          <m:rPr/>
          <w:rPr>
            <w:rFonts w:hint="default" w:ascii="Cambria Math" w:hAnsi="Cambria Math" w:eastAsiaTheme="minorEastAsia"/>
            <w:sz w:val="21"/>
          </w:rPr>
          <m:t>δ=0.5633</m:t>
        </m:r>
      </m:oMath>
      <w:r>
        <w:rPr>
          <w:rFonts w:hint="eastAsia" w:hAnsi="Cambria Math"/>
          <w:i w:val="0"/>
          <w:sz w:val="21"/>
          <w:lang w:val="en-US" w:eastAsia="zh-CN"/>
        </w:rPr>
        <w:t>;</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T</m:t>
            </m:r>
            <m:ctrlPr>
              <w:rPr>
                <w:rFonts w:ascii="Cambria Math" w:hAnsi="Cambria Math" w:eastAsiaTheme="minorEastAsia"/>
                <w:sz w:val="21"/>
              </w:rPr>
            </m:ctrlPr>
          </m:e>
          <m:sub>
            <m:r>
              <m:rPr/>
              <w:rPr>
                <w:rFonts w:hint="default" w:ascii="Cambria Math" w:hAnsi="Cambria Math" w:eastAsiaTheme="minorEastAsia"/>
                <w:sz w:val="21"/>
              </w:rPr>
              <m:t>taxonomy_fit</m:t>
            </m:r>
            <m:ctrlPr>
              <w:rPr>
                <w:rFonts w:ascii="Cambria Math" w:hAnsi="Cambria Math" w:eastAsiaTheme="minorEastAsia"/>
                <w:sz w:val="21"/>
              </w:rPr>
            </m:ctrlPr>
          </m:sub>
        </m:sSub>
      </m:oMath>
      <w:r>
        <w:rPr>
          <w:rFonts w:hint="eastAsia" w:hAnsi="Cambria Math"/>
          <w:i w:val="0"/>
          <w:sz w:val="21"/>
          <w:lang w:val="en-US" w:eastAsia="zh-CN"/>
        </w:rPr>
        <w:t>:</w:t>
      </w:r>
      <m:oMath>
        <m:r>
          <m:rPr/>
          <w:rPr>
            <w:rFonts w:hint="default" w:ascii="Cambria Math" w:hAnsi="Cambria Math" w:eastAsiaTheme="minorEastAsia"/>
            <w:sz w:val="21"/>
          </w:rPr>
          <m:t>U=702.0,p&lt;0.001,Cliff's</m:t>
        </m:r>
        <m:r>
          <m:rPr/>
          <w:rPr>
            <w:rFonts w:hint="default" w:ascii="Cambria Math" w:hAnsi="Cambria Math"/>
            <w:sz w:val="21"/>
            <w:lang w:val="en-US" w:eastAsia="zh-CN"/>
          </w:rPr>
          <m:t xml:space="preserve"> </m:t>
        </m:r>
        <m:r>
          <m:rPr/>
          <w:rPr>
            <w:rFonts w:hint="default" w:ascii="Cambria Math" w:hAnsi="Cambria Math" w:eastAsiaTheme="minorEastAsia"/>
            <w:sz w:val="21"/>
          </w:rPr>
          <m:t>δ=0.5882</m:t>
        </m:r>
      </m:oMath>
      <w:r>
        <w:rPr>
          <w:rFonts w:hint="eastAsia"/>
          <w:lang w:val="en-US" w:eastAsia="zh-CN"/>
        </w:rPr>
        <w:t>)</w:t>
      </w:r>
      <w:r>
        <w:rPr>
          <w:rFonts w:hint="default"/>
          <w:lang w:val="en-US" w:eastAsia="zh-CN"/>
        </w:rPr>
        <w:t>。由此可见，当前离群判别机制并非只依赖“偏离幅度大”</w:t>
      </w:r>
      <w:r>
        <w:rPr>
          <w:rFonts w:hint="eastAsia"/>
          <w:lang w:val="en-US" w:eastAsia="zh-CN"/>
        </w:rPr>
        <w:t>的单一</w:t>
      </w:r>
      <w:r>
        <w:rPr>
          <w:rFonts w:hint="default"/>
          <w:lang w:val="en-US" w:eastAsia="zh-CN"/>
        </w:rPr>
        <w:t>信号，而是能够结合</w:t>
      </w:r>
      <w:r>
        <w:rPr>
          <w:rFonts w:hint="eastAsia"/>
          <w:lang w:val="en-US" w:eastAsia="zh-CN"/>
        </w:rPr>
        <w:t>文本证据深度（</w:t>
      </w:r>
      <w:r>
        <w:rPr>
          <w:rFonts w:hint="default"/>
          <w:lang w:val="en-US" w:eastAsia="zh-CN"/>
        </w:rPr>
        <w:t>证据具体性、维度匹配度和综合论证质量</w:t>
      </w:r>
      <w:r>
        <w:rPr>
          <w:rFonts w:hint="eastAsia"/>
          <w:lang w:val="en-US" w:eastAsia="zh-CN"/>
        </w:rPr>
        <w:t>）</w:t>
      </w:r>
      <w:r>
        <w:rPr>
          <w:rFonts w:hint="default"/>
          <w:lang w:val="en-US" w:eastAsia="zh-CN"/>
        </w:rPr>
        <w:t>，</w:t>
      </w:r>
      <w:r>
        <w:rPr>
          <w:rFonts w:hint="eastAsia"/>
          <w:lang w:val="en-US" w:eastAsia="zh-CN"/>
        </w:rPr>
        <w:t>实现了</w:t>
      </w:r>
      <w:r>
        <w:rPr>
          <w:rFonts w:hint="default"/>
          <w:lang w:val="en-US" w:eastAsia="zh-CN"/>
        </w:rPr>
        <w:t>高价值异议与低质量偏离</w:t>
      </w:r>
      <w:r>
        <w:rPr>
          <w:rFonts w:hint="eastAsia"/>
          <w:lang w:val="en-US" w:eastAsia="zh-CN"/>
        </w:rPr>
        <w:t>的有效分离</w:t>
      </w:r>
      <w:r>
        <w:rPr>
          <w:rFonts w:hint="default"/>
          <w:lang w:val="en-US" w:eastAsia="zh-CN"/>
        </w:rPr>
        <w:t>。</w:t>
      </w:r>
    </w:p>
    <w:p w14:paraId="0F375632">
      <w:pPr>
        <w:pStyle w:val="5"/>
        <w:bidi w:val="0"/>
        <w:rPr>
          <w:rFonts w:hint="default"/>
          <w:lang w:val="en-US" w:eastAsia="zh-CN"/>
        </w:rPr>
      </w:pPr>
      <w:r>
        <w:rPr>
          <w:rFonts w:hint="default"/>
          <w:lang w:val="en-US" w:eastAsia="zh-CN"/>
        </w:rPr>
        <w:t>6.2.2 Treatment-level performance</w:t>
      </w:r>
    </w:p>
    <w:p w14:paraId="1DC166FD">
      <w:pPr>
        <w:rPr>
          <w:rFonts w:hint="default"/>
          <w:lang w:val="en-US" w:eastAsia="zh-CN"/>
        </w:rPr>
      </w:pPr>
      <w:r>
        <w:rPr>
          <w:rFonts w:hint="default"/>
          <w:lang w:val="en-US" w:eastAsia="zh-CN"/>
        </w:rPr>
        <w:t>在10份共同文档的严格配对比较中，四类方法的文档级Macro-F1均值呈现出一定差异：Equal-Weight Aggregation的平均值最高</w:t>
      </w:r>
      <w:r>
        <w:rPr>
          <w:rFonts w:hint="eastAsia"/>
          <w:lang w:val="en-US" w:eastAsia="zh-CN"/>
        </w:rPr>
        <w:t>(0.1153)</w:t>
      </w:r>
      <w:r>
        <w:rPr>
          <w:rFonts w:hint="default"/>
          <w:lang w:val="en-US" w:eastAsia="zh-CN"/>
        </w:rPr>
        <w:t xml:space="preserve">，其次为 Roundtable </w:t>
      </w:r>
      <w:r>
        <w:rPr>
          <w:rFonts w:hint="eastAsia"/>
          <w:lang w:val="en-US" w:eastAsia="zh-CN"/>
        </w:rPr>
        <w:t>N</w:t>
      </w:r>
      <w:r>
        <w:rPr>
          <w:rFonts w:hint="default"/>
          <w:lang w:val="en-US" w:eastAsia="zh-CN"/>
        </w:rPr>
        <w:t>o Weighting</w:t>
      </w:r>
      <w:r>
        <w:rPr>
          <w:rFonts w:hint="eastAsia"/>
          <w:lang w:val="en-US" w:eastAsia="zh-CN"/>
        </w:rPr>
        <w:t>(0.0968)</w:t>
      </w:r>
      <w:r>
        <w:rPr>
          <w:rFonts w:hint="default"/>
          <w:lang w:val="en-US" w:eastAsia="zh-CN"/>
        </w:rPr>
        <w:t>与 Single-LLM Family Mean</w:t>
      </w:r>
      <w:r>
        <w:rPr>
          <w:rFonts w:hint="eastAsia"/>
          <w:lang w:val="en-US" w:eastAsia="zh-CN"/>
        </w:rPr>
        <w:t>(0.0960)</w:t>
      </w:r>
      <w:r>
        <w:rPr>
          <w:rFonts w:hint="default"/>
          <w:lang w:val="en-US" w:eastAsia="zh-CN"/>
        </w:rPr>
        <w:t>，而Full Method的平均值最低</w:t>
      </w:r>
      <w:r>
        <w:rPr>
          <w:rFonts w:hint="eastAsia"/>
          <w:lang w:val="en-US" w:eastAsia="zh-CN"/>
        </w:rPr>
        <w:t>(0.0711)</w:t>
      </w:r>
      <w:r>
        <w:rPr>
          <w:rFonts w:hint="default"/>
          <w:lang w:val="en-US" w:eastAsia="zh-CN"/>
        </w:rPr>
        <w:t>。然而，Friedman检验未发现四类方法之间存在统计显著的总体差异</w:t>
      </w:r>
      <w:r>
        <w:rPr>
          <w:rFonts w:hint="eastAsia"/>
          <w:lang w:val="en-US" w:eastAsia="zh-CN"/>
        </w:rPr>
        <w:t>(</w:t>
      </w:r>
      <m:oMath>
        <m:sSup>
          <m:sSupPr>
            <m:ctrlPr>
              <w:rPr>
                <w:rFonts w:hint="default" w:ascii="Cambria Math" w:hAnsi="Cambria Math" w:eastAsiaTheme="minorEastAsia"/>
                <w:sz w:val="21"/>
              </w:rPr>
            </m:ctrlPr>
          </m:sSupPr>
          <m:e>
            <m:r>
              <m:rPr/>
              <w:rPr>
                <w:rFonts w:hint="default" w:ascii="Cambria Math" w:hAnsi="Cambria Math" w:eastAsiaTheme="minorEastAsia"/>
                <w:sz w:val="21"/>
              </w:rPr>
              <m:t>χ</m:t>
            </m:r>
            <m:ctrlPr>
              <w:rPr>
                <w:rFonts w:ascii="Cambria Math" w:hAnsi="Cambria Math" w:eastAsiaTheme="minorEastAsia"/>
                <w:sz w:val="21"/>
              </w:rPr>
            </m:ctrlPr>
          </m:e>
          <m:sup>
            <m:r>
              <m:rPr/>
              <w:rPr>
                <w:rFonts w:hint="default" w:ascii="Cambria Math" w:hAnsi="Cambria Math" w:eastAsiaTheme="minorEastAsia"/>
                <w:sz w:val="21"/>
              </w:rPr>
              <m:t>2</m:t>
            </m:r>
            <m:ctrlPr>
              <w:rPr>
                <w:rFonts w:ascii="Cambria Math" w:hAnsi="Cambria Math" w:eastAsiaTheme="minorEastAsia"/>
                <w:sz w:val="21"/>
              </w:rPr>
            </m:ctrlPr>
          </m:sup>
        </m:sSup>
        <m:r>
          <m:rPr/>
          <w:rPr>
            <w:rFonts w:hint="default" w:ascii="Cambria Math" w:hAnsi="Cambria Math" w:eastAsiaTheme="minorEastAsia"/>
            <w:sz w:val="21"/>
          </w:rPr>
          <m:t>=2.0400,p=0.5641,</m:t>
        </m:r>
        <m:r>
          <m:rPr/>
          <w:rPr>
            <w:rFonts w:hint="default" w:ascii="Cambria Math" w:hAnsi="Cambria Math"/>
            <w:sz w:val="21"/>
            <w:lang w:val="en-US" w:eastAsia="zh-CN"/>
          </w:rPr>
          <m:t xml:space="preserve">Kendall's </m:t>
        </m:r>
        <m:r>
          <m:rPr/>
          <w:rPr>
            <w:rFonts w:hint="default" w:ascii="Cambria Math" w:hAnsi="Cambria Math" w:eastAsiaTheme="minorEastAsia"/>
            <w:sz w:val="21"/>
          </w:rPr>
          <m:t>W=0.0680</m:t>
        </m:r>
      </m:oMath>
      <w:r>
        <w:rPr>
          <w:rFonts w:hint="eastAsia" w:hAnsi="Cambria Math"/>
          <w:i w:val="0"/>
          <w:sz w:val="21"/>
          <w:lang w:val="en-US" w:eastAsia="zh-CN"/>
        </w:rPr>
        <w:t>)</w:t>
      </w:r>
      <w:r>
        <w:rPr>
          <w:rFonts w:hint="default"/>
          <w:lang w:val="en-US" w:eastAsia="zh-CN"/>
        </w:rPr>
        <w:t>，表明方法间差异的效应量较小。因此，该结果不能支持某一方法在文档级Macro-F1 上具有稳定优势，只能说明在当前10份共同文档和该评价指标下，不同聚合/共识策略的总体表现差异有限。</w:t>
      </w:r>
    </w:p>
    <w:p w14:paraId="44D4376D">
      <w:pPr>
        <w:rPr>
          <w:rFonts w:hint="default"/>
          <w:lang w:val="en-US" w:eastAsia="zh-CN"/>
        </w:rPr>
      </w:pPr>
      <w:r>
        <w:rPr>
          <w:rFonts w:hint="default"/>
          <w:lang w:val="en-US" w:eastAsia="zh-CN"/>
        </w:rPr>
        <w:t>这一结果提示，本文提出的Full Method并未在文档级Macro-F1上表现出直接优势。</w:t>
      </w:r>
      <w:r>
        <w:rPr>
          <w:rFonts w:hint="eastAsia"/>
          <w:lang w:val="en-US" w:eastAsia="zh-CN"/>
        </w:rPr>
        <w:t>我们认为</w:t>
      </w:r>
      <w:r>
        <w:rPr>
          <w:rFonts w:hint="default"/>
          <w:lang w:val="en-US" w:eastAsia="zh-CN"/>
        </w:rPr>
        <w:t>可能</w:t>
      </w:r>
      <w:r>
        <w:rPr>
          <w:rFonts w:hint="eastAsia"/>
          <w:lang w:val="en-US" w:eastAsia="zh-CN"/>
        </w:rPr>
        <w:t>的</w:t>
      </w:r>
      <w:r>
        <w:rPr>
          <w:rFonts w:hint="default"/>
          <w:lang w:val="en-US" w:eastAsia="zh-CN"/>
        </w:rPr>
        <w:t>原因是，Full Method的设计目标并非最大化平均分数或简单提高标签重合率，而是通过离群识别、模型画像和动态置信度机制生成更可审查的问题清单。若该机制使输出更保守或更选择性，则可能在严格Macro-F1评价下受到惩罚。</w:t>
      </w:r>
    </w:p>
    <w:p w14:paraId="076BFD02">
      <w:pPr>
        <w:rPr>
          <w:rFonts w:hint="default"/>
          <w:lang w:val="en-US" w:eastAsia="zh-CN"/>
        </w:rPr>
      </w:pPr>
      <w:r>
        <w:rPr>
          <w:rFonts w:hint="eastAsia"/>
          <w:lang w:val="en-US" w:eastAsia="zh-CN"/>
        </w:rPr>
        <w:t>而从Precision和Recall的组合来看，Full Method表现出明显的选择性输出倾向。其 Macro-Precision为 0.0901，高于Equal-Weight的0.0771和Single-LLM Family Mean的0.0769，说明在其输出的问题中，与Ground Truth匹配的比例相对更高。然而，其Macro-Recall仅为 0.1354，显著低于 Equal-Weight的0.4077，表明它遗漏了更多Ground Truth中的问题。结合平均预测问题量可以进一步解释这一现象：Full Method平均每份文档仅输出15.9个问题，而Equal-Weight平均输出144.8个问题。因此，Full Method并不是一个高召回的问题发现器，而是一个更精简、相对更高Precision、更选择性的问题清单生成流程。</w:t>
      </w:r>
    </w:p>
    <w:p w14:paraId="1C8CAE05">
      <w:pPr>
        <w:pStyle w:val="5"/>
        <w:bidi w:val="0"/>
        <w:rPr>
          <w:rFonts w:hint="default"/>
          <w:lang w:val="en-US" w:eastAsia="zh-CN"/>
        </w:rPr>
      </w:pPr>
      <w:r>
        <w:rPr>
          <w:rFonts w:hint="default"/>
          <w:lang w:val="en-US" w:eastAsia="zh-CN"/>
        </w:rPr>
        <w:t>6.2.3 Model Profiling and Fixed Weighting (Ablation)</w:t>
      </w:r>
    </w:p>
    <w:p w14:paraId="07D50DC6">
      <w:pPr>
        <w:rPr>
          <w:rFonts w:hint="default"/>
          <w:lang w:val="en-US" w:eastAsia="zh-CN"/>
        </w:rPr>
      </w:pPr>
      <w:r>
        <w:rPr>
          <w:rFonts w:hint="default"/>
          <w:lang w:val="en-US" w:eastAsia="zh-CN"/>
        </w:rPr>
        <w:t>为了探究固定模型权重的实际效用，我们对模型画像进行了分析。5个模型的平均固定权重分别为：DeepSeek (0.3129)、GPT (0.2738)、Kimi (0.2732)、Qwen (0.2598)和GLM-5 (0.1437)。值得注意的是，平均固定权重与单模型的平均Macro-Recall / Macro-F1均呈强负相关（</w:t>
      </w:r>
      <m:oMath>
        <m:r>
          <m:rPr/>
          <w:rPr>
            <w:rFonts w:hint="default" w:ascii="Cambria Math" w:hAnsi="Cambria Math" w:eastAsiaTheme="minorEastAsia"/>
            <w:sz w:val="21"/>
          </w:rPr>
          <m:t>Spearman</m:t>
        </m:r>
        <m:r>
          <m:rPr/>
          <w:rPr>
            <w:rFonts w:hint="default" w:ascii="Cambria Math" w:hAnsi="Cambria Math"/>
            <w:sz w:val="21"/>
            <w:lang w:val="en-US" w:eastAsia="zh-CN"/>
          </w:rPr>
          <m:t xml:space="preserve"> </m:t>
        </m:r>
        <m:r>
          <m:rPr/>
          <w:rPr>
            <w:rFonts w:hint="default" w:ascii="Cambria Math" w:hAnsi="Cambria Math" w:eastAsiaTheme="minorEastAsia"/>
            <w:sz w:val="21"/>
          </w:rPr>
          <m:t>ρ</m:t>
        </m:r>
        <m:r>
          <m:rPr/>
          <w:rPr>
            <w:rFonts w:hint="default" w:ascii="Cambria Math" w:hAnsi="Cambria Math"/>
            <w:sz w:val="21"/>
            <w:lang w:val="en-US" w:eastAsia="zh-CN"/>
          </w:rPr>
          <m:t xml:space="preserve"> </m:t>
        </m:r>
      </m:oMath>
      <w:r>
        <w:rPr>
          <w:rFonts w:hint="default"/>
          <w:lang w:val="en-US" w:eastAsia="zh-CN"/>
        </w:rPr>
        <w:t>分别为</w:t>
      </w:r>
      <w:r>
        <w:rPr>
          <w:rFonts w:hint="eastAsia"/>
          <w:lang w:val="en-US" w:eastAsia="zh-CN"/>
        </w:rPr>
        <w:t>-</w:t>
      </w:r>
      <w:r>
        <w:rPr>
          <w:rFonts w:hint="default"/>
          <w:lang w:val="en-US" w:eastAsia="zh-CN"/>
        </w:rPr>
        <w:t>0.8000和-0.9000）。这印证了本文的假设：</w:t>
      </w:r>
      <w:r>
        <w:rPr>
          <w:rFonts w:hint="default"/>
          <w:b/>
          <w:bCs/>
          <w:lang w:val="en-US" w:eastAsia="zh-CN"/>
        </w:rPr>
        <w:t>固定权重不是模型综合分类能力的静态排序，而是对其在当前文档内捕捉“高价值离群”贡献的动态度量</w:t>
      </w:r>
      <w:r>
        <w:rPr>
          <w:rFonts w:hint="default"/>
          <w:lang w:val="en-US" w:eastAsia="zh-CN"/>
        </w:rPr>
        <w:t>。</w:t>
      </w:r>
    </w:p>
    <w:p w14:paraId="4FB23542">
      <w:pPr>
        <w:rPr>
          <w:rFonts w:hint="eastAsia"/>
          <w:lang w:val="en-US" w:eastAsia="zh-CN"/>
        </w:rPr>
      </w:pPr>
      <w:r>
        <w:rPr>
          <w:rFonts w:hint="eastAsia"/>
          <w:lang w:val="en-US" w:eastAsia="zh-CN"/>
        </w:rPr>
        <w:t>同时，我们设定的`full_method_equal_weights`消融实验（用等权重替换模型画像权重）进一步量化了该模块的贡献。Full Method (0.0711) 与等权重版本(0.0704)的Macro-F1几乎一致（Wilcoxon 配对检验 p=0.7500）。区别仅在于，引入画像权重后，最终预测问题数从17.6 进一步微降至15.9。这提示我们，本文方法的主要可观察效果来自离群感知过滤、问题集合收敛与最终清单压缩的组合，而不是直接提升宏观分类指标。</w:t>
      </w:r>
    </w:p>
    <w:p w14:paraId="5C7F7111">
      <w:pPr>
        <w:pStyle w:val="5"/>
        <w:bidi w:val="0"/>
        <w:rPr>
          <w:rFonts w:hint="default"/>
          <w:lang w:val="en-US" w:eastAsia="zh-CN"/>
        </w:rPr>
      </w:pPr>
      <w:r>
        <w:rPr>
          <w:rFonts w:hint="default"/>
          <w:lang w:val="en-US" w:eastAsia="zh-CN"/>
        </w:rPr>
        <w:t>6.2.4 Roundtable Convergence and Issue-list Compactness</w:t>
      </w:r>
    </w:p>
    <w:p w14:paraId="38669A23">
      <w:pPr>
        <w:rPr>
          <w:rFonts w:hint="default"/>
          <w:lang w:val="en-US" w:eastAsia="zh-CN"/>
        </w:rPr>
      </w:pPr>
      <w:r>
        <w:rPr>
          <w:rFonts w:hint="default"/>
          <w:lang w:val="en-US" w:eastAsia="zh-CN"/>
        </w:rPr>
        <w:t>圆桌共识表现出极强的集合层面收敛性。</w:t>
      </w:r>
      <w:r>
        <w:rPr>
          <w:rFonts w:hint="eastAsia"/>
          <w:lang w:val="en-US" w:eastAsia="zh-CN"/>
        </w:rPr>
        <w:t>我们以Full Method与Roundtable No Weighting作为主要对比单元：10份共同文档中，</w:t>
      </w:r>
      <w:r>
        <w:rPr>
          <w:rFonts w:hint="default"/>
          <w:lang w:val="en-US" w:eastAsia="zh-CN"/>
        </w:rPr>
        <w:t>Full Method的</w:t>
      </w:r>
      <w:r>
        <w:rPr>
          <w:rFonts w:hint="eastAsia"/>
          <w:lang w:val="en-US" w:eastAsia="zh-CN"/>
        </w:rPr>
        <w:t>问题收敛成功率(</w:t>
      </w:r>
      <w:r>
        <w:rPr>
          <w:rFonts w:hint="default"/>
          <w:lang w:val="en-US" w:eastAsia="zh-CN"/>
        </w:rPr>
        <w:t>issue_converged</w:t>
      </w:r>
      <w:r>
        <w:rPr>
          <w:rFonts w:hint="eastAsia"/>
          <w:lang w:val="en-US" w:eastAsia="zh-CN"/>
        </w:rPr>
        <w:t>)</w:t>
      </w:r>
      <w:r>
        <w:rPr>
          <w:rFonts w:hint="default"/>
          <w:lang w:val="en-US" w:eastAsia="zh-CN"/>
        </w:rPr>
        <w:t>比例高达100.00%，最终轮次平均Issue-set Jaccard相似度达0.9838</w:t>
      </w:r>
      <w:r>
        <w:rPr>
          <w:rFonts w:hint="eastAsia"/>
          <w:lang w:val="en-US" w:eastAsia="zh-CN"/>
        </w:rPr>
        <w:t>，平均最终的最大评分分差(max_score_diff)为0.7819。相比之下，Roundtable No Weighting的问题收敛成功率为90.00%，最终轮平均issue-set Jaccard为90.02%，平均最终的最大评分分差为1.1789。</w:t>
      </w:r>
      <w:r>
        <w:rPr>
          <w:rFonts w:hint="default"/>
          <w:lang w:val="en-US" w:eastAsia="zh-CN"/>
        </w:rPr>
        <w:t>而所有方法的评分收敛率均为0.00%，</w:t>
      </w:r>
      <w:r>
        <w:rPr>
          <w:rFonts w:hint="eastAsia"/>
          <w:lang w:val="en-US" w:eastAsia="zh-CN"/>
        </w:rPr>
        <w:t>说明问题集合趋同并不等同于评分完全收敛，而是</w:t>
      </w:r>
      <w:r>
        <w:rPr>
          <w:rFonts w:hint="default"/>
          <w:lang w:val="en-US" w:eastAsia="zh-CN"/>
        </w:rPr>
        <w:t>问题集合的统一先于数值评分的一致。</w:t>
      </w:r>
    </w:p>
    <w:p w14:paraId="033CFC63">
      <w:pPr>
        <w:rPr>
          <w:rFonts w:hint="default"/>
          <w:lang w:val="en-US" w:eastAsia="zh-CN"/>
        </w:rPr>
      </w:pPr>
      <w:r>
        <w:rPr>
          <w:rFonts w:hint="default"/>
          <w:lang w:val="en-US" w:eastAsia="zh-CN"/>
        </w:rPr>
        <w:t>从</w:t>
      </w:r>
      <w:r>
        <w:rPr>
          <w:rFonts w:hint="eastAsia"/>
          <w:lang w:val="en-US" w:eastAsia="zh-CN"/>
        </w:rPr>
        <w:t>问题清单</w:t>
      </w:r>
      <w:r>
        <w:rPr>
          <w:rFonts w:hint="default"/>
          <w:lang w:val="en-US" w:eastAsia="zh-CN"/>
        </w:rPr>
        <w:t>规模看，Full Method</w:t>
      </w:r>
      <w:r>
        <w:rPr>
          <w:rFonts w:hint="eastAsia"/>
          <w:lang w:val="en-US" w:eastAsia="zh-CN"/>
        </w:rPr>
        <w:t>在10份共同文档范围内</w:t>
      </w:r>
      <w:r>
        <w:rPr>
          <w:rFonts w:hint="default"/>
          <w:lang w:val="en-US" w:eastAsia="zh-CN"/>
        </w:rPr>
        <w:t>将611个初始候选问题大幅压缩至159个最终问题，整体保留率仅为26.02%。</w:t>
      </w:r>
      <w:r>
        <w:rPr>
          <w:rFonts w:hint="eastAsia"/>
          <w:lang w:val="en-US" w:eastAsia="zh-CN"/>
        </w:rPr>
        <w:t>在同一口径下，Full Method的平均预测问题数为15.9，Roundtable No Weighting 为 136.7，Equal-Weight Aggregation 为 144.8。该结果表明，outlier-aware consensus workflow能够大幅减少最终输出的问题数量，并形成更稳定的问题集合，</w:t>
      </w:r>
      <w:r>
        <w:rPr>
          <w:rFonts w:hint="default"/>
          <w:lang w:val="en-US" w:eastAsia="zh-CN"/>
        </w:rPr>
        <w:t>这种过滤极大提升了最终输出的紧凑性和工程可操作性。</w:t>
      </w:r>
    </w:p>
    <w:p w14:paraId="75B7F8D5">
      <w:pPr>
        <w:rPr>
          <w:rFonts w:hint="eastAsia"/>
          <w:lang w:val="en-US" w:eastAsia="zh-CN"/>
        </w:rPr>
      </w:pPr>
      <w:r>
        <w:rPr>
          <w:rFonts w:hint="eastAsia"/>
          <w:b/>
          <w:bCs/>
          <w:lang w:val="en-US" w:eastAsia="zh-CN"/>
        </w:rPr>
        <w:t>Result for RQ2:</w:t>
      </w:r>
      <w:r>
        <w:rPr>
          <w:rFonts w:hint="eastAsia"/>
          <w:lang w:val="en-US" w:eastAsia="zh-CN"/>
        </w:rPr>
        <w:t>本文工作流并非在所有传统性能指标上单向超越基线，而是体现为一种清晰的权衡。它能有效识别异议质量，生成集合高度稳定、紧凑且精确率更高的问题清单；但这以牺牲召回率为代价。消融实验证明，画像定权机制的边际效用在于强化候选问题压缩，而非提升 F1 指标。</w:t>
      </w:r>
    </w:p>
    <w:p w14:paraId="71C99B98">
      <w:pPr>
        <w:pStyle w:val="4"/>
        <w:bidi w:val="0"/>
        <w:rPr>
          <w:rFonts w:hint="eastAsia"/>
          <w:lang w:val="en-US" w:eastAsia="zh-CN"/>
        </w:rPr>
      </w:pPr>
      <w:r>
        <w:rPr>
          <w:rFonts w:hint="eastAsia"/>
          <w:lang w:val="en-US" w:eastAsia="zh-CN"/>
        </w:rPr>
        <w:t>6.3 RQ3：How does the workflow vary across documents and quality dimensions?</w:t>
      </w:r>
    </w:p>
    <w:p w14:paraId="469300B3">
      <w:pPr>
        <w:rPr>
          <w:rFonts w:hint="default" w:asciiTheme="minorAscii" w:hAnsiTheme="minorAscii" w:eastAsiaTheme="minorEastAsia"/>
          <w:strike w:val="0"/>
          <w:dstrike w:val="0"/>
          <w:sz w:val="21"/>
          <w:lang w:val="en-US" w:eastAsia="zh-CN"/>
        </w:rPr>
      </w:pPr>
      <w:r>
        <w:rPr>
          <w:rFonts w:hint="default" w:asciiTheme="minorAscii" w:hAnsiTheme="minorAscii" w:eastAsiaTheme="minorEastAsia"/>
          <w:strike w:val="0"/>
          <w:dstrike w:val="0"/>
          <w:sz w:val="21"/>
          <w:lang w:val="en-US" w:eastAsia="zh-CN"/>
        </w:rPr>
        <w:t>实验结果显示，Full Method的表现具有明显的文档异质性与维度倾向。</w:t>
      </w:r>
    </w:p>
    <w:p w14:paraId="225DD2A8">
      <w:pPr>
        <w:rPr>
          <w:rFonts w:hint="eastAsia" w:asciiTheme="minorAscii" w:hAnsiTheme="minorAscii"/>
          <w:strike w:val="0"/>
          <w:dstrike w:val="0"/>
          <w:sz w:val="21"/>
          <w:lang w:val="en-US" w:eastAsia="zh-CN"/>
        </w:rPr>
      </w:pPr>
      <w:r>
        <w:rPr>
          <w:rFonts w:hint="eastAsia" w:asciiTheme="minorAscii" w:hAnsiTheme="minorAscii"/>
          <w:b/>
          <w:bCs/>
          <w:strike w:val="0"/>
          <w:dstrike w:val="0"/>
          <w:sz w:val="21"/>
          <w:lang w:val="en-US" w:eastAsia="zh-CN"/>
        </w:rPr>
        <w:t>文档层面：</w:t>
      </w:r>
      <w:r>
        <w:rPr>
          <w:rFonts w:hint="eastAsia" w:asciiTheme="minorAscii" w:hAnsiTheme="minorAscii"/>
          <w:strike w:val="0"/>
          <w:dstrike w:val="0"/>
          <w:sz w:val="21"/>
          <w:lang w:val="en-US" w:eastAsia="zh-CN"/>
        </w:rPr>
        <w:t>在初始候选问题密集的文档上，该框架带来了可观的F1提升。例如2005 - phin（初始问题200个被压缩至10个），Macro-F1从 0.0859跃升至0.1667；2007 - puget sound 的Macro-F1从0.1498升至0.1867。然而，这些增益主要源于冗余过滤带来的Precision改善，同时不可避免地伴随了Recall的下降。</w:t>
      </w:r>
    </w:p>
    <w:p w14:paraId="07F1F748">
      <w:pPr>
        <w:rPr>
          <w:rFonts w:hint="eastAsia" w:asciiTheme="minorAscii" w:hAnsiTheme="minorAscii"/>
          <w:strike w:val="0"/>
          <w:dstrike w:val="0"/>
          <w:sz w:val="21"/>
          <w:lang w:val="en-US" w:eastAsia="zh-CN"/>
        </w:rPr>
      </w:pPr>
      <w:r>
        <w:rPr>
          <w:rFonts w:hint="eastAsia" w:asciiTheme="minorAscii" w:hAnsiTheme="minorAscii"/>
          <w:b/>
          <w:bCs/>
          <w:strike w:val="0"/>
          <w:dstrike w:val="0"/>
          <w:sz w:val="21"/>
          <w:lang w:val="en-US" w:eastAsia="zh-CN"/>
        </w:rPr>
        <w:t>维度层面：</w:t>
      </w:r>
      <w:r>
        <w:rPr>
          <w:rFonts w:hint="eastAsia" w:asciiTheme="minorAscii" w:hAnsiTheme="minorAscii"/>
          <w:strike w:val="0"/>
          <w:dstrike w:val="0"/>
          <w:sz w:val="21"/>
          <w:lang w:val="en-US" w:eastAsia="zh-CN"/>
        </w:rPr>
        <w:t>以去重后的(item, type)候选计算，初始候选问题清单中U/A/C/V分布较为均衡（占比分别约25%, 26%, 20%, 29%）。但经过全流程后，最终的问题清单中U/A/C/V占比剧变为 1.26%, 39.62%, 0.00%, 59.12%。系统极度倾向于保留可验证性(V)与无歧义性(A)问题。</w:t>
      </w:r>
    </w:p>
    <w:p w14:paraId="15F157E0">
      <w:pPr>
        <w:rPr>
          <w:rFonts w:hint="default" w:asciiTheme="minorAscii" w:hAnsiTheme="minorAscii"/>
          <w:strike w:val="0"/>
          <w:dstrike w:val="0"/>
          <w:sz w:val="21"/>
          <w:lang w:val="en-US" w:eastAsia="zh-CN"/>
        </w:rPr>
      </w:pPr>
      <w:r>
        <w:rPr>
          <w:rFonts w:hint="eastAsia" w:asciiTheme="minorAscii" w:hAnsiTheme="minorAscii"/>
          <w:b/>
          <w:bCs/>
          <w:strike w:val="0"/>
          <w:dstrike w:val="0"/>
          <w:sz w:val="21"/>
          <w:lang w:val="en-US" w:eastAsia="zh-CN"/>
        </w:rPr>
        <w:t>Result for RQ3:</w:t>
      </w:r>
      <w:r>
        <w:rPr>
          <w:rFonts w:hint="eastAsia" w:asciiTheme="minorAscii" w:hAnsiTheme="minorAscii"/>
          <w:strike w:val="0"/>
          <w:dstrike w:val="0"/>
          <w:sz w:val="21"/>
          <w:lang w:val="en-US" w:eastAsia="zh-CN"/>
        </w:rPr>
        <w:t>outlier-aware consensus workflow的表现高度依赖上下文。在候选问题密集的文档中，其精简效应最能转化为精确率增益。同时，最终输出高度聚焦于V和A类缺陷，这反映了模型交互在此类形式化/语义界限明确的任务上更易达成理性共识。</w:t>
      </w:r>
    </w:p>
    <w:p w14:paraId="44A8B661">
      <w:pPr>
        <w:pStyle w:val="4"/>
        <w:bidi w:val="0"/>
        <w:rPr>
          <w:rFonts w:hint="eastAsia"/>
          <w:lang w:val="en-US" w:eastAsia="zh-CN"/>
        </w:rPr>
      </w:pPr>
      <w:r>
        <w:rPr>
          <w:rFonts w:hint="eastAsia"/>
          <w:lang w:val="en-US" w:eastAsia="zh-CN"/>
        </w:rPr>
        <w:t>6.4 Summary of Findings</w:t>
      </w:r>
    </w:p>
    <w:p w14:paraId="4E2045B2">
      <w:pPr>
        <w:rPr>
          <w:rFonts w:hint="default"/>
          <w:lang w:val="en-US" w:eastAsia="zh-CN"/>
        </w:rPr>
      </w:pPr>
      <w:r>
        <w:rPr>
          <w:rFonts w:hint="default"/>
          <w:lang w:val="en-US" w:eastAsia="zh-CN"/>
        </w:rPr>
        <w:t>综合上述实证分析，本文得出以下四个核心结论：</w:t>
      </w:r>
    </w:p>
    <w:p w14:paraId="473A3B56">
      <w:pPr>
        <w:rPr>
          <w:rFonts w:hint="default"/>
          <w:lang w:val="en-US" w:eastAsia="zh-CN"/>
        </w:rPr>
      </w:pPr>
      <w:r>
        <w:rPr>
          <w:rFonts w:hint="eastAsia"/>
          <w:b/>
          <w:bCs/>
          <w:lang w:val="en-US" w:eastAsia="zh-CN"/>
        </w:rPr>
        <w:t>(1)</w:t>
      </w:r>
      <w:r>
        <w:rPr>
          <w:rFonts w:hint="default"/>
          <w:b/>
          <w:bCs/>
          <w:lang w:val="en-US" w:eastAsia="zh-CN"/>
        </w:rPr>
        <w:t>结构性分歧存在：</w:t>
      </w:r>
      <w:r>
        <w:rPr>
          <w:rFonts w:hint="default"/>
          <w:lang w:val="en-US" w:eastAsia="zh-CN"/>
        </w:rPr>
        <w:t>不同LLM在逐条需求质量识别中并非产生随机噪声，而是在V维度上表现出显著的结构性离群集中度。</w:t>
      </w:r>
    </w:p>
    <w:p w14:paraId="7724A9B5">
      <w:pPr>
        <w:rPr>
          <w:rFonts w:hint="default"/>
          <w:lang w:val="en-US" w:eastAsia="zh-CN"/>
        </w:rPr>
      </w:pPr>
      <w:r>
        <w:rPr>
          <w:rFonts w:hint="eastAsia"/>
          <w:b/>
          <w:bCs/>
          <w:lang w:val="en-US" w:eastAsia="zh-CN"/>
        </w:rPr>
        <w:t>(2)</w:t>
      </w:r>
      <w:r>
        <w:rPr>
          <w:rFonts w:hint="default"/>
          <w:b/>
          <w:bCs/>
          <w:lang w:val="en-US" w:eastAsia="zh-CN"/>
        </w:rPr>
        <w:t>权衡型性能图景：</w:t>
      </w:r>
      <w:r>
        <w:rPr>
          <w:rFonts w:hint="default"/>
          <w:lang w:val="en-US" w:eastAsia="zh-CN"/>
        </w:rPr>
        <w:t>outlier-aware consensus workflow能精准分离好坏离群，生成规模紧凑、精确率更高、集合高度稳定的专家级问题清单，但无法在统计上避免明显的召回率折损。</w:t>
      </w:r>
    </w:p>
    <w:p w14:paraId="5643644E">
      <w:pPr>
        <w:rPr>
          <w:rFonts w:hint="default"/>
          <w:lang w:val="en-US" w:eastAsia="zh-CN"/>
        </w:rPr>
      </w:pPr>
      <w:r>
        <w:rPr>
          <w:rFonts w:hint="eastAsia"/>
          <w:b/>
          <w:bCs/>
          <w:lang w:val="en-US" w:eastAsia="zh-CN"/>
        </w:rPr>
        <w:t>(3)</w:t>
      </w:r>
      <w:r>
        <w:rPr>
          <w:rFonts w:hint="default"/>
          <w:b/>
          <w:bCs/>
          <w:lang w:val="en-US" w:eastAsia="zh-CN"/>
        </w:rPr>
        <w:t>定权机制的定界：</w:t>
      </w:r>
      <w:r>
        <w:rPr>
          <w:rFonts w:hint="default"/>
          <w:lang w:val="en-US" w:eastAsia="zh-CN"/>
        </w:rPr>
        <w:t>通过模型画像进行的固定权重分配，其核心功能在于进一步平滑并压缩冗余候选，而非创造显著的Macro-F1增益。</w:t>
      </w:r>
    </w:p>
    <w:p w14:paraId="62EB2502">
      <w:pPr>
        <w:rPr>
          <w:rFonts w:hint="default"/>
          <w:lang w:val="en-US" w:eastAsia="zh-CN"/>
        </w:rPr>
      </w:pPr>
      <w:r>
        <w:rPr>
          <w:rFonts w:hint="eastAsia"/>
          <w:b/>
          <w:bCs/>
          <w:lang w:val="en-US" w:eastAsia="zh-CN"/>
        </w:rPr>
        <w:t>(4)</w:t>
      </w:r>
      <w:r>
        <w:rPr>
          <w:rFonts w:hint="default"/>
          <w:b/>
          <w:bCs/>
          <w:lang w:val="en-US" w:eastAsia="zh-CN"/>
        </w:rPr>
        <w:t>泛化异质性：</w:t>
      </w:r>
      <w:r>
        <w:rPr>
          <w:rFonts w:hint="default"/>
          <w:lang w:val="en-US" w:eastAsia="zh-CN"/>
        </w:rPr>
        <w:t>框架优势主要集中于候选问题密集型文档的去噪，且最终输出强烈偏向可验证性(V)与无歧义性(A)维度。</w:t>
      </w:r>
    </w:p>
    <w:p w14:paraId="1957052B">
      <w:pPr>
        <w:rPr>
          <w:rFonts w:hint="eastAsia"/>
          <w:lang w:val="en-US" w:eastAsia="zh-CN"/>
        </w:rPr>
      </w:pPr>
    </w:p>
    <w:p w14:paraId="2E0BC2C8">
      <w:pPr>
        <w:pStyle w:val="3"/>
        <w:bidi w:val="0"/>
        <w:jc w:val="left"/>
        <w:rPr>
          <w:rFonts w:hint="eastAsia"/>
          <w:lang w:val="en-US" w:eastAsia="zh-CN"/>
        </w:rPr>
      </w:pPr>
      <w:r>
        <w:rPr>
          <w:rFonts w:hint="eastAsia"/>
          <w:lang w:val="en-US" w:eastAsia="zh-CN"/>
        </w:rPr>
        <w:t>7 Validity Threats and Discussion</w:t>
      </w:r>
    </w:p>
    <w:p w14:paraId="0749BD08">
      <w:pPr>
        <w:pStyle w:val="4"/>
        <w:bidi w:val="0"/>
        <w:rPr>
          <w:rFonts w:hint="eastAsia"/>
          <w:lang w:val="en-US" w:eastAsia="zh-CN"/>
        </w:rPr>
      </w:pPr>
      <w:r>
        <w:rPr>
          <w:rFonts w:hint="eastAsia"/>
          <w:lang w:val="en-US" w:eastAsia="zh-CN"/>
        </w:rPr>
        <w:t>7.1 Validity Threats</w:t>
      </w:r>
    </w:p>
    <w:p w14:paraId="5C1612EC">
      <w:pPr>
        <w:pStyle w:val="5"/>
        <w:bidi w:val="0"/>
        <w:rPr>
          <w:rFonts w:hint="eastAsia"/>
          <w:lang w:val="en-US" w:eastAsia="zh-CN"/>
        </w:rPr>
      </w:pPr>
      <w:r>
        <w:rPr>
          <w:rFonts w:hint="eastAsia"/>
          <w:lang w:val="en-US" w:eastAsia="zh-CN"/>
        </w:rPr>
        <w:t>7.1.1 Construct Validity</w:t>
      </w:r>
    </w:p>
    <w:p w14:paraId="2522E725">
      <w:pPr>
        <w:rPr>
          <w:rFonts w:hint="eastAsia"/>
          <w:lang w:val="en-US" w:eastAsia="zh-CN"/>
        </w:rPr>
      </w:pPr>
      <w:r>
        <w:rPr>
          <w:rFonts w:hint="eastAsia"/>
          <w:lang w:val="en-US" w:eastAsia="zh-CN"/>
        </w:rPr>
        <w:t>建构效度主要涉及理论概念与实际度量指标之间的匹配程度。本研究的核心威胁在于论证质量（</w:t>
      </w:r>
      <m:oMath>
        <m:r>
          <m:rPr/>
          <w:rPr>
            <w:rFonts w:hint="default" w:ascii="Cambria Math" w:hAnsi="Cambria Math" w:eastAsiaTheme="minorEastAsia"/>
            <w:sz w:val="21"/>
          </w:rPr>
          <m:t>Q</m:t>
        </m:r>
      </m:oMath>
      <w:r>
        <w:rPr>
          <w:rFonts w:hint="eastAsia"/>
          <w:lang w:val="en-US" w:eastAsia="zh-CN"/>
        </w:rPr>
        <w:t xml:space="preserve">）分数的计算公式、六维特征的定义以及硬性否决（Hard Fail）机制的设定。这些规则与经验阈值（如 </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τ</m:t>
            </m:r>
            <m:ctrlPr>
              <w:rPr>
                <w:rFonts w:ascii="Cambria Math" w:hAnsi="Cambria Math" w:eastAsiaTheme="minorEastAsia"/>
                <w:sz w:val="21"/>
              </w:rPr>
            </m:ctrlPr>
          </m:e>
          <m:sub>
            <m:r>
              <m:rPr/>
              <w:rPr>
                <w:rFonts w:hint="default" w:ascii="Cambria Math" w:hAnsi="Cambria Math" w:eastAsiaTheme="minorEastAsia"/>
                <w:sz w:val="21"/>
              </w:rPr>
              <m:t>good</m:t>
            </m:r>
            <m:ctrlPr>
              <w:rPr>
                <w:rFonts w:ascii="Cambria Math" w:hAnsi="Cambria Math" w:eastAsiaTheme="minorEastAsia"/>
                <w:sz w:val="21"/>
              </w:rPr>
            </m:ctrlPr>
          </m:sub>
        </m:sSub>
        <m:r>
          <m:rPr/>
          <w:rPr>
            <w:rFonts w:hint="default" w:ascii="Cambria Math" w:hAnsi="Cambria Math" w:eastAsiaTheme="minorEastAsia"/>
            <w:sz w:val="21"/>
          </w:rPr>
          <m:t>=0.60,δ=2</m:t>
        </m:r>
      </m:oMath>
      <w:r>
        <w:rPr>
          <w:rFonts w:hint="eastAsia"/>
          <w:lang w:val="en-US" w:eastAsia="zh-CN"/>
        </w:rPr>
        <w:t>）可能存在一定的主观偏置。</w:t>
      </w:r>
    </w:p>
    <w:p w14:paraId="6CEA084D">
      <w:pPr>
        <w:rPr>
          <w:rFonts w:hint="default"/>
          <w:lang w:val="en-US" w:eastAsia="zh-CN"/>
        </w:rPr>
      </w:pPr>
      <w:r>
        <w:rPr>
          <w:rFonts w:hint="eastAsia"/>
          <w:b/>
          <w:bCs/>
          <w:lang w:val="en-US" w:eastAsia="zh-CN"/>
        </w:rPr>
        <w:t>Mitigation:</w:t>
      </w:r>
      <w:r>
        <w:rPr>
          <w:rFonts w:hint="eastAsia"/>
          <w:lang w:val="en-US" w:eastAsia="zh-CN"/>
        </w:rPr>
        <w:t xml:space="preserve">本文的维度定义（U/A/C/V）严格映射自经典的 IEEE 需求规格说明标准与已有的实证软件工程分类法（DIM_MAP）。对于 </w:t>
      </w:r>
      <m:oMath>
        <m:r>
          <m:rPr/>
          <w:rPr>
            <w:rFonts w:hint="default" w:ascii="Cambria Math" w:hAnsi="Cambria Math" w:eastAsiaTheme="minorEastAsia"/>
            <w:sz w:val="21"/>
          </w:rPr>
          <m:t>Q</m:t>
        </m:r>
      </m:oMath>
      <w:r>
        <w:rPr>
          <w:rFonts w:hint="eastAsia"/>
          <w:lang w:val="en-US" w:eastAsia="zh-CN"/>
        </w:rPr>
        <w:t xml:space="preserve"> 分数的量化，我们避免了复杂的非线性赋权，而是采用简单的均匀归一化并辅以底线阻断（Hard Fail），以此剥离过度拟合的风险。同时，实验设计中的消融对比（对比无定权圆桌与本文完整方法）已侧面证明了当前参数设置足以在实际任务中产生显著的区分度。</w:t>
      </w:r>
    </w:p>
    <w:p w14:paraId="55CA664B">
      <w:pPr>
        <w:pStyle w:val="5"/>
        <w:bidi w:val="0"/>
        <w:rPr>
          <w:rFonts w:hint="eastAsia"/>
          <w:lang w:val="en-US" w:eastAsia="zh-CN"/>
        </w:rPr>
      </w:pPr>
      <w:r>
        <w:rPr>
          <w:rFonts w:hint="eastAsia"/>
          <w:lang w:val="en-US" w:eastAsia="zh-CN"/>
        </w:rPr>
        <w:t>7.1.2 Internal Validity</w:t>
      </w:r>
    </w:p>
    <w:p w14:paraId="060A58E5">
      <w:pPr>
        <w:rPr>
          <w:rFonts w:hint="eastAsia"/>
          <w:lang w:val="en-US" w:eastAsia="zh-CN"/>
        </w:rPr>
      </w:pPr>
      <w:r>
        <w:rPr>
          <w:rFonts w:hint="eastAsia"/>
          <w:lang w:val="en-US" w:eastAsia="zh-CN"/>
        </w:rPr>
        <w:t>内部效度关注实验执行中可能干扰因果关系的实现细节。核心威胁来自真实 API 服务的不稳定性。在实验中，限流、超时或非法的 JSON 输出会导致部分模型在特定条目上被跳过。这意味着不同文档或条目上的实际有效模型数（</w:t>
      </w:r>
      <m:oMath>
        <m:r>
          <m:rPr/>
          <w:rPr>
            <w:rFonts w:hint="default" w:ascii="Cambria Math" w:hAnsi="Cambria Math" w:eastAsiaTheme="minorEastAsia"/>
            <w:sz w:val="21"/>
          </w:rPr>
          <m:t>n_raters</m:t>
        </m:r>
      </m:oMath>
      <w:r>
        <w:rPr>
          <w:rFonts w:hint="eastAsia"/>
          <w:lang w:val="en-US" w:eastAsia="zh-CN"/>
        </w:rPr>
        <w:t>）并不完全一致，这可能会对模型间的公平比较以及文档间的横向对比造成干扰。</w:t>
      </w:r>
    </w:p>
    <w:p w14:paraId="78AD0D7B">
      <w:pPr>
        <w:rPr>
          <w:rFonts w:hint="eastAsia"/>
          <w:lang w:val="en-US" w:eastAsia="zh-CN"/>
        </w:rPr>
      </w:pPr>
      <w:r>
        <w:rPr>
          <w:rFonts w:hint="eastAsia"/>
          <w:lang w:val="en-US" w:eastAsia="zh-CN"/>
        </w:rPr>
        <w:t>其次，当前实验参数如离群阈值、好/坏离群阈值、惩罚系数、Top-K 和最大轮次等均基于经验设置。虽然这些参数在所有文档中保持一致，有利于内部一致性，但它们仍然可能影响最终问题清单的规模与结构。特别是当文档本身的缺陷密度和领域差异较大时，同一组固定参数未必总是最优。</w:t>
      </w:r>
    </w:p>
    <w:p w14:paraId="06E01938">
      <w:pPr>
        <w:rPr>
          <w:rFonts w:hint="default"/>
          <w:color w:val="FF0000"/>
          <w:lang w:val="en-US" w:eastAsia="zh-CN"/>
        </w:rPr>
      </w:pPr>
      <w:r>
        <w:rPr>
          <w:rFonts w:hint="default"/>
          <w:b/>
          <w:bCs/>
          <w:lang w:val="en-US" w:eastAsia="zh-CN"/>
        </w:rPr>
        <w:t>Mitigation:</w:t>
      </w:r>
      <w:r>
        <w:rPr>
          <w:rFonts w:hint="eastAsia"/>
          <w:lang w:val="en-US" w:eastAsia="zh-CN"/>
        </w:rPr>
        <w:t>我们将 API 不稳定性显式纳入了系统的稳健性考量，而非视其为必须剔除的噪声。系统部署了重试与case级隔离机制：当某模型彻底失败时，系统仅在该需求条目上禁用该模型，其余模型继续完成圆桌。这种设计真实反映了本文方法在“评审团队部分成员缺席”情况下的鲁棒性。</w:t>
      </w:r>
      <w:r>
        <w:rPr>
          <w:rFonts w:hint="eastAsia"/>
          <w:color w:val="FF0000"/>
          <w:lang w:val="en-US" w:eastAsia="zh-CN"/>
        </w:rPr>
        <w:t>实验结果以文档级 Macro-F1 汇总，有效稀释了单一条目请求丢失带来的随机影响。</w:t>
      </w:r>
    </w:p>
    <w:p w14:paraId="0A239969">
      <w:pPr>
        <w:pStyle w:val="5"/>
        <w:bidi w:val="0"/>
        <w:rPr>
          <w:rFonts w:hint="eastAsia"/>
          <w:lang w:val="en-US" w:eastAsia="zh-CN"/>
        </w:rPr>
      </w:pPr>
      <w:r>
        <w:rPr>
          <w:rFonts w:hint="eastAsia"/>
          <w:lang w:val="en-US" w:eastAsia="zh-CN"/>
        </w:rPr>
        <w:t>7.1.3 External Validity</w:t>
      </w:r>
    </w:p>
    <w:p w14:paraId="2585C9C1">
      <w:pPr>
        <w:rPr>
          <w:rFonts w:hint="eastAsia"/>
          <w:lang w:val="en-US" w:eastAsia="zh-CN"/>
        </w:rPr>
      </w:pPr>
      <w:r>
        <w:rPr>
          <w:rFonts w:hint="eastAsia"/>
          <w:lang w:val="en-US" w:eastAsia="zh-CN"/>
        </w:rPr>
        <w:t>外部效度涉及研究结论向其他场景或未来模型泛化的能力。首先，PURE 数据集虽然真实，但主要代表传统的系统规格说明书（SRS），可能无法直接推演至高度敏捷开发中的用户故事（User Stories）或特定合规领域（如医疗软件）。其次，实验选定的 5 款异构 LLM 具有时效性，随着基础模型能力的快速迭代，当前的离群结构和权重分配分布在未来可能会发生漂移。</w:t>
      </w:r>
    </w:p>
    <w:p w14:paraId="154D00FE">
      <w:pPr>
        <w:rPr>
          <w:rFonts w:hint="default"/>
          <w:lang w:val="en-US" w:eastAsia="zh-CN"/>
        </w:rPr>
      </w:pPr>
      <w:r>
        <w:rPr>
          <w:rFonts w:hint="eastAsia"/>
          <w:b/>
          <w:bCs/>
          <w:lang w:val="en-US" w:eastAsia="zh-CN"/>
        </w:rPr>
        <w:t>Mitigation:</w:t>
      </w:r>
      <w:r>
        <w:rPr>
          <w:rFonts w:hint="eastAsia"/>
          <w:lang w:val="en-US" w:eastAsia="zh-CN"/>
        </w:rPr>
        <w:t>在文档选择上，我们抽取了覆盖不同领域、规模（10至405条）与缺陷密度的样本，以证明该框架不依赖于单一上下文。在模型层面，本研究验证的是“基于价值判别的动态定权与圆桌框架”这一方法论的可行性，而非对当前几款模型的永久性排序。该框架在理论上与底层的具体模型解耦，具备向新一代模型生态无缝迁移的基础潜力。</w:t>
      </w:r>
    </w:p>
    <w:p w14:paraId="31906940">
      <w:pPr>
        <w:pStyle w:val="5"/>
        <w:bidi w:val="0"/>
        <w:rPr>
          <w:rFonts w:hint="eastAsia"/>
          <w:lang w:val="en-US" w:eastAsia="zh-CN"/>
        </w:rPr>
      </w:pPr>
      <w:r>
        <w:rPr>
          <w:rFonts w:hint="eastAsia"/>
          <w:lang w:val="en-US" w:eastAsia="zh-CN"/>
        </w:rPr>
        <w:t>7.1.4 Conclusion Validity</w:t>
      </w:r>
    </w:p>
    <w:p w14:paraId="12A7CFB9">
      <w:pPr>
        <w:rPr>
          <w:rFonts w:hint="default"/>
          <w:lang w:val="en-US" w:eastAsia="zh-CN"/>
        </w:rPr>
      </w:pPr>
      <w:r>
        <w:rPr>
          <w:rFonts w:hint="default"/>
          <w:lang w:val="en-US" w:eastAsia="zh-CN"/>
        </w:rPr>
        <w:t>结论效度关注统计分析是否足以支撑研究推论。主要威胁在于文档间异质性（如规模、缺陷密度差异极大）带来的统计偏差。若直接将所有需求条目混合计算 p 值，极易引发辛普森悖论（Simpson's Paradox）。</w:t>
      </w:r>
    </w:p>
    <w:p w14:paraId="11C301C5">
      <w:pPr>
        <w:rPr>
          <w:rFonts w:hint="eastAsia"/>
          <w:lang w:val="en-US" w:eastAsia="zh-CN"/>
        </w:rPr>
      </w:pPr>
      <w:r>
        <w:rPr>
          <w:rFonts w:hint="eastAsia"/>
          <w:b/>
          <w:bCs/>
          <w:lang w:val="en-US" w:eastAsia="zh-CN"/>
        </w:rPr>
        <w:t>Mitigation:</w:t>
      </w:r>
      <w:r>
        <w:rPr>
          <w:rFonts w:hint="eastAsia"/>
          <w:lang w:val="en-US" w:eastAsia="zh-CN"/>
        </w:rPr>
        <w:t>在统计设计上，我们严格采用“Document”作为配对比较的 Block 单元，使用了鲁棒的非参数统计方法（如 Friedman 检验与配对 Wilcoxon 符号秩检验）并强制报告非参数效应量（Cliff's Delta），以规避分布异质性带来的误判。</w:t>
      </w:r>
    </w:p>
    <w:p w14:paraId="31B1C868">
      <w:pPr>
        <w:pStyle w:val="4"/>
        <w:bidi w:val="0"/>
        <w:rPr>
          <w:rFonts w:hint="eastAsia"/>
          <w:lang w:val="en-US" w:eastAsia="zh-CN"/>
        </w:rPr>
      </w:pPr>
      <w:r>
        <w:rPr>
          <w:rFonts w:hint="eastAsia"/>
          <w:lang w:val="en-US" w:eastAsia="zh-CN"/>
        </w:rPr>
        <w:t>7.2 Discussion</w:t>
      </w:r>
    </w:p>
    <w:p w14:paraId="2EE767F4">
      <w:pPr>
        <w:rPr>
          <w:rFonts w:hint="default"/>
          <w:lang w:val="en-US" w:eastAsia="zh-CN"/>
        </w:rPr>
      </w:pPr>
      <w:r>
        <w:rPr>
          <w:rFonts w:hint="default"/>
          <w:lang w:val="en-US" w:eastAsia="zh-CN"/>
        </w:rPr>
        <w:t>综合上述结果与威胁分析，本文当前最重要的启示有三点。第一，在多 LLM 需求审查中，“少数派意见”不是应被直接抹平的噪声，而是应被进一步审查的潜在信息源；关键不在于是否偏离共识，而在于偏离是否具备高质量证据与可执行改写。第二，模型定权不应被理解为对模型能力的静态排序，而应被理解为一种文档内、任务内的证据驱动型信任分配机制。第三，圆桌共识的主要价值不是让模型的数值评分完全一致，而是帮助系统在有限轮次内稳定形成更紧凑、更可操作的问题集合。总体上，当前结果支持本文方法作为一种“从分歧到共识”的需求质量审查框架具有可行性；而上述有效性威胁则提醒我们，应将其视为一个具备明确工程价值和研究潜力、但仍需在更大规模对照实验中进一步验证的方法体系。</w:t>
      </w:r>
    </w:p>
    <w:p w14:paraId="47C45AB9">
      <w:pPr>
        <w:pStyle w:val="3"/>
        <w:bidi w:val="0"/>
        <w:rPr>
          <w:rFonts w:hint="eastAsia"/>
          <w:lang w:val="en-US" w:eastAsia="zh-CN"/>
        </w:rPr>
      </w:pPr>
      <w:r>
        <w:rPr>
          <w:rFonts w:hint="eastAsia"/>
          <w:lang w:val="en-US" w:eastAsia="zh-CN"/>
        </w:rPr>
        <w:t>8 Conclusion</w:t>
      </w:r>
    </w:p>
    <w:p w14:paraId="001A7253">
      <w:pPr>
        <w:rPr>
          <w:rFonts w:hint="eastAsia"/>
          <w:lang w:val="en-US" w:eastAsia="zh-CN"/>
        </w:rPr>
      </w:pPr>
      <w:r>
        <w:rPr>
          <w:rFonts w:hint="eastAsia"/>
          <w:lang w:val="en-US" w:eastAsia="zh-CN"/>
        </w:rPr>
        <w:t>多大语言模型（LLM）在软件工程任务中的集成应用，长期受制于“趋同即正确”的多数表决假设，导致高价值的少数派意见极易被群体的平滑效应所抹杀。针对这一“共识谬误”，本研究构建了一种面向逐条需求（per-requirement）质量评估的异构多模型圆桌共识框架。通过引入基于文本论证深度的离群判别机制，本框架建立了一套将模型间的“结构化分歧”转化为全局信任权重的量化方法，并在多轮交互中融合该静态权重与动态置信度，驱动评审团队达成理性共识。</w:t>
      </w:r>
    </w:p>
    <w:p w14:paraId="6A8D1580">
      <w:pPr>
        <w:rPr>
          <w:rFonts w:hint="eastAsia"/>
          <w:lang w:val="en-US" w:eastAsia="zh-CN"/>
        </w:rPr>
      </w:pPr>
      <w:r>
        <w:rPr>
          <w:rFonts w:hint="eastAsia"/>
          <w:lang w:val="en-US" w:eastAsia="zh-CN"/>
        </w:rPr>
        <w:t>实证结果确立了需求质量自动化审查领域的一个关键认知转移：在复杂的工程推演任务中，评分分歧本身即是极具鉴别力的度量信号。本研究证明，依靠证据充分性与改写可执行性等特征构成的论证质量向量，系统能够有效穿透数值层面的偏差，精准阻断缺乏依据的幻觉（坏离群），同时系统性地放大具备深层逻辑发现能力的少数派意见（好离群）。相较于传统的等权集成方法，基于离群历史画像的定权与圆桌机制能够在有限轮次内实现缺陷集合的快速收敛，不仅剔除了低质量误判，同时显著提升了最终需求优化建议的专家可接受度与工程可用性。</w:t>
      </w:r>
    </w:p>
    <w:p w14:paraId="4D86A55A">
      <w:pPr>
        <w:rPr>
          <w:rFonts w:hint="eastAsia"/>
          <w:lang w:val="en-US" w:eastAsia="zh-CN"/>
        </w:rPr>
      </w:pPr>
      <w:r>
        <w:rPr>
          <w:rFonts w:hint="eastAsia"/>
          <w:lang w:val="en-US" w:eastAsia="zh-CN"/>
        </w:rPr>
        <w:t>基于当前发现，未来的实证工作可沿三个核心方向展开。首先，本文的分析范围目前聚焦于传统需求规格说明书（SRS）的四维基础属性（U/A/C/V），后续研究可将该多代理审查框架推广至具有更高上下文依赖性的敏捷User Stories乃至系统架构设计文档。其次，可在论证质量向量中显式引入跨条目一致性检验与外部领域知识约束，以进一步增强系统对隐蔽正确性缺陷的捕获边界。最后，随着基础模型生态的演进，探索在极端异质化或端侧部署环境下，如何通过更细粒度的本地容错与模型替补策略提升该共识框架的系统级鲁棒性，将是迈向工业级自动化质量保证流水线的重要途径。</w:t>
      </w:r>
    </w:p>
    <w:p w14:paraId="55836206">
      <w:pPr>
        <w:pStyle w:val="3"/>
        <w:bidi w:val="0"/>
        <w:jc w:val="left"/>
        <w:rPr>
          <w:rFonts w:hint="eastAsia"/>
          <w:lang w:val="en-US" w:eastAsia="zh-CN"/>
        </w:rPr>
      </w:pPr>
      <w:r>
        <w:rPr>
          <w:rFonts w:hint="eastAsia"/>
          <w:lang w:val="en-US" w:eastAsia="zh-CN"/>
        </w:rPr>
        <w:t>9 Reference</w:t>
      </w:r>
    </w:p>
    <w:p w14:paraId="4DF71397">
      <w:pPr>
        <w:numPr>
          <w:ilvl w:val="0"/>
          <w:numId w:val="6"/>
        </w:numPr>
        <w:ind w:left="0" w:leftChars="0" w:firstLine="0" w:firstLineChars="0"/>
        <w:rPr>
          <w:rFonts w:hint="default"/>
          <w:lang w:val="en-US" w:eastAsia="zh-CN"/>
        </w:rPr>
      </w:pPr>
      <w:bookmarkStart w:id="0" w:name="_Ref25466"/>
      <w:r>
        <w:rPr>
          <w:rFonts w:hint="default"/>
          <w:lang w:val="en-US" w:eastAsia="zh-CN"/>
        </w:rPr>
        <w:t>Requirements Engineering Artifact Quality: Definition and Control</w:t>
      </w:r>
      <w:bookmarkEnd w:id="0"/>
    </w:p>
    <w:p w14:paraId="26163947">
      <w:pPr>
        <w:numPr>
          <w:ilvl w:val="0"/>
          <w:numId w:val="6"/>
        </w:numPr>
        <w:ind w:left="0" w:leftChars="0" w:firstLine="0" w:firstLineChars="0"/>
        <w:rPr>
          <w:rFonts w:hint="default"/>
          <w:lang w:val="en-US" w:eastAsia="zh-CN"/>
        </w:rPr>
      </w:pPr>
      <w:bookmarkStart w:id="1" w:name="_Ref8"/>
      <w:r>
        <w:rPr>
          <w:rFonts w:hint="default"/>
          <w:lang w:val="en-US" w:eastAsia="zh-CN"/>
        </w:rPr>
        <w:t>Empirical research on requirements quality: a systematic mapping study</w:t>
      </w:r>
      <w:bookmarkEnd w:id="1"/>
    </w:p>
    <w:p w14:paraId="4700C78C">
      <w:pPr>
        <w:numPr>
          <w:ilvl w:val="0"/>
          <w:numId w:val="6"/>
        </w:numPr>
        <w:ind w:left="0" w:leftChars="0" w:firstLine="0" w:firstLineChars="0"/>
        <w:rPr>
          <w:rFonts w:hint="default"/>
          <w:lang w:val="en-US" w:eastAsia="zh-CN"/>
        </w:rPr>
      </w:pPr>
      <w:bookmarkStart w:id="2" w:name="_Ref83"/>
      <w:r>
        <w:rPr>
          <w:rFonts w:hint="default"/>
          <w:lang w:val="en-US" w:eastAsia="zh-CN"/>
        </w:rPr>
        <w:t>Requirements quality research: a harmonized theory, evaluation, and roadmap</w:t>
      </w:r>
      <w:bookmarkEnd w:id="2"/>
    </w:p>
    <w:p w14:paraId="6CFC39E3">
      <w:pPr>
        <w:numPr>
          <w:ilvl w:val="0"/>
          <w:numId w:val="6"/>
        </w:numPr>
        <w:ind w:left="0" w:leftChars="0" w:firstLine="0" w:firstLineChars="0"/>
        <w:rPr>
          <w:rFonts w:hint="default"/>
          <w:lang w:val="en-US" w:eastAsia="zh-CN"/>
        </w:rPr>
      </w:pPr>
      <w:bookmarkStart w:id="3" w:name="_Ref106"/>
      <w:r>
        <w:rPr>
          <w:rFonts w:hint="default"/>
          <w:lang w:val="en-US" w:eastAsia="zh-CN"/>
        </w:rPr>
        <w:t>Requirements Quality Is Quality in Use</w:t>
      </w:r>
      <w:bookmarkEnd w:id="3"/>
    </w:p>
    <w:p w14:paraId="3FF51618">
      <w:pPr>
        <w:numPr>
          <w:ilvl w:val="0"/>
          <w:numId w:val="6"/>
        </w:numPr>
        <w:ind w:left="0" w:leftChars="0" w:firstLine="0" w:firstLineChars="0"/>
        <w:rPr>
          <w:rFonts w:hint="default"/>
          <w:lang w:val="en-US" w:eastAsia="zh-CN"/>
        </w:rPr>
      </w:pPr>
      <w:bookmarkStart w:id="4" w:name="_Ref4198"/>
      <w:r>
        <w:rPr>
          <w:rFonts w:hint="default"/>
          <w:lang w:val="en-US" w:eastAsia="zh-CN"/>
        </w:rPr>
        <w:t>Rapid Quality Assurance with Requirements Smells</w:t>
      </w:r>
      <w:bookmarkEnd w:id="4"/>
    </w:p>
    <w:p w14:paraId="6C9D8FAD">
      <w:pPr>
        <w:numPr>
          <w:ilvl w:val="0"/>
          <w:numId w:val="6"/>
        </w:numPr>
        <w:ind w:left="0" w:leftChars="0" w:firstLine="0" w:firstLineChars="0"/>
        <w:rPr>
          <w:rFonts w:hint="default"/>
          <w:lang w:val="en-US" w:eastAsia="zh-CN"/>
        </w:rPr>
      </w:pPr>
      <w:bookmarkStart w:id="5" w:name="_Ref4218"/>
      <w:r>
        <w:rPr>
          <w:rFonts w:hint="default"/>
          <w:lang w:val="en-US" w:eastAsia="zh-CN"/>
        </w:rPr>
        <w:t>Improving agile requirements: the Quality User Story framework</w:t>
      </w:r>
      <w:r>
        <w:rPr>
          <w:rFonts w:hint="eastAsia"/>
          <w:lang w:val="en-US" w:eastAsia="zh-CN"/>
        </w:rPr>
        <w:t xml:space="preserve"> </w:t>
      </w:r>
      <w:r>
        <w:rPr>
          <w:rFonts w:hint="default"/>
          <w:lang w:val="en-US" w:eastAsia="zh-CN"/>
        </w:rPr>
        <w:t>and tool</w:t>
      </w:r>
      <w:bookmarkEnd w:id="5"/>
    </w:p>
    <w:p w14:paraId="6E6F415D">
      <w:pPr>
        <w:numPr>
          <w:ilvl w:val="0"/>
          <w:numId w:val="6"/>
        </w:numPr>
        <w:ind w:left="0" w:leftChars="0" w:firstLine="0" w:firstLineChars="0"/>
        <w:rPr>
          <w:rFonts w:hint="default"/>
          <w:lang w:val="en-US" w:eastAsia="zh-CN"/>
        </w:rPr>
      </w:pPr>
      <w:bookmarkStart w:id="6" w:name="_Ref4237"/>
      <w:r>
        <w:rPr>
          <w:rFonts w:hint="default"/>
          <w:lang w:val="en-US" w:eastAsia="zh-CN"/>
        </w:rPr>
        <w:t>Improving Requirements Quality using Essential Use Case Interaction Patterns</w:t>
      </w:r>
      <w:bookmarkEnd w:id="6"/>
    </w:p>
    <w:p w14:paraId="5B16F0C0">
      <w:pPr>
        <w:numPr>
          <w:ilvl w:val="0"/>
          <w:numId w:val="6"/>
        </w:numPr>
        <w:ind w:left="0" w:leftChars="0" w:firstLine="0" w:firstLineChars="0"/>
        <w:rPr>
          <w:rFonts w:hint="default"/>
          <w:lang w:val="en-US" w:eastAsia="zh-CN"/>
        </w:rPr>
      </w:pPr>
      <w:bookmarkStart w:id="7" w:name="_Ref4240"/>
      <w:r>
        <w:rPr>
          <w:rFonts w:hint="default"/>
          <w:lang w:val="en-US" w:eastAsia="zh-CN"/>
        </w:rPr>
        <w:t xml:space="preserve">Poster: Analysis of Requirements </w:t>
      </w:r>
      <w:r>
        <w:rPr>
          <w:rFonts w:hint="eastAsia"/>
          <w:lang w:val="en-US" w:eastAsia="zh-CN"/>
        </w:rPr>
        <w:t>Qu</w:t>
      </w:r>
      <w:r>
        <w:rPr>
          <w:rFonts w:hint="default"/>
          <w:lang w:val="en-US" w:eastAsia="zh-CN"/>
        </w:rPr>
        <w:t>ality Evolution</w:t>
      </w:r>
      <w:bookmarkEnd w:id="7"/>
    </w:p>
    <w:p w14:paraId="71BF65DB">
      <w:pPr>
        <w:numPr>
          <w:ilvl w:val="0"/>
          <w:numId w:val="6"/>
        </w:numPr>
        <w:ind w:left="0" w:leftChars="0" w:firstLine="0" w:firstLineChars="0"/>
        <w:rPr>
          <w:rFonts w:hint="default"/>
          <w:lang w:val="en-US" w:eastAsia="zh-CN"/>
        </w:rPr>
      </w:pPr>
      <w:bookmarkStart w:id="8" w:name="_Ref6719"/>
      <w:r>
        <w:rPr>
          <w:rFonts w:hint="default"/>
          <w:lang w:val="en-US" w:eastAsia="zh-CN"/>
        </w:rPr>
        <w:t>PURE: a Dataset of Public</w:t>
      </w:r>
      <w:r>
        <w:rPr>
          <w:rFonts w:hint="eastAsia"/>
          <w:lang w:val="en-US" w:eastAsia="zh-CN"/>
        </w:rPr>
        <w:t xml:space="preserve"> </w:t>
      </w:r>
      <w:r>
        <w:rPr>
          <w:rFonts w:hint="default"/>
          <w:lang w:val="en-US" w:eastAsia="zh-CN"/>
        </w:rPr>
        <w:t>Requirements Documents</w:t>
      </w:r>
      <w:bookmarkEnd w:id="8"/>
    </w:p>
    <w:p w14:paraId="73BDEBFB">
      <w:pPr>
        <w:numPr>
          <w:ilvl w:val="0"/>
          <w:numId w:val="6"/>
        </w:numPr>
        <w:ind w:left="0" w:leftChars="0" w:firstLine="0" w:firstLineChars="0"/>
        <w:rPr>
          <w:rFonts w:hint="default"/>
          <w:lang w:val="en-US" w:eastAsia="zh-CN"/>
        </w:rPr>
      </w:pPr>
      <w:bookmarkStart w:id="9" w:name="_Ref6739"/>
      <w:r>
        <w:rPr>
          <w:rFonts w:hint="default"/>
          <w:lang w:val="en-US" w:eastAsia="zh-CN"/>
        </w:rPr>
        <w:t>Using LLMs in Software Requirements</w:t>
      </w:r>
      <w:r>
        <w:rPr>
          <w:rFonts w:hint="eastAsia"/>
          <w:lang w:val="en-US" w:eastAsia="zh-CN"/>
        </w:rPr>
        <w:t xml:space="preserve"> </w:t>
      </w:r>
      <w:r>
        <w:rPr>
          <w:rFonts w:hint="default"/>
          <w:lang w:val="en-US" w:eastAsia="zh-CN"/>
        </w:rPr>
        <w:t>Specifications: An Empirical Evaluation</w:t>
      </w:r>
      <w:bookmarkEnd w:id="9"/>
    </w:p>
    <w:p w14:paraId="375C4BEC">
      <w:pPr>
        <w:numPr>
          <w:ilvl w:val="0"/>
          <w:numId w:val="6"/>
        </w:numPr>
        <w:ind w:left="0" w:leftChars="0" w:firstLine="0" w:firstLineChars="0"/>
        <w:rPr>
          <w:rFonts w:hint="default"/>
          <w:lang w:val="en-US" w:eastAsia="zh-CN"/>
        </w:rPr>
      </w:pPr>
      <w:bookmarkStart w:id="10" w:name="_Ref7326"/>
      <w:r>
        <w:rPr>
          <w:rFonts w:hint="default"/>
          <w:lang w:val="en-US" w:eastAsia="zh-CN"/>
        </w:rPr>
        <w:t>Large Language Models (LLMs)</w:t>
      </w:r>
      <w:r>
        <w:rPr>
          <w:rFonts w:hint="eastAsia"/>
          <w:lang w:val="en-US" w:eastAsia="zh-CN"/>
        </w:rPr>
        <w:t xml:space="preserve"> </w:t>
      </w:r>
      <w:r>
        <w:rPr>
          <w:rFonts w:hint="default"/>
          <w:lang w:val="en-US" w:eastAsia="zh-CN"/>
        </w:rPr>
        <w:t>for Requirements Engineering (RE):</w:t>
      </w:r>
      <w:r>
        <w:rPr>
          <w:rFonts w:hint="eastAsia"/>
          <w:lang w:val="en-US" w:eastAsia="zh-CN"/>
        </w:rPr>
        <w:t xml:space="preserve"> </w:t>
      </w:r>
      <w:r>
        <w:rPr>
          <w:rFonts w:hint="default"/>
          <w:lang w:val="en-US" w:eastAsia="zh-CN"/>
        </w:rPr>
        <w:t>A Systematic Literature Review</w:t>
      </w:r>
      <w:bookmarkEnd w:id="10"/>
    </w:p>
    <w:p w14:paraId="45B1B0B5">
      <w:pPr>
        <w:numPr>
          <w:ilvl w:val="0"/>
          <w:numId w:val="6"/>
        </w:numPr>
        <w:ind w:left="0" w:leftChars="0" w:firstLine="0" w:firstLineChars="0"/>
        <w:rPr>
          <w:rFonts w:hint="default"/>
          <w:lang w:val="en-US" w:eastAsia="zh-CN"/>
        </w:rPr>
      </w:pPr>
      <w:bookmarkStart w:id="11" w:name="_Ref8123"/>
      <w:r>
        <w:rPr>
          <w:rFonts w:hint="default"/>
          <w:lang w:val="en-US" w:eastAsia="zh-CN"/>
        </w:rPr>
        <w:t>Multi-Agent Debate Strategies to Enhance</w:t>
      </w:r>
      <w:r>
        <w:rPr>
          <w:rFonts w:hint="eastAsia"/>
          <w:lang w:val="en-US" w:eastAsia="zh-CN"/>
        </w:rPr>
        <w:t xml:space="preserve"> </w:t>
      </w:r>
      <w:r>
        <w:rPr>
          <w:rFonts w:hint="default"/>
          <w:lang w:val="en-US" w:eastAsia="zh-CN"/>
        </w:rPr>
        <w:t>Requirements Engineering with Large Language</w:t>
      </w:r>
      <w:r>
        <w:rPr>
          <w:rFonts w:hint="eastAsia"/>
          <w:lang w:val="en-US" w:eastAsia="zh-CN"/>
        </w:rPr>
        <w:t xml:space="preserve"> </w:t>
      </w:r>
      <w:r>
        <w:rPr>
          <w:rFonts w:hint="default"/>
          <w:lang w:val="en-US" w:eastAsia="zh-CN"/>
        </w:rPr>
        <w:t>Models</w:t>
      </w:r>
      <w:bookmarkEnd w:id="11"/>
    </w:p>
    <w:p w14:paraId="53E95578">
      <w:pPr>
        <w:numPr>
          <w:ilvl w:val="0"/>
          <w:numId w:val="6"/>
        </w:numPr>
        <w:ind w:left="0" w:leftChars="0" w:firstLine="0" w:firstLineChars="0"/>
        <w:rPr>
          <w:rFonts w:hint="default"/>
          <w:lang w:val="en-US" w:eastAsia="zh-CN"/>
        </w:rPr>
      </w:pPr>
      <w:bookmarkStart w:id="12" w:name="_Ref8740"/>
      <w:r>
        <w:rPr>
          <w:rFonts w:hint="default"/>
          <w:lang w:val="en-US" w:eastAsia="zh-CN"/>
        </w:rPr>
        <w:t>Can LLMs Replace Human Evaluators? An Empirical Study of</w:t>
      </w:r>
      <w:r>
        <w:rPr>
          <w:rFonts w:hint="eastAsia"/>
          <w:lang w:val="en-US" w:eastAsia="zh-CN"/>
        </w:rPr>
        <w:t xml:space="preserve"> </w:t>
      </w:r>
      <w:r>
        <w:rPr>
          <w:rFonts w:hint="default"/>
          <w:lang w:val="en-US" w:eastAsia="zh-CN"/>
        </w:rPr>
        <w:t>LLM-as-a-Judge in Software Engineering</w:t>
      </w:r>
      <w:bookmarkEnd w:id="12"/>
    </w:p>
    <w:p w14:paraId="10EF9A6B">
      <w:pPr>
        <w:numPr>
          <w:ilvl w:val="0"/>
          <w:numId w:val="6"/>
        </w:numPr>
        <w:ind w:left="0" w:leftChars="0" w:firstLine="0" w:firstLineChars="0"/>
        <w:rPr>
          <w:rFonts w:hint="default"/>
          <w:lang w:val="en-US" w:eastAsia="zh-CN"/>
        </w:rPr>
      </w:pPr>
      <w:bookmarkStart w:id="13" w:name="_Ref8747"/>
      <w:r>
        <w:rPr>
          <w:rFonts w:hint="default"/>
          <w:lang w:val="en-US" w:eastAsia="zh-CN"/>
        </w:rPr>
        <w:t>Are Large Language Models Reliable Judges?</w:t>
      </w:r>
      <w:r>
        <w:rPr>
          <w:rFonts w:hint="eastAsia"/>
          <w:lang w:val="en-US" w:eastAsia="zh-CN"/>
        </w:rPr>
        <w:t xml:space="preserve"> </w:t>
      </w:r>
      <w:r>
        <w:rPr>
          <w:rFonts w:hint="default"/>
          <w:lang w:val="en-US" w:eastAsia="zh-CN"/>
        </w:rPr>
        <w:t>A Study on the Factuality Evaluation Capabilities of LLMs</w:t>
      </w:r>
      <w:bookmarkEnd w:id="13"/>
    </w:p>
    <w:p w14:paraId="0B30E6D9">
      <w:pPr>
        <w:numPr>
          <w:ilvl w:val="0"/>
          <w:numId w:val="6"/>
        </w:numPr>
        <w:ind w:left="0" w:leftChars="0" w:firstLine="0" w:firstLineChars="0"/>
        <w:rPr>
          <w:rFonts w:hint="default"/>
          <w:lang w:val="en-US" w:eastAsia="zh-CN"/>
        </w:rPr>
      </w:pPr>
      <w:bookmarkStart w:id="14" w:name="_Ref3049"/>
      <w:r>
        <w:rPr>
          <w:rFonts w:hint="default"/>
          <w:lang w:val="en-US" w:eastAsia="zh-CN"/>
        </w:rPr>
        <w:t>Improving Factuality and Reasoning in Language</w:t>
      </w:r>
      <w:r>
        <w:rPr>
          <w:rFonts w:hint="eastAsia"/>
          <w:lang w:val="en-US" w:eastAsia="zh-CN"/>
        </w:rPr>
        <w:t xml:space="preserve"> </w:t>
      </w:r>
      <w:r>
        <w:rPr>
          <w:rFonts w:hint="default"/>
          <w:lang w:val="en-US" w:eastAsia="zh-CN"/>
        </w:rPr>
        <w:t>Models through Multiagent Debate</w:t>
      </w:r>
      <w:bookmarkEnd w:id="14"/>
    </w:p>
    <w:p w14:paraId="04E5706A">
      <w:pPr>
        <w:numPr>
          <w:ilvl w:val="0"/>
          <w:numId w:val="6"/>
        </w:numPr>
        <w:ind w:left="0" w:leftChars="0" w:firstLine="0" w:firstLineChars="0"/>
        <w:rPr>
          <w:rFonts w:hint="default"/>
          <w:lang w:val="en-US" w:eastAsia="zh-CN"/>
        </w:rPr>
      </w:pPr>
      <w:bookmarkStart w:id="15" w:name="_Ref3052"/>
      <w:r>
        <w:rPr>
          <w:rFonts w:hint="default"/>
          <w:lang w:val="en-US" w:eastAsia="zh-CN"/>
        </w:rPr>
        <w:t>Encouraging Divergent Thinking in Large Language Models</w:t>
      </w:r>
      <w:r>
        <w:rPr>
          <w:rFonts w:hint="eastAsia"/>
          <w:lang w:val="en-US" w:eastAsia="zh-CN"/>
        </w:rPr>
        <w:t xml:space="preserve"> </w:t>
      </w:r>
      <w:r>
        <w:rPr>
          <w:rFonts w:hint="default"/>
          <w:lang w:val="en-US" w:eastAsia="zh-CN"/>
        </w:rPr>
        <w:t>through Multi-Agent Debate</w:t>
      </w:r>
      <w:bookmarkEnd w:id="15"/>
    </w:p>
    <w:p w14:paraId="69D09B2B">
      <w:pPr>
        <w:numPr>
          <w:ilvl w:val="0"/>
          <w:numId w:val="6"/>
        </w:numPr>
        <w:ind w:left="0" w:leftChars="0" w:firstLine="0" w:firstLineChars="0"/>
        <w:rPr>
          <w:rFonts w:hint="default"/>
          <w:lang w:val="en-US" w:eastAsia="zh-CN"/>
        </w:rPr>
      </w:pPr>
      <w:bookmarkStart w:id="16" w:name="_Ref3059"/>
      <w:r>
        <w:rPr>
          <w:rFonts w:hint="default"/>
          <w:lang w:val="en-US" w:eastAsia="zh-CN"/>
        </w:rPr>
        <w:t>METAGPT: META PROGRAMMING FOR A</w:t>
      </w:r>
      <w:r>
        <w:rPr>
          <w:rFonts w:hint="eastAsia"/>
          <w:lang w:val="en-US" w:eastAsia="zh-CN"/>
        </w:rPr>
        <w:t xml:space="preserve"> </w:t>
      </w:r>
      <w:r>
        <w:rPr>
          <w:rFonts w:hint="default"/>
          <w:lang w:val="en-US" w:eastAsia="zh-CN"/>
        </w:rPr>
        <w:t>MULTI-AGENT COLLABORATIVE FRAMEWORK</w:t>
      </w:r>
      <w:bookmarkEnd w:id="16"/>
    </w:p>
    <w:p w14:paraId="247185E7">
      <w:pPr>
        <w:numPr>
          <w:ilvl w:val="0"/>
          <w:numId w:val="6"/>
        </w:numPr>
        <w:ind w:left="0" w:leftChars="0" w:firstLine="0" w:firstLineChars="0"/>
        <w:rPr>
          <w:rFonts w:hint="default"/>
          <w:lang w:val="en-US" w:eastAsia="zh-CN"/>
        </w:rPr>
      </w:pPr>
      <w:r>
        <w:rPr>
          <w:rFonts w:hint="default"/>
          <w:lang w:val="en-US" w:eastAsia="zh-CN"/>
        </w:rPr>
        <w:t>RECONCILE Round-Table Conference Improves Reasoning via Consensus among Diverse LLMs</w:t>
      </w:r>
    </w:p>
    <w:p w14:paraId="155C2FC8">
      <w:pPr>
        <w:numPr>
          <w:ilvl w:val="0"/>
          <w:numId w:val="6"/>
        </w:numPr>
        <w:ind w:left="0" w:leftChars="0" w:firstLine="0" w:firstLineChars="0"/>
        <w:rPr>
          <w:rFonts w:hint="default"/>
          <w:lang w:val="en-US" w:eastAsia="zh-CN"/>
        </w:rPr>
      </w:pPr>
      <w:bookmarkStart w:id="17" w:name="_Ref4074"/>
      <w:r>
        <w:rPr>
          <w:rFonts w:hint="default"/>
          <w:lang w:val="en-US" w:eastAsia="zh-CN"/>
        </w:rPr>
        <w:t>Voting or Consensus? Decision-Making in Multi-Agent Debate</w:t>
      </w:r>
      <w:bookmarkEnd w:id="17"/>
    </w:p>
    <w:p w14:paraId="7A9D0D2C">
      <w:pPr>
        <w:numPr>
          <w:ilvl w:val="0"/>
          <w:numId w:val="6"/>
        </w:numPr>
        <w:ind w:left="0" w:leftChars="0" w:firstLine="0" w:firstLineChars="0"/>
        <w:rPr>
          <w:rFonts w:hint="default"/>
          <w:lang w:val="en-US" w:eastAsia="zh-CN"/>
        </w:rPr>
      </w:pPr>
      <w:bookmarkStart w:id="18" w:name="_Ref6602"/>
      <w:r>
        <w:rPr>
          <w:rFonts w:hint="default"/>
          <w:lang w:val="en-US" w:eastAsia="zh-CN"/>
        </w:rPr>
        <w:t>Exchange-of-Thought: Enhancing Large Language Model Capabilities</w:t>
      </w:r>
      <w:r>
        <w:rPr>
          <w:rFonts w:hint="eastAsia"/>
          <w:lang w:val="en-US" w:eastAsia="zh-CN"/>
        </w:rPr>
        <w:t xml:space="preserve"> </w:t>
      </w:r>
      <w:r>
        <w:rPr>
          <w:rFonts w:hint="default"/>
          <w:lang w:val="en-US" w:eastAsia="zh-CN"/>
        </w:rPr>
        <w:t>through Cross-Model Communication</w:t>
      </w:r>
      <w:bookmarkEnd w:id="18"/>
    </w:p>
    <w:p w14:paraId="7851D579">
      <w:pPr>
        <w:numPr>
          <w:ilvl w:val="0"/>
          <w:numId w:val="6"/>
        </w:numPr>
        <w:ind w:left="0" w:leftChars="0" w:firstLine="0" w:firstLineChars="0"/>
        <w:rPr>
          <w:rFonts w:hint="default"/>
          <w:lang w:val="en-US" w:eastAsia="zh-CN"/>
        </w:rPr>
      </w:pPr>
      <w:r>
        <w:rPr>
          <w:rFonts w:hint="default"/>
          <w:lang w:val="en-US" w:eastAsia="zh-CN"/>
        </w:rPr>
        <w:t>Maximum Likelihood Estimation of Observer Error Rates Using the EM Algorithm.</w:t>
      </w:r>
    </w:p>
    <w:p w14:paraId="308437C6">
      <w:pPr>
        <w:numPr>
          <w:ilvl w:val="0"/>
          <w:numId w:val="6"/>
        </w:numPr>
        <w:ind w:left="0" w:leftChars="0" w:firstLine="0" w:firstLineChars="0"/>
        <w:rPr>
          <w:rFonts w:hint="default"/>
          <w:lang w:val="en-US" w:eastAsia="zh-CN"/>
        </w:rPr>
      </w:pPr>
      <w:r>
        <w:rPr>
          <w:rFonts w:hint="default"/>
          <w:lang w:val="en-US" w:eastAsia="zh-CN"/>
        </w:rPr>
        <w:t>Whose Vote Should Count More: Optimal Integration of Labels from Labelers of Unknown Expertise</w:t>
      </w:r>
    </w:p>
    <w:p w14:paraId="11DF58AC">
      <w:pPr>
        <w:numPr>
          <w:ilvl w:val="0"/>
          <w:numId w:val="6"/>
        </w:numPr>
        <w:ind w:left="0" w:leftChars="0" w:firstLine="0" w:firstLineChars="0"/>
        <w:rPr>
          <w:rFonts w:hint="default"/>
          <w:lang w:val="en-US" w:eastAsia="zh-CN"/>
        </w:rPr>
      </w:pPr>
      <w:bookmarkStart w:id="19" w:name="_Ref18409"/>
      <w:r>
        <w:rPr>
          <w:rFonts w:hint="default"/>
          <w:lang w:val="en-US" w:eastAsia="zh-CN"/>
        </w:rPr>
        <w:t>Truth Is a Lie: Crowd Truth and the Seven Myths of Human Annotation.</w:t>
      </w:r>
      <w:bookmarkEnd w:id="19"/>
    </w:p>
    <w:p w14:paraId="6FABC964">
      <w:pPr>
        <w:numPr>
          <w:ilvl w:val="0"/>
          <w:numId w:val="6"/>
        </w:numPr>
        <w:ind w:left="0" w:leftChars="0" w:firstLine="0" w:firstLineChars="0"/>
        <w:rPr>
          <w:rFonts w:hint="default"/>
          <w:lang w:val="en-US" w:eastAsia="zh-CN"/>
        </w:rPr>
      </w:pPr>
      <w:bookmarkStart w:id="20" w:name="_Ref18684"/>
      <w:r>
        <w:rPr>
          <w:rFonts w:hint="default"/>
          <w:lang w:val="en-US" w:eastAsia="zh-CN"/>
        </w:rPr>
        <w:t>Learning Whom to Trust with MACE.</w:t>
      </w:r>
      <w:bookmarkEnd w:id="20"/>
    </w:p>
    <w:p w14:paraId="4268E3FC">
      <w:pPr>
        <w:numPr>
          <w:ilvl w:val="0"/>
          <w:numId w:val="6"/>
        </w:numPr>
        <w:ind w:left="0" w:leftChars="0" w:firstLine="0" w:firstLineChars="0"/>
        <w:rPr>
          <w:rFonts w:hint="default"/>
          <w:lang w:val="en-US" w:eastAsia="zh-CN"/>
        </w:rPr>
      </w:pPr>
      <w:bookmarkStart w:id="21" w:name="_Ref20382"/>
      <w:r>
        <w:rPr>
          <w:rFonts w:hint="default"/>
          <w:lang w:val="en-US" w:eastAsia="zh-CN"/>
        </w:rPr>
        <w:t>Learning from Disagreement: A Survey</w:t>
      </w:r>
      <w:bookmarkEnd w:id="21"/>
    </w:p>
    <w:p w14:paraId="456509AE">
      <w:pPr>
        <w:numPr>
          <w:ilvl w:val="0"/>
          <w:numId w:val="6"/>
        </w:numPr>
        <w:ind w:left="0" w:leftChars="0" w:firstLine="0" w:firstLineChars="0"/>
        <w:rPr>
          <w:rFonts w:hint="default"/>
          <w:lang w:val="en-US" w:eastAsia="zh-CN"/>
        </w:rPr>
      </w:pPr>
      <w:bookmarkStart w:id="22" w:name="_Ref20686"/>
      <w:r>
        <w:rPr>
          <w:rFonts w:hint="default"/>
          <w:lang w:val="en-US" w:eastAsia="zh-CN"/>
        </w:rPr>
        <w:t>Wisdom of Instruction-Tuned Language Model Crowds. Exploring Model Label Variation</w:t>
      </w:r>
      <w:bookmarkEnd w:id="22"/>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194BA"/>
    <w:multiLevelType w:val="singleLevel"/>
    <w:tmpl w:val="A21194BA"/>
    <w:lvl w:ilvl="0" w:tentative="0">
      <w:start w:val="1"/>
      <w:numFmt w:val="decimal"/>
      <w:suff w:val="nothing"/>
      <w:lvlText w:val="（%1）"/>
      <w:lvlJc w:val="left"/>
    </w:lvl>
  </w:abstractNum>
  <w:abstractNum w:abstractNumId="1">
    <w:nsid w:val="FD483FE3"/>
    <w:multiLevelType w:val="singleLevel"/>
    <w:tmpl w:val="FD483FE3"/>
    <w:lvl w:ilvl="0" w:tentative="0">
      <w:start w:val="1"/>
      <w:numFmt w:val="decimal"/>
      <w:suff w:val="nothing"/>
      <w:lvlText w:val="（%1）"/>
      <w:lvlJc w:val="left"/>
    </w:lvl>
  </w:abstractNum>
  <w:abstractNum w:abstractNumId="2">
    <w:nsid w:val="1814FEC5"/>
    <w:multiLevelType w:val="singleLevel"/>
    <w:tmpl w:val="1814FEC5"/>
    <w:lvl w:ilvl="0" w:tentative="0">
      <w:start w:val="1"/>
      <w:numFmt w:val="decimal"/>
      <w:lvlText w:val="%1."/>
      <w:lvlJc w:val="left"/>
      <w:pPr>
        <w:tabs>
          <w:tab w:val="left" w:pos="312"/>
        </w:tabs>
      </w:pPr>
    </w:lvl>
  </w:abstractNum>
  <w:abstractNum w:abstractNumId="3">
    <w:nsid w:val="3272D02D"/>
    <w:multiLevelType w:val="singleLevel"/>
    <w:tmpl w:val="3272D02D"/>
    <w:lvl w:ilvl="0" w:tentative="0">
      <w:start w:val="1"/>
      <w:numFmt w:val="decimal"/>
      <w:suff w:val="nothing"/>
      <w:lvlText w:val="（%1）"/>
      <w:lvlJc w:val="left"/>
    </w:lvl>
  </w:abstractNum>
  <w:abstractNum w:abstractNumId="4">
    <w:nsid w:val="5EA270CA"/>
    <w:multiLevelType w:val="singleLevel"/>
    <w:tmpl w:val="5EA270CA"/>
    <w:lvl w:ilvl="0" w:tentative="0">
      <w:start w:val="1"/>
      <w:numFmt w:val="decimal"/>
      <w:suff w:val="nothing"/>
      <w:lvlText w:val="（%1）"/>
      <w:lvlJc w:val="left"/>
    </w:lvl>
  </w:abstractNum>
  <w:abstractNum w:abstractNumId="5">
    <w:nsid w:val="6890940A"/>
    <w:multiLevelType w:val="singleLevel"/>
    <w:tmpl w:val="6890940A"/>
    <w:lvl w:ilvl="0" w:tentative="0">
      <w:start w:val="1"/>
      <w:numFmt w:val="decimal"/>
      <w:suff w:val="space"/>
      <w:lvlText w:val="[%1]"/>
      <w:lvlJc w:val="left"/>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7A1D"/>
    <w:rsid w:val="00533315"/>
    <w:rsid w:val="008C7FF6"/>
    <w:rsid w:val="00A010BF"/>
    <w:rsid w:val="00A23C9D"/>
    <w:rsid w:val="00D40D69"/>
    <w:rsid w:val="00D84CE7"/>
    <w:rsid w:val="00F8404A"/>
    <w:rsid w:val="01147F82"/>
    <w:rsid w:val="01172333"/>
    <w:rsid w:val="011E3CE2"/>
    <w:rsid w:val="015E034F"/>
    <w:rsid w:val="01AB7E6D"/>
    <w:rsid w:val="01C979FE"/>
    <w:rsid w:val="01DC0C1D"/>
    <w:rsid w:val="01DD2E1B"/>
    <w:rsid w:val="01EB1311"/>
    <w:rsid w:val="023006A7"/>
    <w:rsid w:val="0246284B"/>
    <w:rsid w:val="02662A90"/>
    <w:rsid w:val="02981ECE"/>
    <w:rsid w:val="02BF1210"/>
    <w:rsid w:val="02DE3CC3"/>
    <w:rsid w:val="02E91610"/>
    <w:rsid w:val="02EC1E60"/>
    <w:rsid w:val="02F6136A"/>
    <w:rsid w:val="02F76DEB"/>
    <w:rsid w:val="03132E98"/>
    <w:rsid w:val="031C5D26"/>
    <w:rsid w:val="03243133"/>
    <w:rsid w:val="03262F6E"/>
    <w:rsid w:val="035F6E36"/>
    <w:rsid w:val="03CA5029"/>
    <w:rsid w:val="03F842E2"/>
    <w:rsid w:val="040D667E"/>
    <w:rsid w:val="043C6C95"/>
    <w:rsid w:val="04592205"/>
    <w:rsid w:val="0480239D"/>
    <w:rsid w:val="04861232"/>
    <w:rsid w:val="04A732AF"/>
    <w:rsid w:val="04CA439E"/>
    <w:rsid w:val="04DB3E3D"/>
    <w:rsid w:val="04E734BD"/>
    <w:rsid w:val="04F52FC7"/>
    <w:rsid w:val="04FC088E"/>
    <w:rsid w:val="05257DE5"/>
    <w:rsid w:val="052B1309"/>
    <w:rsid w:val="054A15F9"/>
    <w:rsid w:val="055A55B4"/>
    <w:rsid w:val="05686195"/>
    <w:rsid w:val="056E3497"/>
    <w:rsid w:val="056E5276"/>
    <w:rsid w:val="057378BD"/>
    <w:rsid w:val="05BB3177"/>
    <w:rsid w:val="06090B03"/>
    <w:rsid w:val="06224324"/>
    <w:rsid w:val="062C692E"/>
    <w:rsid w:val="062E4A77"/>
    <w:rsid w:val="065F2600"/>
    <w:rsid w:val="065F5E83"/>
    <w:rsid w:val="06631006"/>
    <w:rsid w:val="06760773"/>
    <w:rsid w:val="06987760"/>
    <w:rsid w:val="06A670EF"/>
    <w:rsid w:val="06AD0181"/>
    <w:rsid w:val="07235BC1"/>
    <w:rsid w:val="07300CC3"/>
    <w:rsid w:val="07751C03"/>
    <w:rsid w:val="07D721EC"/>
    <w:rsid w:val="07DC2DF1"/>
    <w:rsid w:val="07FA2698"/>
    <w:rsid w:val="08410597"/>
    <w:rsid w:val="08452820"/>
    <w:rsid w:val="085417B6"/>
    <w:rsid w:val="08686258"/>
    <w:rsid w:val="086E0F0F"/>
    <w:rsid w:val="08745B19"/>
    <w:rsid w:val="08B62E0B"/>
    <w:rsid w:val="08E97AAB"/>
    <w:rsid w:val="08F979E1"/>
    <w:rsid w:val="091740FD"/>
    <w:rsid w:val="091A3AFD"/>
    <w:rsid w:val="09495BC1"/>
    <w:rsid w:val="09691762"/>
    <w:rsid w:val="09766415"/>
    <w:rsid w:val="09B01A72"/>
    <w:rsid w:val="09C07B0E"/>
    <w:rsid w:val="09DA28B7"/>
    <w:rsid w:val="09EF6FD9"/>
    <w:rsid w:val="0A195333"/>
    <w:rsid w:val="0A2F3646"/>
    <w:rsid w:val="0A5F2B10"/>
    <w:rsid w:val="0ABE63AC"/>
    <w:rsid w:val="0AEA2F37"/>
    <w:rsid w:val="0B024FD6"/>
    <w:rsid w:val="0B0414D1"/>
    <w:rsid w:val="0B3C46E5"/>
    <w:rsid w:val="0B44732B"/>
    <w:rsid w:val="0B565626"/>
    <w:rsid w:val="0B591E2E"/>
    <w:rsid w:val="0B7329D8"/>
    <w:rsid w:val="0B856175"/>
    <w:rsid w:val="0B8D10DD"/>
    <w:rsid w:val="0B904506"/>
    <w:rsid w:val="0BAF080B"/>
    <w:rsid w:val="0C1939C9"/>
    <w:rsid w:val="0C30080D"/>
    <w:rsid w:val="0C38149C"/>
    <w:rsid w:val="0C5478CE"/>
    <w:rsid w:val="0C62085F"/>
    <w:rsid w:val="0C647D62"/>
    <w:rsid w:val="0C7C2D33"/>
    <w:rsid w:val="0CA61AD0"/>
    <w:rsid w:val="0CAE3659"/>
    <w:rsid w:val="0CD63492"/>
    <w:rsid w:val="0CEC69C1"/>
    <w:rsid w:val="0DD70E5E"/>
    <w:rsid w:val="0DFB0CD6"/>
    <w:rsid w:val="0E4F33D1"/>
    <w:rsid w:val="0E7F1356"/>
    <w:rsid w:val="0EBD33B9"/>
    <w:rsid w:val="0ECE329B"/>
    <w:rsid w:val="0EE61FFF"/>
    <w:rsid w:val="0EE96807"/>
    <w:rsid w:val="0FB04F4B"/>
    <w:rsid w:val="10036F54"/>
    <w:rsid w:val="10330AE4"/>
    <w:rsid w:val="10352FA6"/>
    <w:rsid w:val="1062503C"/>
    <w:rsid w:val="107B4D5D"/>
    <w:rsid w:val="108C5BB3"/>
    <w:rsid w:val="108D6EB8"/>
    <w:rsid w:val="10F63064"/>
    <w:rsid w:val="117229AE"/>
    <w:rsid w:val="117F6440"/>
    <w:rsid w:val="11BA51AA"/>
    <w:rsid w:val="11E40C95"/>
    <w:rsid w:val="11FA7885"/>
    <w:rsid w:val="123C43E8"/>
    <w:rsid w:val="127A31E0"/>
    <w:rsid w:val="128355E8"/>
    <w:rsid w:val="128611F1"/>
    <w:rsid w:val="12A85A64"/>
    <w:rsid w:val="12AA1929"/>
    <w:rsid w:val="12C63899"/>
    <w:rsid w:val="12D22C2E"/>
    <w:rsid w:val="12E34E3B"/>
    <w:rsid w:val="13267A75"/>
    <w:rsid w:val="13486D30"/>
    <w:rsid w:val="13573AC8"/>
    <w:rsid w:val="1363535C"/>
    <w:rsid w:val="136D14EF"/>
    <w:rsid w:val="13964589"/>
    <w:rsid w:val="13A51B3A"/>
    <w:rsid w:val="13AD22D8"/>
    <w:rsid w:val="13D15990"/>
    <w:rsid w:val="140E071C"/>
    <w:rsid w:val="14186104"/>
    <w:rsid w:val="14216A14"/>
    <w:rsid w:val="14531B4D"/>
    <w:rsid w:val="145A2571"/>
    <w:rsid w:val="14615CB1"/>
    <w:rsid w:val="14640782"/>
    <w:rsid w:val="148D3B44"/>
    <w:rsid w:val="14B4447E"/>
    <w:rsid w:val="14E16E52"/>
    <w:rsid w:val="14F13869"/>
    <w:rsid w:val="14FC547D"/>
    <w:rsid w:val="15096D11"/>
    <w:rsid w:val="151A4A2D"/>
    <w:rsid w:val="15337B56"/>
    <w:rsid w:val="154645F8"/>
    <w:rsid w:val="157F21D3"/>
    <w:rsid w:val="15AD52A1"/>
    <w:rsid w:val="15D1675A"/>
    <w:rsid w:val="15E51B78"/>
    <w:rsid w:val="15E74C42"/>
    <w:rsid w:val="1609105D"/>
    <w:rsid w:val="1610408C"/>
    <w:rsid w:val="16175528"/>
    <w:rsid w:val="161F618A"/>
    <w:rsid w:val="16317A78"/>
    <w:rsid w:val="1674297A"/>
    <w:rsid w:val="168F7E12"/>
    <w:rsid w:val="16972CA0"/>
    <w:rsid w:val="171170E7"/>
    <w:rsid w:val="171C5E98"/>
    <w:rsid w:val="174540BD"/>
    <w:rsid w:val="17485042"/>
    <w:rsid w:val="175468D6"/>
    <w:rsid w:val="17550AFC"/>
    <w:rsid w:val="176E7480"/>
    <w:rsid w:val="17757C3C"/>
    <w:rsid w:val="17AE026A"/>
    <w:rsid w:val="17BB3400"/>
    <w:rsid w:val="17C93012"/>
    <w:rsid w:val="18003AB9"/>
    <w:rsid w:val="181F3A21"/>
    <w:rsid w:val="18477163"/>
    <w:rsid w:val="185660F9"/>
    <w:rsid w:val="18687698"/>
    <w:rsid w:val="18771EB1"/>
    <w:rsid w:val="1888624E"/>
    <w:rsid w:val="18974964"/>
    <w:rsid w:val="18A26578"/>
    <w:rsid w:val="18FA248A"/>
    <w:rsid w:val="19044F98"/>
    <w:rsid w:val="19306A4A"/>
    <w:rsid w:val="19453803"/>
    <w:rsid w:val="195C122A"/>
    <w:rsid w:val="197B3CDD"/>
    <w:rsid w:val="19856C4C"/>
    <w:rsid w:val="199539CA"/>
    <w:rsid w:val="19B802BF"/>
    <w:rsid w:val="19D60A8D"/>
    <w:rsid w:val="19E16F05"/>
    <w:rsid w:val="19E75211"/>
    <w:rsid w:val="19EA6B3E"/>
    <w:rsid w:val="1A27425A"/>
    <w:rsid w:val="1A2950FA"/>
    <w:rsid w:val="1A2975D8"/>
    <w:rsid w:val="1A2A2B7C"/>
    <w:rsid w:val="1A306C84"/>
    <w:rsid w:val="1A441E72"/>
    <w:rsid w:val="1A5756B2"/>
    <w:rsid w:val="1A807D07"/>
    <w:rsid w:val="1A930EF5"/>
    <w:rsid w:val="1AB1581F"/>
    <w:rsid w:val="1AD27C6F"/>
    <w:rsid w:val="1ADB29A0"/>
    <w:rsid w:val="1B217891"/>
    <w:rsid w:val="1B232392"/>
    <w:rsid w:val="1B3F1E98"/>
    <w:rsid w:val="1B415BC7"/>
    <w:rsid w:val="1B6C6203"/>
    <w:rsid w:val="1BA23AE5"/>
    <w:rsid w:val="1BAB77F5"/>
    <w:rsid w:val="1BB116FE"/>
    <w:rsid w:val="1BB92BDD"/>
    <w:rsid w:val="1C177456"/>
    <w:rsid w:val="1C656C23"/>
    <w:rsid w:val="1C7958C4"/>
    <w:rsid w:val="1C8B3AAC"/>
    <w:rsid w:val="1C922D83"/>
    <w:rsid w:val="1C993A80"/>
    <w:rsid w:val="1C9F6277"/>
    <w:rsid w:val="1CCA46D9"/>
    <w:rsid w:val="1CF40A91"/>
    <w:rsid w:val="1D0205B4"/>
    <w:rsid w:val="1D052F29"/>
    <w:rsid w:val="1D2437DE"/>
    <w:rsid w:val="1D315072"/>
    <w:rsid w:val="1D6670E7"/>
    <w:rsid w:val="1D792624"/>
    <w:rsid w:val="1D9A121F"/>
    <w:rsid w:val="1DC86E27"/>
    <w:rsid w:val="1DC91D6E"/>
    <w:rsid w:val="1DD21378"/>
    <w:rsid w:val="1DD400FF"/>
    <w:rsid w:val="1DE94821"/>
    <w:rsid w:val="1DEE36F3"/>
    <w:rsid w:val="1E200A3C"/>
    <w:rsid w:val="1E2C658F"/>
    <w:rsid w:val="1E392382"/>
    <w:rsid w:val="1E4516B7"/>
    <w:rsid w:val="1ED57D2E"/>
    <w:rsid w:val="1EE952A7"/>
    <w:rsid w:val="1EEE40CF"/>
    <w:rsid w:val="1EF42755"/>
    <w:rsid w:val="1F275D7B"/>
    <w:rsid w:val="1F943221"/>
    <w:rsid w:val="1F9E7912"/>
    <w:rsid w:val="1FAD0CAB"/>
    <w:rsid w:val="20150C7D"/>
    <w:rsid w:val="20232E47"/>
    <w:rsid w:val="20435C8D"/>
    <w:rsid w:val="204E170C"/>
    <w:rsid w:val="208D02F8"/>
    <w:rsid w:val="20BF58DF"/>
    <w:rsid w:val="20EB5CF5"/>
    <w:rsid w:val="20F65348"/>
    <w:rsid w:val="20FF5536"/>
    <w:rsid w:val="210448FA"/>
    <w:rsid w:val="213F6706"/>
    <w:rsid w:val="214F2556"/>
    <w:rsid w:val="216B6728"/>
    <w:rsid w:val="218E0668"/>
    <w:rsid w:val="21B005DE"/>
    <w:rsid w:val="21BA41E2"/>
    <w:rsid w:val="21D82B04"/>
    <w:rsid w:val="21DE311D"/>
    <w:rsid w:val="21F901D7"/>
    <w:rsid w:val="22282297"/>
    <w:rsid w:val="2237702E"/>
    <w:rsid w:val="22451BC7"/>
    <w:rsid w:val="2255003C"/>
    <w:rsid w:val="22896E39"/>
    <w:rsid w:val="22D16A5E"/>
    <w:rsid w:val="22F53F69"/>
    <w:rsid w:val="231D58AD"/>
    <w:rsid w:val="23375881"/>
    <w:rsid w:val="234A05BF"/>
    <w:rsid w:val="23516881"/>
    <w:rsid w:val="23635971"/>
    <w:rsid w:val="236A19AA"/>
    <w:rsid w:val="23A31F79"/>
    <w:rsid w:val="23B74027"/>
    <w:rsid w:val="23BD012F"/>
    <w:rsid w:val="24207C9D"/>
    <w:rsid w:val="24657643"/>
    <w:rsid w:val="246A53BC"/>
    <w:rsid w:val="248D18E8"/>
    <w:rsid w:val="249C309C"/>
    <w:rsid w:val="249D521F"/>
    <w:rsid w:val="24C04FDC"/>
    <w:rsid w:val="24C50961"/>
    <w:rsid w:val="25055EC8"/>
    <w:rsid w:val="25095901"/>
    <w:rsid w:val="25257535"/>
    <w:rsid w:val="2543028D"/>
    <w:rsid w:val="25782EE0"/>
    <w:rsid w:val="257A3908"/>
    <w:rsid w:val="258E2EC9"/>
    <w:rsid w:val="259A11BB"/>
    <w:rsid w:val="25B432C7"/>
    <w:rsid w:val="25BB2173"/>
    <w:rsid w:val="26071543"/>
    <w:rsid w:val="260B672B"/>
    <w:rsid w:val="26207C03"/>
    <w:rsid w:val="26222E1C"/>
    <w:rsid w:val="267D5AB4"/>
    <w:rsid w:val="267D7507"/>
    <w:rsid w:val="26800C37"/>
    <w:rsid w:val="26E157D9"/>
    <w:rsid w:val="26E50C5D"/>
    <w:rsid w:val="26F0476E"/>
    <w:rsid w:val="271262FA"/>
    <w:rsid w:val="273C6B81"/>
    <w:rsid w:val="27545AF9"/>
    <w:rsid w:val="276969B7"/>
    <w:rsid w:val="278E3373"/>
    <w:rsid w:val="278F0DF5"/>
    <w:rsid w:val="27C6148F"/>
    <w:rsid w:val="27E82020"/>
    <w:rsid w:val="283D15C2"/>
    <w:rsid w:val="28780D72"/>
    <w:rsid w:val="288C3296"/>
    <w:rsid w:val="288D5494"/>
    <w:rsid w:val="289A78F2"/>
    <w:rsid w:val="28D66B8D"/>
    <w:rsid w:val="28D93BC8"/>
    <w:rsid w:val="29000D03"/>
    <w:rsid w:val="290A60E3"/>
    <w:rsid w:val="291908FB"/>
    <w:rsid w:val="29246C8C"/>
    <w:rsid w:val="29377EAB"/>
    <w:rsid w:val="295C2DFA"/>
    <w:rsid w:val="29671ECA"/>
    <w:rsid w:val="29A34FDC"/>
    <w:rsid w:val="29AF561F"/>
    <w:rsid w:val="29F724E8"/>
    <w:rsid w:val="2A25002F"/>
    <w:rsid w:val="2A3D2C2B"/>
    <w:rsid w:val="2A685EFA"/>
    <w:rsid w:val="2A7B7321"/>
    <w:rsid w:val="2B0C45AE"/>
    <w:rsid w:val="2B1151B3"/>
    <w:rsid w:val="2B1C4849"/>
    <w:rsid w:val="2BFD51BC"/>
    <w:rsid w:val="2C210A56"/>
    <w:rsid w:val="2C4E4783"/>
    <w:rsid w:val="2C506C46"/>
    <w:rsid w:val="2C752B50"/>
    <w:rsid w:val="2C8E6BD9"/>
    <w:rsid w:val="2C9E14C2"/>
    <w:rsid w:val="2CFD14DB"/>
    <w:rsid w:val="2D1E0811"/>
    <w:rsid w:val="2D4A53CB"/>
    <w:rsid w:val="2D4C0361"/>
    <w:rsid w:val="2D560C70"/>
    <w:rsid w:val="2D85445D"/>
    <w:rsid w:val="2D8C5176"/>
    <w:rsid w:val="2D9A5EE2"/>
    <w:rsid w:val="2DA66471"/>
    <w:rsid w:val="2DFC2F70"/>
    <w:rsid w:val="2DFD104F"/>
    <w:rsid w:val="2E7C2C51"/>
    <w:rsid w:val="2E8010BB"/>
    <w:rsid w:val="2E97127C"/>
    <w:rsid w:val="2E9B0631"/>
    <w:rsid w:val="2EA66FF1"/>
    <w:rsid w:val="2EAA3A90"/>
    <w:rsid w:val="2EB813E6"/>
    <w:rsid w:val="2EC17EC2"/>
    <w:rsid w:val="2EC92D50"/>
    <w:rsid w:val="2F041F69"/>
    <w:rsid w:val="2F3E36CD"/>
    <w:rsid w:val="2F6A2714"/>
    <w:rsid w:val="2FA71F0D"/>
    <w:rsid w:val="2FAF6379"/>
    <w:rsid w:val="2FD0227E"/>
    <w:rsid w:val="30091E78"/>
    <w:rsid w:val="300D5966"/>
    <w:rsid w:val="30146116"/>
    <w:rsid w:val="303803AA"/>
    <w:rsid w:val="303B192D"/>
    <w:rsid w:val="30677CC3"/>
    <w:rsid w:val="308A47E2"/>
    <w:rsid w:val="309767C4"/>
    <w:rsid w:val="30987AC8"/>
    <w:rsid w:val="30AD0B0B"/>
    <w:rsid w:val="30EC3CCF"/>
    <w:rsid w:val="31347947"/>
    <w:rsid w:val="316F42A9"/>
    <w:rsid w:val="318F6462"/>
    <w:rsid w:val="31DE6A3C"/>
    <w:rsid w:val="31FE1DB2"/>
    <w:rsid w:val="320E092F"/>
    <w:rsid w:val="322F3A97"/>
    <w:rsid w:val="32915685"/>
    <w:rsid w:val="329C5C14"/>
    <w:rsid w:val="32B81C30"/>
    <w:rsid w:val="32C600DD"/>
    <w:rsid w:val="32C64902"/>
    <w:rsid w:val="32F32879"/>
    <w:rsid w:val="330133BA"/>
    <w:rsid w:val="333D579D"/>
    <w:rsid w:val="33596D28"/>
    <w:rsid w:val="3363215A"/>
    <w:rsid w:val="3381451A"/>
    <w:rsid w:val="33B2026B"/>
    <w:rsid w:val="33D56D5E"/>
    <w:rsid w:val="33E22FCC"/>
    <w:rsid w:val="33F93952"/>
    <w:rsid w:val="340A6274"/>
    <w:rsid w:val="34357F34"/>
    <w:rsid w:val="34607E7E"/>
    <w:rsid w:val="347E5086"/>
    <w:rsid w:val="34802932"/>
    <w:rsid w:val="349C315B"/>
    <w:rsid w:val="34AF257B"/>
    <w:rsid w:val="34E96C65"/>
    <w:rsid w:val="34F565DC"/>
    <w:rsid w:val="34F812F7"/>
    <w:rsid w:val="35052B8B"/>
    <w:rsid w:val="350B72CF"/>
    <w:rsid w:val="353D2CE5"/>
    <w:rsid w:val="35984592"/>
    <w:rsid w:val="35D03558"/>
    <w:rsid w:val="35ED704B"/>
    <w:rsid w:val="362D006F"/>
    <w:rsid w:val="3648449C"/>
    <w:rsid w:val="36653A4C"/>
    <w:rsid w:val="36BE795E"/>
    <w:rsid w:val="36F942BF"/>
    <w:rsid w:val="37167D01"/>
    <w:rsid w:val="379E0C35"/>
    <w:rsid w:val="37AD7642"/>
    <w:rsid w:val="37B25189"/>
    <w:rsid w:val="37B52474"/>
    <w:rsid w:val="37C77407"/>
    <w:rsid w:val="37F903E9"/>
    <w:rsid w:val="37FA5167"/>
    <w:rsid w:val="37FF123F"/>
    <w:rsid w:val="38103EEC"/>
    <w:rsid w:val="38286CC9"/>
    <w:rsid w:val="38292433"/>
    <w:rsid w:val="384C6E5B"/>
    <w:rsid w:val="38615E10"/>
    <w:rsid w:val="38706043"/>
    <w:rsid w:val="38775EE4"/>
    <w:rsid w:val="389D4970"/>
    <w:rsid w:val="38BC7757"/>
    <w:rsid w:val="393A5AF3"/>
    <w:rsid w:val="395D2841"/>
    <w:rsid w:val="397D519A"/>
    <w:rsid w:val="39BB563A"/>
    <w:rsid w:val="39CB0253"/>
    <w:rsid w:val="39CE38A0"/>
    <w:rsid w:val="39DA4378"/>
    <w:rsid w:val="39F528FA"/>
    <w:rsid w:val="3B20468F"/>
    <w:rsid w:val="3B29751D"/>
    <w:rsid w:val="3B3456A4"/>
    <w:rsid w:val="3B43394A"/>
    <w:rsid w:val="3B8A37F6"/>
    <w:rsid w:val="3B9F1E11"/>
    <w:rsid w:val="3BA06262"/>
    <w:rsid w:val="3BC76121"/>
    <w:rsid w:val="3BF3026A"/>
    <w:rsid w:val="3C0D3477"/>
    <w:rsid w:val="3C4E2795"/>
    <w:rsid w:val="3C666F24"/>
    <w:rsid w:val="3C7704C4"/>
    <w:rsid w:val="3C99704D"/>
    <w:rsid w:val="3CCB46CA"/>
    <w:rsid w:val="3CFB2C9B"/>
    <w:rsid w:val="3D197528"/>
    <w:rsid w:val="3D320550"/>
    <w:rsid w:val="3D646E47"/>
    <w:rsid w:val="3D793569"/>
    <w:rsid w:val="3D85737C"/>
    <w:rsid w:val="3D9F0A2E"/>
    <w:rsid w:val="3DA47C31"/>
    <w:rsid w:val="3DF71C39"/>
    <w:rsid w:val="3E1A37C1"/>
    <w:rsid w:val="3E1D4077"/>
    <w:rsid w:val="3E740EBA"/>
    <w:rsid w:val="3E8527A2"/>
    <w:rsid w:val="3E856F1F"/>
    <w:rsid w:val="3E9B6EC4"/>
    <w:rsid w:val="3EA55255"/>
    <w:rsid w:val="3ED0191D"/>
    <w:rsid w:val="3EE5023D"/>
    <w:rsid w:val="3F0874F8"/>
    <w:rsid w:val="3F16680E"/>
    <w:rsid w:val="3F2759C2"/>
    <w:rsid w:val="3F2859A4"/>
    <w:rsid w:val="3F2D1069"/>
    <w:rsid w:val="3F314E39"/>
    <w:rsid w:val="3F333BBF"/>
    <w:rsid w:val="3F41048B"/>
    <w:rsid w:val="3F487916"/>
    <w:rsid w:val="3F4E21EB"/>
    <w:rsid w:val="3F5C6F82"/>
    <w:rsid w:val="3F5E7474"/>
    <w:rsid w:val="3F7C1A35"/>
    <w:rsid w:val="3F7D438F"/>
    <w:rsid w:val="3FC80830"/>
    <w:rsid w:val="40202543"/>
    <w:rsid w:val="402453DF"/>
    <w:rsid w:val="40430CA5"/>
    <w:rsid w:val="40431E02"/>
    <w:rsid w:val="404C688B"/>
    <w:rsid w:val="405F16F6"/>
    <w:rsid w:val="405F332D"/>
    <w:rsid w:val="405F7AAA"/>
    <w:rsid w:val="40BE58C5"/>
    <w:rsid w:val="413B0711"/>
    <w:rsid w:val="414F3373"/>
    <w:rsid w:val="41542D72"/>
    <w:rsid w:val="41B45FA6"/>
    <w:rsid w:val="41EB76F2"/>
    <w:rsid w:val="41EE59C4"/>
    <w:rsid w:val="41F60E45"/>
    <w:rsid w:val="41F91DC9"/>
    <w:rsid w:val="42243F12"/>
    <w:rsid w:val="423009B4"/>
    <w:rsid w:val="426104F4"/>
    <w:rsid w:val="42C03D90"/>
    <w:rsid w:val="42DC527F"/>
    <w:rsid w:val="42FC28F1"/>
    <w:rsid w:val="432033BE"/>
    <w:rsid w:val="433901D7"/>
    <w:rsid w:val="43452E25"/>
    <w:rsid w:val="4356105B"/>
    <w:rsid w:val="43592C8A"/>
    <w:rsid w:val="43EA5DFC"/>
    <w:rsid w:val="43FD701B"/>
    <w:rsid w:val="440F27B9"/>
    <w:rsid w:val="44580A9E"/>
    <w:rsid w:val="445F1AA3"/>
    <w:rsid w:val="44686F7B"/>
    <w:rsid w:val="4475215D"/>
    <w:rsid w:val="44775660"/>
    <w:rsid w:val="4492750F"/>
    <w:rsid w:val="44A6072E"/>
    <w:rsid w:val="44BD3BD6"/>
    <w:rsid w:val="45356766"/>
    <w:rsid w:val="45383520"/>
    <w:rsid w:val="454050A9"/>
    <w:rsid w:val="454959B9"/>
    <w:rsid w:val="45610E61"/>
    <w:rsid w:val="457F0202"/>
    <w:rsid w:val="45972207"/>
    <w:rsid w:val="45DA52A8"/>
    <w:rsid w:val="4603066A"/>
    <w:rsid w:val="460A141B"/>
    <w:rsid w:val="46153E08"/>
    <w:rsid w:val="46182B8E"/>
    <w:rsid w:val="46205A1C"/>
    <w:rsid w:val="46333408"/>
    <w:rsid w:val="46550E12"/>
    <w:rsid w:val="469B78E4"/>
    <w:rsid w:val="46BC589A"/>
    <w:rsid w:val="46F15E80"/>
    <w:rsid w:val="47A73950"/>
    <w:rsid w:val="47C3064B"/>
    <w:rsid w:val="47C96CD1"/>
    <w:rsid w:val="47DE717A"/>
    <w:rsid w:val="47F5469D"/>
    <w:rsid w:val="47F77BA0"/>
    <w:rsid w:val="47FC5A7C"/>
    <w:rsid w:val="4842699B"/>
    <w:rsid w:val="48496326"/>
    <w:rsid w:val="484D05AF"/>
    <w:rsid w:val="485A1E43"/>
    <w:rsid w:val="485B78AC"/>
    <w:rsid w:val="48B02852"/>
    <w:rsid w:val="48B56CDA"/>
    <w:rsid w:val="48C45C6F"/>
    <w:rsid w:val="48E6542C"/>
    <w:rsid w:val="48EA2167"/>
    <w:rsid w:val="491856F9"/>
    <w:rsid w:val="495C67D2"/>
    <w:rsid w:val="49933140"/>
    <w:rsid w:val="49995C78"/>
    <w:rsid w:val="49AA56FB"/>
    <w:rsid w:val="49BE0964"/>
    <w:rsid w:val="49C53294"/>
    <w:rsid w:val="49D74833"/>
    <w:rsid w:val="49E80350"/>
    <w:rsid w:val="49FD4A73"/>
    <w:rsid w:val="4A1930E3"/>
    <w:rsid w:val="4A394D65"/>
    <w:rsid w:val="4A602957"/>
    <w:rsid w:val="4A966FEB"/>
    <w:rsid w:val="4AB27A19"/>
    <w:rsid w:val="4AD56CD4"/>
    <w:rsid w:val="4B1E03CD"/>
    <w:rsid w:val="4B357FAD"/>
    <w:rsid w:val="4BF70A34"/>
    <w:rsid w:val="4C094875"/>
    <w:rsid w:val="4C220B74"/>
    <w:rsid w:val="4C2F5C8C"/>
    <w:rsid w:val="4C527DBA"/>
    <w:rsid w:val="4CB613E8"/>
    <w:rsid w:val="4D233F9A"/>
    <w:rsid w:val="4D3B2BA3"/>
    <w:rsid w:val="4D4B0133"/>
    <w:rsid w:val="4D5F057C"/>
    <w:rsid w:val="4D747043"/>
    <w:rsid w:val="4D784B41"/>
    <w:rsid w:val="4D873CBF"/>
    <w:rsid w:val="4DE30CDF"/>
    <w:rsid w:val="4DE95712"/>
    <w:rsid w:val="4DF73BB0"/>
    <w:rsid w:val="4DFB44CF"/>
    <w:rsid w:val="4E1E2F39"/>
    <w:rsid w:val="4E3B4A67"/>
    <w:rsid w:val="4E5B2D9E"/>
    <w:rsid w:val="4E6D653B"/>
    <w:rsid w:val="4EA56695"/>
    <w:rsid w:val="4ECF4BE5"/>
    <w:rsid w:val="4EDE5BC3"/>
    <w:rsid w:val="4F384153"/>
    <w:rsid w:val="5043693E"/>
    <w:rsid w:val="50737B8A"/>
    <w:rsid w:val="50C36206"/>
    <w:rsid w:val="50D7407C"/>
    <w:rsid w:val="510A1382"/>
    <w:rsid w:val="515C5909"/>
    <w:rsid w:val="518A09D7"/>
    <w:rsid w:val="51A74CAA"/>
    <w:rsid w:val="51DD06CC"/>
    <w:rsid w:val="51DF2696"/>
    <w:rsid w:val="51EB29A4"/>
    <w:rsid w:val="51F73589"/>
    <w:rsid w:val="520D572D"/>
    <w:rsid w:val="52316BE6"/>
    <w:rsid w:val="52414744"/>
    <w:rsid w:val="52460EAB"/>
    <w:rsid w:val="52990A97"/>
    <w:rsid w:val="52D0326C"/>
    <w:rsid w:val="52E07C83"/>
    <w:rsid w:val="52E65410"/>
    <w:rsid w:val="52FE2AB7"/>
    <w:rsid w:val="53026B31"/>
    <w:rsid w:val="5335518F"/>
    <w:rsid w:val="5338205E"/>
    <w:rsid w:val="53426D55"/>
    <w:rsid w:val="539232B3"/>
    <w:rsid w:val="53A3372D"/>
    <w:rsid w:val="53A56748"/>
    <w:rsid w:val="53F11286"/>
    <w:rsid w:val="5406623B"/>
    <w:rsid w:val="541C1D46"/>
    <w:rsid w:val="5445084F"/>
    <w:rsid w:val="54591A6E"/>
    <w:rsid w:val="5476101E"/>
    <w:rsid w:val="54851639"/>
    <w:rsid w:val="54967355"/>
    <w:rsid w:val="54A930AA"/>
    <w:rsid w:val="54D13CB7"/>
    <w:rsid w:val="54D56E3A"/>
    <w:rsid w:val="54DB67C4"/>
    <w:rsid w:val="54F24469"/>
    <w:rsid w:val="553920BD"/>
    <w:rsid w:val="55774994"/>
    <w:rsid w:val="55DB4C42"/>
    <w:rsid w:val="560C4938"/>
    <w:rsid w:val="56410322"/>
    <w:rsid w:val="56646DA2"/>
    <w:rsid w:val="568578F8"/>
    <w:rsid w:val="5696489C"/>
    <w:rsid w:val="56ED52AB"/>
    <w:rsid w:val="57101FE7"/>
    <w:rsid w:val="575F1D66"/>
    <w:rsid w:val="57677173"/>
    <w:rsid w:val="576C35FB"/>
    <w:rsid w:val="5791383A"/>
    <w:rsid w:val="57BE65C9"/>
    <w:rsid w:val="57BE7B82"/>
    <w:rsid w:val="57C973EE"/>
    <w:rsid w:val="57F26D57"/>
    <w:rsid w:val="57F83374"/>
    <w:rsid w:val="580C5702"/>
    <w:rsid w:val="581B7F1B"/>
    <w:rsid w:val="584D616C"/>
    <w:rsid w:val="585A4809"/>
    <w:rsid w:val="587924B3"/>
    <w:rsid w:val="58A80E04"/>
    <w:rsid w:val="5905591A"/>
    <w:rsid w:val="5908457E"/>
    <w:rsid w:val="59725B9E"/>
    <w:rsid w:val="59882670"/>
    <w:rsid w:val="59AF7A58"/>
    <w:rsid w:val="59B853BE"/>
    <w:rsid w:val="59C733B1"/>
    <w:rsid w:val="59C81C62"/>
    <w:rsid w:val="59EA66D8"/>
    <w:rsid w:val="5A1A1BDF"/>
    <w:rsid w:val="5A401E1F"/>
    <w:rsid w:val="5A494A8F"/>
    <w:rsid w:val="5A4F4638"/>
    <w:rsid w:val="5A551A1D"/>
    <w:rsid w:val="5A671778"/>
    <w:rsid w:val="5A7B2EFD"/>
    <w:rsid w:val="5A7F0D48"/>
    <w:rsid w:val="5A92474A"/>
    <w:rsid w:val="5AAC27D3"/>
    <w:rsid w:val="5AB87F28"/>
    <w:rsid w:val="5ABF3451"/>
    <w:rsid w:val="5ACB03C0"/>
    <w:rsid w:val="5ADC1C9D"/>
    <w:rsid w:val="5AE16125"/>
    <w:rsid w:val="5AF745AD"/>
    <w:rsid w:val="5B0D5CEF"/>
    <w:rsid w:val="5B7E2B2B"/>
    <w:rsid w:val="5BAA6E73"/>
    <w:rsid w:val="5BEF0861"/>
    <w:rsid w:val="5C08720C"/>
    <w:rsid w:val="5C164F06"/>
    <w:rsid w:val="5C183C23"/>
    <w:rsid w:val="5C4F1B7F"/>
    <w:rsid w:val="5C8357FD"/>
    <w:rsid w:val="5C9014E4"/>
    <w:rsid w:val="5C990CF9"/>
    <w:rsid w:val="5CAA4817"/>
    <w:rsid w:val="5D025764"/>
    <w:rsid w:val="5D751961"/>
    <w:rsid w:val="5D975399"/>
    <w:rsid w:val="5DF50FB6"/>
    <w:rsid w:val="5E3735CA"/>
    <w:rsid w:val="5E654AED"/>
    <w:rsid w:val="5E747306"/>
    <w:rsid w:val="5E774EE7"/>
    <w:rsid w:val="5E96232F"/>
    <w:rsid w:val="5EBA4A07"/>
    <w:rsid w:val="5EFF3A21"/>
    <w:rsid w:val="5F2931A3"/>
    <w:rsid w:val="5F3950E4"/>
    <w:rsid w:val="5F3B6A32"/>
    <w:rsid w:val="5F4131D6"/>
    <w:rsid w:val="5F4D3766"/>
    <w:rsid w:val="5F58537A"/>
    <w:rsid w:val="5FAE5D89"/>
    <w:rsid w:val="5FD736CA"/>
    <w:rsid w:val="5FEE6B72"/>
    <w:rsid w:val="60234096"/>
    <w:rsid w:val="602E0D9C"/>
    <w:rsid w:val="60541D9A"/>
    <w:rsid w:val="60996106"/>
    <w:rsid w:val="60AE592B"/>
    <w:rsid w:val="60B738FB"/>
    <w:rsid w:val="60B7403D"/>
    <w:rsid w:val="60C10D67"/>
    <w:rsid w:val="60F4305C"/>
    <w:rsid w:val="6106763F"/>
    <w:rsid w:val="61310483"/>
    <w:rsid w:val="61565DA5"/>
    <w:rsid w:val="615D47CA"/>
    <w:rsid w:val="61903D20"/>
    <w:rsid w:val="61990DAC"/>
    <w:rsid w:val="61E241E7"/>
    <w:rsid w:val="61F515AC"/>
    <w:rsid w:val="62306F99"/>
    <w:rsid w:val="628D293E"/>
    <w:rsid w:val="62A639B7"/>
    <w:rsid w:val="62DA2A3D"/>
    <w:rsid w:val="62DF3941"/>
    <w:rsid w:val="62E04946"/>
    <w:rsid w:val="6303037E"/>
    <w:rsid w:val="63195DA5"/>
    <w:rsid w:val="63332842"/>
    <w:rsid w:val="63421168"/>
    <w:rsid w:val="63426300"/>
    <w:rsid w:val="63616199"/>
    <w:rsid w:val="637D5ACA"/>
    <w:rsid w:val="640E5323"/>
    <w:rsid w:val="641E2BAA"/>
    <w:rsid w:val="64530FA5"/>
    <w:rsid w:val="649A719B"/>
    <w:rsid w:val="64B16DC0"/>
    <w:rsid w:val="64F445D7"/>
    <w:rsid w:val="652470FF"/>
    <w:rsid w:val="6535464F"/>
    <w:rsid w:val="65364EE1"/>
    <w:rsid w:val="65414DC6"/>
    <w:rsid w:val="657F6514"/>
    <w:rsid w:val="658A3D2B"/>
    <w:rsid w:val="65BF03BD"/>
    <w:rsid w:val="65D11E9E"/>
    <w:rsid w:val="65F251CE"/>
    <w:rsid w:val="65F903DC"/>
    <w:rsid w:val="65FA5E5E"/>
    <w:rsid w:val="66415276"/>
    <w:rsid w:val="66572974"/>
    <w:rsid w:val="66612C1C"/>
    <w:rsid w:val="66647A8B"/>
    <w:rsid w:val="667B76B0"/>
    <w:rsid w:val="66D81FC8"/>
    <w:rsid w:val="66DB09CF"/>
    <w:rsid w:val="66FF6AED"/>
    <w:rsid w:val="671F0285"/>
    <w:rsid w:val="67292245"/>
    <w:rsid w:val="674A3201"/>
    <w:rsid w:val="676E3E49"/>
    <w:rsid w:val="67917B37"/>
    <w:rsid w:val="67973300"/>
    <w:rsid w:val="67BB003D"/>
    <w:rsid w:val="67CD37DA"/>
    <w:rsid w:val="68403B19"/>
    <w:rsid w:val="68863217"/>
    <w:rsid w:val="68877872"/>
    <w:rsid w:val="68CC52CB"/>
    <w:rsid w:val="68CF43EA"/>
    <w:rsid w:val="69162878"/>
    <w:rsid w:val="69663B30"/>
    <w:rsid w:val="696B7D83"/>
    <w:rsid w:val="69713E8B"/>
    <w:rsid w:val="69715E72"/>
    <w:rsid w:val="69AD626E"/>
    <w:rsid w:val="69C7130D"/>
    <w:rsid w:val="6A1C7B71"/>
    <w:rsid w:val="6A1D4CFD"/>
    <w:rsid w:val="6A262462"/>
    <w:rsid w:val="6A2E6CAD"/>
    <w:rsid w:val="6A446B8F"/>
    <w:rsid w:val="6A553058"/>
    <w:rsid w:val="6A5C2B8F"/>
    <w:rsid w:val="6A601595"/>
    <w:rsid w:val="6A617C95"/>
    <w:rsid w:val="6A624A98"/>
    <w:rsid w:val="6A772184"/>
    <w:rsid w:val="6AAB6191"/>
    <w:rsid w:val="6AC45A36"/>
    <w:rsid w:val="6AE24FE6"/>
    <w:rsid w:val="6AFE7315"/>
    <w:rsid w:val="6B0013F8"/>
    <w:rsid w:val="6B140465"/>
    <w:rsid w:val="6B15453C"/>
    <w:rsid w:val="6B403D4E"/>
    <w:rsid w:val="6B5F73CB"/>
    <w:rsid w:val="6B862410"/>
    <w:rsid w:val="6B87782F"/>
    <w:rsid w:val="6BBD3D85"/>
    <w:rsid w:val="6BCA0B67"/>
    <w:rsid w:val="6C327292"/>
    <w:rsid w:val="6C434FAE"/>
    <w:rsid w:val="6C4D415B"/>
    <w:rsid w:val="6C662BE4"/>
    <w:rsid w:val="6C6E7FF0"/>
    <w:rsid w:val="6C8B53A2"/>
    <w:rsid w:val="6C8E0883"/>
    <w:rsid w:val="6CA420BB"/>
    <w:rsid w:val="6CA7144F"/>
    <w:rsid w:val="6CA94952"/>
    <w:rsid w:val="6CB63C68"/>
    <w:rsid w:val="6CBC4DA0"/>
    <w:rsid w:val="6CD216E6"/>
    <w:rsid w:val="6D0604CB"/>
    <w:rsid w:val="6D0B5820"/>
    <w:rsid w:val="6D2C39E0"/>
    <w:rsid w:val="6D581273"/>
    <w:rsid w:val="6D9745DB"/>
    <w:rsid w:val="6DE02450"/>
    <w:rsid w:val="6DEC3CE4"/>
    <w:rsid w:val="6DF3366F"/>
    <w:rsid w:val="6E083615"/>
    <w:rsid w:val="6E3D233E"/>
    <w:rsid w:val="6E79134A"/>
    <w:rsid w:val="6E9D3265"/>
    <w:rsid w:val="6EFB7725"/>
    <w:rsid w:val="6F0A0C39"/>
    <w:rsid w:val="6F5573BB"/>
    <w:rsid w:val="6F763C50"/>
    <w:rsid w:val="6FB026CC"/>
    <w:rsid w:val="6FD92024"/>
    <w:rsid w:val="6FE0340A"/>
    <w:rsid w:val="6FF22E5C"/>
    <w:rsid w:val="701C77FC"/>
    <w:rsid w:val="701D527E"/>
    <w:rsid w:val="70413449"/>
    <w:rsid w:val="70466442"/>
    <w:rsid w:val="706630F4"/>
    <w:rsid w:val="708725E8"/>
    <w:rsid w:val="70AE175A"/>
    <w:rsid w:val="70E4517B"/>
    <w:rsid w:val="70EA114F"/>
    <w:rsid w:val="70F10AD9"/>
    <w:rsid w:val="70FD0CB3"/>
    <w:rsid w:val="71163298"/>
    <w:rsid w:val="712048C0"/>
    <w:rsid w:val="71920729"/>
    <w:rsid w:val="71922E29"/>
    <w:rsid w:val="71B30C80"/>
    <w:rsid w:val="71FB480F"/>
    <w:rsid w:val="721B4BCD"/>
    <w:rsid w:val="72575AC4"/>
    <w:rsid w:val="725E322F"/>
    <w:rsid w:val="72752E54"/>
    <w:rsid w:val="730E33D2"/>
    <w:rsid w:val="731E3543"/>
    <w:rsid w:val="732D105C"/>
    <w:rsid w:val="73336474"/>
    <w:rsid w:val="735402C3"/>
    <w:rsid w:val="737C5B3F"/>
    <w:rsid w:val="737F734B"/>
    <w:rsid w:val="739410AD"/>
    <w:rsid w:val="73981CB2"/>
    <w:rsid w:val="73983D1A"/>
    <w:rsid w:val="73A225C1"/>
    <w:rsid w:val="73A91275"/>
    <w:rsid w:val="73C43DFB"/>
    <w:rsid w:val="73C572FE"/>
    <w:rsid w:val="73CC0062"/>
    <w:rsid w:val="743047AF"/>
    <w:rsid w:val="744D7C3E"/>
    <w:rsid w:val="7454240A"/>
    <w:rsid w:val="745A1D70"/>
    <w:rsid w:val="748A7506"/>
    <w:rsid w:val="749A1F5A"/>
    <w:rsid w:val="74B63DAF"/>
    <w:rsid w:val="74D12CB3"/>
    <w:rsid w:val="7507318D"/>
    <w:rsid w:val="75093403"/>
    <w:rsid w:val="750A017B"/>
    <w:rsid w:val="75180EA9"/>
    <w:rsid w:val="75435570"/>
    <w:rsid w:val="756A5430"/>
    <w:rsid w:val="75843DDB"/>
    <w:rsid w:val="75A3688F"/>
    <w:rsid w:val="75C116C2"/>
    <w:rsid w:val="75C46DC3"/>
    <w:rsid w:val="75DB226C"/>
    <w:rsid w:val="76303EF4"/>
    <w:rsid w:val="76323795"/>
    <w:rsid w:val="76566332"/>
    <w:rsid w:val="768A3309"/>
    <w:rsid w:val="76BE285E"/>
    <w:rsid w:val="76D02779"/>
    <w:rsid w:val="76DC7890"/>
    <w:rsid w:val="76E9087B"/>
    <w:rsid w:val="76EA6BA6"/>
    <w:rsid w:val="76ED612B"/>
    <w:rsid w:val="771B2BF8"/>
    <w:rsid w:val="77735805"/>
    <w:rsid w:val="77991A3A"/>
    <w:rsid w:val="77A727DC"/>
    <w:rsid w:val="77F20AE8"/>
    <w:rsid w:val="77F834E0"/>
    <w:rsid w:val="780D6D66"/>
    <w:rsid w:val="7813395E"/>
    <w:rsid w:val="783F7F98"/>
    <w:rsid w:val="78667397"/>
    <w:rsid w:val="78864B48"/>
    <w:rsid w:val="78930456"/>
    <w:rsid w:val="78AE679B"/>
    <w:rsid w:val="78C673B0"/>
    <w:rsid w:val="78F76C86"/>
    <w:rsid w:val="790A7749"/>
    <w:rsid w:val="790E0E19"/>
    <w:rsid w:val="79572523"/>
    <w:rsid w:val="799B610F"/>
    <w:rsid w:val="799D5EC5"/>
    <w:rsid w:val="79AA6D13"/>
    <w:rsid w:val="7A6C09E6"/>
    <w:rsid w:val="7A992B33"/>
    <w:rsid w:val="7A9D19EA"/>
    <w:rsid w:val="7AA15E8B"/>
    <w:rsid w:val="7AC34C78"/>
    <w:rsid w:val="7AD87261"/>
    <w:rsid w:val="7B212CD8"/>
    <w:rsid w:val="7B322D2D"/>
    <w:rsid w:val="7BB3231A"/>
    <w:rsid w:val="7BB840B1"/>
    <w:rsid w:val="7BE350CF"/>
    <w:rsid w:val="7C01687E"/>
    <w:rsid w:val="7C025299"/>
    <w:rsid w:val="7C0D5F13"/>
    <w:rsid w:val="7C2D09C7"/>
    <w:rsid w:val="7C4D6CFD"/>
    <w:rsid w:val="7C523471"/>
    <w:rsid w:val="7C6F2735"/>
    <w:rsid w:val="7CAA3813"/>
    <w:rsid w:val="7CB57626"/>
    <w:rsid w:val="7CED7C40"/>
    <w:rsid w:val="7CF27F4D"/>
    <w:rsid w:val="7D802572"/>
    <w:rsid w:val="7DB12040"/>
    <w:rsid w:val="7DB46757"/>
    <w:rsid w:val="7DBA7990"/>
    <w:rsid w:val="7DD65B6B"/>
    <w:rsid w:val="7E1D744A"/>
    <w:rsid w:val="7E264004"/>
    <w:rsid w:val="7E4313B6"/>
    <w:rsid w:val="7E695D73"/>
    <w:rsid w:val="7EA313D0"/>
    <w:rsid w:val="7ED92098"/>
    <w:rsid w:val="7EFD07E5"/>
    <w:rsid w:val="7F215521"/>
    <w:rsid w:val="7F5A30FD"/>
    <w:rsid w:val="7F762A2D"/>
    <w:rsid w:val="7F7F333C"/>
    <w:rsid w:val="7F8B38CC"/>
    <w:rsid w:val="7F9554E0"/>
    <w:rsid w:val="7F983C52"/>
    <w:rsid w:val="7F9A24D6"/>
    <w:rsid w:val="7FEC7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unhideWhenUsed/>
    <w:qFormat/>
    <w:uiPriority w:val="0"/>
    <w:pPr>
      <w:keepNext/>
      <w:keepLines/>
      <w:spacing w:before="260" w:beforeLines="0" w:after="260" w:afterLines="0" w:line="240" w:lineRule="auto"/>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260" w:beforeLines="0" w:after="260" w:afterLines="0" w:line="413" w:lineRule="auto"/>
      <w:outlineLvl w:val="2"/>
    </w:pPr>
    <w:rPr>
      <w:rFonts w:eastAsia="宋体" w:asciiTheme="minorAscii" w:hAnsiTheme="minorAscii"/>
      <w:b/>
      <w:sz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宋体"/>
      <w:b/>
      <w:sz w:val="1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9">
    <w:name w:val="标题 1 Char"/>
    <w:link w:val="2"/>
    <w:qFormat/>
    <w:uiPriority w:val="0"/>
    <w:rPr>
      <w:b/>
      <w:kern w:val="44"/>
      <w:sz w:val="44"/>
    </w:rPr>
  </w:style>
  <w:style w:type="character" w:customStyle="1" w:styleId="10">
    <w:name w:val="标题 2 Char"/>
    <w:link w:val="3"/>
    <w:qFormat/>
    <w:uiPriority w:val="0"/>
    <w:rPr>
      <w:rFonts w:ascii="Arial" w:hAnsi="Arial" w:eastAsia="黑体" w:cstheme="minorBidi"/>
      <w:b/>
      <w:kern w:val="2"/>
      <w:sz w:val="28"/>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21273</Words>
  <Characters>27696</Characters>
  <Lines>0</Lines>
  <Paragraphs>0</Paragraphs>
  <TotalTime>20</TotalTime>
  <ScaleCrop>false</ScaleCrop>
  <LinksUpToDate>false</LinksUpToDate>
  <CharactersWithSpaces>28448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2026-03-03T11:39:00Z</dcterms:created>
  <dc:creator>lenovo</dc:creator>
  <cp:lastModifiedBy>ghoulllzZ.</cp:lastModifiedBy>
  <dcterms:modified xsi:type="dcterms:W3CDTF">2026-06-28T09:07:46Z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eyJoZGlkIjoiNGYyNDViMzUzMGZiODliOGM5NDAwNjg4NmY0ZGU4YjEiLCJ1c2VySWQiOiI4MzYxNjMwMzUifQ==</vt:lpwstr>
  </property>
  <property fmtid="{D5CDD505-2E9C-101B-9397-08002B2CF9AE}" pid="4" name="ICV">
    <vt:lpwstr>EB6716132F124F8AB25917497E413B45_13</vt:lpwstr>
  </property>
</Properties>
</file>