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8DD8E">
      <w:pPr>
        <w:pStyle w:val="3"/>
        <w:bidi w:val="0"/>
        <w:rPr>
          <w:rStyle w:val="8"/>
          <w:rFonts w:hint="eastAsia"/>
          <w:b/>
          <w:bCs/>
          <w:lang w:val="en-US" w:eastAsia="zh-CN"/>
        </w:rPr>
      </w:pPr>
      <w:r>
        <w:rPr>
          <w:rStyle w:val="8"/>
          <w:rFonts w:hint="eastAsia"/>
          <w:b/>
          <w:bCs/>
          <w:lang w:val="en-US" w:eastAsia="zh-CN"/>
        </w:rPr>
        <w:t>Title</w:t>
      </w:r>
    </w:p>
    <w:p w14:paraId="699902C0">
      <w:pPr>
        <w:bidi w:val="0"/>
        <w:rPr>
          <w:rStyle w:val="8"/>
          <w:rFonts w:hint="eastAsia"/>
          <w:lang w:val="en-US" w:eastAsia="zh-CN"/>
        </w:rPr>
      </w:pPr>
    </w:p>
    <w:p w14:paraId="0100A738">
      <w:pPr>
        <w:numPr>
          <w:ilvl w:val="0"/>
          <w:numId w:val="1"/>
        </w:numPr>
        <w:bidi w:val="0"/>
        <w:ind w:left="425" w:leftChars="0" w:hanging="425" w:firstLineChars="0"/>
        <w:jc w:val="left"/>
        <w:rPr>
          <w:rFonts w:hint="eastAsia"/>
          <w:b/>
          <w:bCs/>
          <w:sz w:val="24"/>
          <w:szCs w:val="32"/>
          <w:lang w:val="en-US" w:eastAsia="zh-CN"/>
        </w:rPr>
      </w:pPr>
      <w:r>
        <w:rPr>
          <w:rFonts w:hint="eastAsia"/>
          <w:b/>
          <w:bCs/>
          <w:sz w:val="24"/>
          <w:szCs w:val="32"/>
          <w:lang w:val="en-US" w:eastAsia="zh-CN"/>
        </w:rPr>
        <w:t>From Outlier Events to Consensus: A Multi-LLM Workflow for Per-Requirement Quality Assessment of Software Requirements</w:t>
      </w:r>
      <w:r>
        <w:rPr>
          <w:rFonts w:hint="eastAsia"/>
          <w:b/>
          <w:bCs/>
          <w:sz w:val="24"/>
          <w:szCs w:val="32"/>
          <w:lang w:val="en-US" w:eastAsia="zh-CN"/>
        </w:rPr>
        <w:br w:type="textWrapping"/>
      </w:r>
    </w:p>
    <w:p w14:paraId="5F2AD88E">
      <w:pPr>
        <w:numPr>
          <w:ilvl w:val="0"/>
          <w:numId w:val="1"/>
        </w:numPr>
        <w:bidi w:val="0"/>
        <w:ind w:left="425" w:leftChars="0" w:hanging="425" w:firstLineChars="0"/>
        <w:jc w:val="left"/>
        <w:rPr>
          <w:rFonts w:hint="eastAsia"/>
          <w:b/>
          <w:bCs/>
          <w:sz w:val="24"/>
          <w:szCs w:val="32"/>
          <w:lang w:val="en-US" w:eastAsia="zh-CN"/>
        </w:rPr>
      </w:pPr>
      <w:r>
        <w:rPr>
          <w:rFonts w:hint="eastAsia"/>
          <w:b/>
          <w:bCs/>
          <w:sz w:val="24"/>
          <w:szCs w:val="32"/>
          <w:lang w:val="en-US" w:eastAsia="zh-CN"/>
        </w:rPr>
        <w:t>Leveraging Good Outliers in Multi-LLM Requirements Assessment: A Static-Weight and Dynamic-Confidence Approach</w:t>
      </w:r>
      <w:r>
        <w:rPr>
          <w:rFonts w:hint="eastAsia"/>
          <w:b/>
          <w:bCs/>
          <w:sz w:val="24"/>
          <w:szCs w:val="32"/>
          <w:lang w:val="en-US" w:eastAsia="zh-CN"/>
        </w:rPr>
        <w:br w:type="textWrapping"/>
      </w:r>
    </w:p>
    <w:p w14:paraId="2DBDC7F3">
      <w:pPr>
        <w:numPr>
          <w:ilvl w:val="0"/>
          <w:numId w:val="1"/>
        </w:numPr>
        <w:bidi w:val="0"/>
        <w:ind w:left="425" w:leftChars="0" w:hanging="425" w:firstLineChars="0"/>
        <w:jc w:val="left"/>
        <w:rPr>
          <w:rFonts w:hint="eastAsia"/>
          <w:b/>
          <w:bCs/>
          <w:lang w:val="en-US" w:eastAsia="zh-CN"/>
        </w:rPr>
      </w:pPr>
      <w:r>
        <w:rPr>
          <w:rFonts w:hint="eastAsia"/>
          <w:b/>
          <w:bCs/>
          <w:sz w:val="24"/>
          <w:szCs w:val="32"/>
          <w:lang w:val="en-US" w:eastAsia="zh-CN"/>
        </w:rPr>
        <w:t>Beyond Majority Vote: Improving LLM-based Requirements Review via Good Outlier Recognition and Roundtable Consensus</w:t>
      </w:r>
    </w:p>
    <w:p w14:paraId="7DD317BF">
      <w:pPr>
        <w:pStyle w:val="3"/>
        <w:bidi w:val="0"/>
        <w:rPr>
          <w:rFonts w:hint="eastAsia"/>
          <w:b/>
          <w:bCs/>
          <w:lang w:val="en-US" w:eastAsia="zh-CN"/>
        </w:rPr>
      </w:pPr>
      <w:r>
        <w:rPr>
          <w:rStyle w:val="8"/>
          <w:rFonts w:hint="eastAsia"/>
          <w:b/>
          <w:bCs/>
          <w:lang w:val="en-US" w:eastAsia="zh-CN"/>
        </w:rPr>
        <w:br w:type="textWrapping"/>
      </w:r>
      <w:r>
        <w:rPr>
          <w:rFonts w:hint="eastAsia"/>
          <w:lang w:val="en-US" w:eastAsia="zh-CN"/>
        </w:rPr>
        <w:t>Author</w:t>
      </w:r>
    </w:p>
    <w:p w14:paraId="417B01DD">
      <w:pPr>
        <w:pStyle w:val="3"/>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7795A48C">
      <w:pPr>
        <w:pStyle w:val="3"/>
        <w:bidi w:val="0"/>
        <w:rPr>
          <w:rFonts w:hint="eastAsia"/>
          <w:lang w:val="en-US" w:eastAsia="zh-CN"/>
        </w:rPr>
      </w:pPr>
      <w:r>
        <w:rPr>
          <w:rFonts w:hint="eastAsia"/>
          <w:lang w:val="en-US" w:eastAsia="zh-CN"/>
        </w:rPr>
        <w:t>Abstract</w:t>
      </w:r>
    </w:p>
    <w:p w14:paraId="72A78F0A">
      <w:pPr>
        <w:rPr>
          <w:rFonts w:hint="eastAsia"/>
          <w:lang w:val="en-US" w:eastAsia="zh-CN"/>
        </w:rPr>
      </w:pPr>
    </w:p>
    <w:p w14:paraId="2610A237">
      <w:pPr>
        <w:pStyle w:val="3"/>
        <w:bidi w:val="0"/>
        <w:rPr>
          <w:rFonts w:hint="eastAsia"/>
          <w:lang w:val="en-US" w:eastAsia="zh-CN"/>
        </w:rPr>
      </w:pPr>
      <w:r>
        <w:rPr>
          <w:rFonts w:hint="eastAsia"/>
          <w:lang w:val="en-US" w:eastAsia="zh-CN"/>
        </w:rPr>
        <w:t>1 Introduction</w:t>
      </w:r>
    </w:p>
    <w:p w14:paraId="6FFB5C9A">
      <w:pPr>
        <w:rPr>
          <w:rFonts w:hint="eastAsia"/>
          <w:lang w:val="en-US" w:eastAsia="zh-CN"/>
        </w:rPr>
      </w:pPr>
    </w:p>
    <w:p w14:paraId="1E93FA04">
      <w:pPr>
        <w:pStyle w:val="3"/>
        <w:bidi w:val="0"/>
        <w:jc w:val="left"/>
        <w:rPr>
          <w:rFonts w:hint="eastAsia"/>
          <w:lang w:val="en-US" w:eastAsia="zh-CN"/>
        </w:rPr>
      </w:pPr>
      <w:r>
        <w:rPr>
          <w:rFonts w:hint="eastAsia"/>
          <w:lang w:val="en-US" w:eastAsia="zh-CN"/>
        </w:rPr>
        <w:t>2 Background/Related Work</w:t>
      </w:r>
    </w:p>
    <w:p w14:paraId="289D7A85">
      <w:pPr>
        <w:rPr>
          <w:rFonts w:hint="eastAsia"/>
          <w:lang w:val="en-US" w:eastAsia="zh-CN"/>
        </w:rPr>
      </w:pPr>
    </w:p>
    <w:p w14:paraId="71F005CB">
      <w:pPr>
        <w:pStyle w:val="3"/>
        <w:bidi w:val="0"/>
        <w:rPr>
          <w:rFonts w:hint="eastAsia"/>
          <w:lang w:val="en-US" w:eastAsia="zh-CN"/>
        </w:rPr>
      </w:pPr>
      <w:r>
        <w:rPr>
          <w:rFonts w:hint="eastAsia"/>
          <w:lang w:val="en-US" w:eastAsia="zh-CN"/>
        </w:rPr>
        <w:t>3 Problem Statement &amp; Research Questions</w:t>
      </w:r>
    </w:p>
    <w:p w14:paraId="15F073F5">
      <w:pPr>
        <w:rPr>
          <w:rFonts w:hint="eastAsia"/>
          <w:lang w:val="en-US" w:eastAsia="zh-CN"/>
        </w:rPr>
      </w:pPr>
      <w:r>
        <w:rPr>
          <w:rFonts w:hint="eastAsia"/>
          <w:lang w:val="en-US" w:eastAsia="zh-CN"/>
        </w:rPr>
        <w:t>在现代软件工程中，需求规格说明书的高质量评估对整个开发生命周期至关重要 。与文档级总体评价不同，本文的分析粒度固定为面向单份需求文档中的逐条需求（per-requirement）质量评估任务，即每条需求都被视为独立的评审单元。给定包含若干需求条目</w:t>
      </w:r>
      <m:oMath>
        <m:r>
          <m:rPr/>
          <w:rPr>
            <w:rFonts w:hint="default" w:ascii="Cambria Math"/>
            <w:lang w:val="en-US" w:eastAsia="zh-CN"/>
          </w:rPr>
          <m:t xml:space="preserve"> </m:t>
        </m:r>
        <m:r>
          <m:rPr/>
          <w:rPr>
            <w:rFonts w:hint="default" w:ascii="Cambria Math" w:hAnsi="Cambria Math" w:eastAsiaTheme="minorEastAsia"/>
            <w:sz w:val="21"/>
          </w:rPr>
          <m:t>i</m:t>
        </m:r>
        <m:r>
          <m:rPr/>
          <w:rPr>
            <w:rFonts w:hint="default" w:ascii="Cambria Math" w:hAnsi="Cambria Math"/>
            <w:sz w:val="21"/>
            <w:lang w:val="en-US" w:eastAsia="zh-CN"/>
          </w:rPr>
          <m:t xml:space="preserve"> </m:t>
        </m:r>
      </m:oMath>
      <w:r>
        <w:rPr>
          <w:rFonts w:hint="eastAsia"/>
          <w:lang w:val="en-US" w:eastAsia="zh-CN"/>
        </w:rPr>
        <w:t>的输入集合，引入多个异构大语言模型（LLMs，记为评估者</w:t>
      </w:r>
      <m:oMath>
        <m:r>
          <m:rPr/>
          <w:rPr>
            <w:rFonts w:hint="default" w:ascii="Cambria Math"/>
            <w:lang w:val="en-US" w:eastAsia="zh-CN"/>
          </w:rPr>
          <m:t xml:space="preserve"> </m:t>
        </m:r>
        <m:r>
          <m:rPr/>
          <w:rPr>
            <w:rFonts w:hint="default" w:ascii="Cambria Math" w:hAnsi="Cambria Math" w:eastAsiaTheme="minorEastAsia"/>
            <w:sz w:val="21"/>
          </w:rPr>
          <m:t>r</m:t>
        </m:r>
        <m:r>
          <m:rPr/>
          <w:rPr>
            <w:rFonts w:hint="default" w:ascii="Cambria Math" w:hAnsi="Cambria Math"/>
            <w:sz w:val="21"/>
            <w:lang w:val="en-US" w:eastAsia="zh-CN"/>
          </w:rPr>
          <m:t xml:space="preserve"> </m:t>
        </m:r>
      </m:oMath>
      <w:r>
        <w:rPr>
          <w:rFonts w:hint="eastAsia"/>
          <w:lang w:val="en-US" w:eastAsia="zh-CN"/>
        </w:rPr>
        <w:t xml:space="preserve">），针对可理解性（Understandable , U）、无歧义性（Unambiguous , A）、正确性（Correctness , C）、与可验证性（Verifiable , V）四个维度 </w:t>
      </w:r>
      <m:oMath>
        <m:r>
          <m:rPr/>
          <w:rPr>
            <w:rFonts w:hint="default" w:ascii="Cambria Math" w:hAnsi="Cambria Math" w:eastAsiaTheme="minorEastAsia"/>
            <w:sz w:val="21"/>
          </w:rPr>
          <m:t>d∈{U,A,C,V}</m:t>
        </m:r>
      </m:oMath>
      <w:r>
        <w:rPr>
          <w:rFonts w:hint="eastAsia"/>
          <w:lang w:val="en-US" w:eastAsia="zh-CN"/>
        </w:rPr>
        <w:t>，分别输出基于 Likert 1-5 数量表的评分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lang w:val="en-US" w:eastAsia="zh-CN"/>
        </w:rPr>
        <w:t>，以及相应的置信度、证据片段与改写建议。研究的最终输出旨在超越简单的分数聚合，为每条需求提供包含“条目编号、问题类型、证据片段、建议改写及影响力”的团队级诊断结论。</w:t>
      </w:r>
    </w:p>
    <w:p w14:paraId="623202FB">
      <w:pPr>
        <w:rPr>
          <w:rFonts w:hint="default"/>
          <w:lang w:val="en-US" w:eastAsia="zh-CN"/>
        </w:rPr>
      </w:pPr>
      <w:r>
        <w:rPr>
          <w:rFonts w:hint="eastAsia"/>
          <w:lang w:val="en-US" w:eastAsia="zh-CN"/>
        </w:rPr>
        <w:t>然而，在多 LLM 协作场景中，由于模型底层架构、对齐策略及对需求术语边界的理解差异，针对同一维度评分的分歧并非偶然的随机噪声，而是结构性的必然现象。传统的多数表决或均值聚合机制隐含着“趋同即正确”的假设，但在复杂的质量评审中，“更接近共识”并不等同于“更可靠”，“离群”也不自动等于“错误”。一个偏离群体中位数基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oMath>
      <w:r>
        <w:rPr>
          <w:rFonts w:hint="eastAsia"/>
          <w:lang w:val="en-US" w:eastAsia="zh-CN"/>
        </w:rPr>
        <w:t xml:space="preserve">）的离群评分（满足 </w:t>
      </w:r>
      <m:oMath>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 xml:space="preserve"> </w:t>
      </w:r>
      <w:r>
        <w:rPr>
          <w:rFonts w:hint="eastAsia"/>
          <w:lang w:val="en-US" w:eastAsia="zh-CN"/>
        </w:rPr>
        <w:t>），既可能是由于幻觉产生的“坏离群”（Bad Outlier），也可能是由于模型具备更深层推理能力而捕获隐蔽缺陷的“好离群”（Good Outlier）。盲目地向中位数收敛将抹杀这些具有高审查价值的少数派洞见。基于这一认识，本文不将离群直接视为噪声，即核心问题不是“谁更接近多数”，而是“哪些偏离具有更高的审查价值，以及这种价值能否稳定的被转化利用”。</w:t>
      </w:r>
    </w:p>
    <w:p w14:paraId="4A9743FF">
      <w:pPr>
        <w:rPr>
          <w:rFonts w:hint="eastAsia"/>
          <w:lang w:val="en-US" w:eastAsia="zh-CN"/>
        </w:rPr>
      </w:pPr>
      <w:r>
        <w:rPr>
          <w:rFonts w:hint="eastAsia"/>
          <w:lang w:val="en-US" w:eastAsia="zh-CN"/>
        </w:rPr>
        <w:t>因此，本研究的核心挑战在于：如何打破分歧处理中的“共识谬误”，建立从分歧识别到高质量共识的系统化决策链。具体而言，</w:t>
      </w:r>
      <w:r>
        <w:rPr>
          <w:rFonts w:hint="eastAsia"/>
          <w:lang w:val="en-US" w:eastAsia="zh-CN"/>
        </w:rPr>
        <w:br w:type="textWrapping"/>
      </w:r>
      <w:r>
        <w:rPr>
          <w:rFonts w:hint="eastAsia"/>
          <w:lang w:val="en-US" w:eastAsia="zh-CN"/>
        </w:rPr>
        <w:t>需要引入由证据充分性、可证伪性、改写可执行性、理由具体性、维度匹配度与新颖性构成的论证质量向量，并据此形成归一化质量分</w:t>
      </w:r>
      <w:r>
        <w:rPr>
          <w:rFonts w:hint="eastAsia" w:asciiTheme="minorHAnsi" w:eastAsiaTheme="minorEastAsia"/>
          <w:lang w:val="en-US" w:eastAsia="zh-CN"/>
        </w:rPr>
        <w:t xml:space="preserve"> </w:t>
      </w:r>
      <m:oMath>
        <m:r>
          <m:rPr/>
          <w:rPr>
            <w:rFonts w:hint="default" w:ascii="Cambria Math" w:hAnsi="Cambria Math" w:eastAsiaTheme="minorEastAsia"/>
            <w:sz w:val="21"/>
          </w:rPr>
          <m:t>Q</m:t>
        </m:r>
      </m:oMath>
      <w:r>
        <w:rPr>
          <w:rFonts w:hint="eastAsia" w:asciiTheme="minorHAnsi" w:eastAsiaTheme="minorEastAsia"/>
          <w:lang w:val="en-US" w:eastAsia="zh-CN"/>
        </w:rPr>
        <w:t xml:space="preserve"> </w:t>
      </w:r>
      <w:r>
        <w:rPr>
          <w:rFonts w:hint="eastAsia"/>
          <w:lang w:val="en-US" w:eastAsia="zh-CN"/>
        </w:rPr>
        <w:t>来自动化界定好/坏离群，再将好/坏离群的累计表现转化为模型级别画像</w:t>
      </w:r>
      <m:oMath>
        <m:sSub>
          <m:sSubPr>
            <m:ctrlPr>
              <w:rPr>
                <w:rFonts w:hint="default" w:ascii="Cambria Math" w:hAnsi="Cambria Math" w:eastAsiaTheme="minorEastAsia"/>
                <w:sz w:val="21"/>
              </w:rPr>
            </m:ctrlPr>
          </m:sSubPr>
          <m:e>
            <m:r>
              <m:rPr>
                <m:sty m:val="p"/>
              </m:rPr>
              <w:rPr>
                <w:rFonts w:hint="default" w:ascii="Cambria Math" w:hAnsi="Cambria Math"/>
                <w:sz w:val="21"/>
                <w:lang w:val="en-US" w:eastAsia="zh-CN"/>
              </w:rPr>
              <m:t xml:space="preserve"> </m:t>
            </m:r>
            <m:r>
              <m:rPr>
                <m:sty m:val="p"/>
              </m:rPr>
              <w:rPr>
                <w:rFonts w:hint="eastAsia" w:ascii="Cambria Math" w:hAnsi="Cambria Math"/>
                <w:sz w:val="21"/>
                <w:lang w:val="en-US" w:eastAsia="zh-CN"/>
              </w:rPr>
              <m:t>G</m:t>
            </m:r>
            <m:ctrlPr>
              <w:rPr>
                <w:rFonts w:ascii="Cambria Math" w:hAnsi="Cambria Math" w:eastAsiaTheme="minorEastAsia"/>
                <w:sz w:val="21"/>
              </w:rPr>
            </m:ctrlPr>
          </m:e>
          <m:sub>
            <m:r>
              <m:rPr/>
              <w:rPr>
                <w:rFonts w:hint="default" w:ascii="Cambria Math" w:hAnsi="Cambria Math" w:eastAsiaTheme="minorEastAsia"/>
                <w:sz w:val="21"/>
              </w:rPr>
              <m:t>r</m:t>
            </m:r>
            <m:r>
              <m:rPr/>
              <w:rPr>
                <w:rFonts w:hint="default" w:ascii="Cambria Math" w:hAnsi="Cambria Math"/>
                <w:sz w:val="21"/>
                <w:lang w:val="en-US" w:eastAsia="zh-CN"/>
              </w:rPr>
              <m:t xml:space="preserve"> </m:t>
            </m:r>
            <m:ctrlPr>
              <w:rPr>
                <w:rFonts w:ascii="Cambria Math" w:hAnsi="Cambria Math" w:eastAsiaTheme="minorEastAsia"/>
                <w:sz w:val="21"/>
              </w:rPr>
            </m:ctrlPr>
          </m:sub>
        </m:sSub>
      </m:oMath>
      <w:r>
        <w:rPr>
          <w:rFonts w:hint="eastAsia"/>
          <w:lang w:val="en-US" w:eastAsia="zh-CN"/>
        </w:rPr>
        <w:t>与</w:t>
      </w:r>
      <m:oMath>
        <m:r>
          <m:rPr>
            <m:sty m:val="p"/>
          </m:rPr>
          <w:rPr>
            <w:rFonts w:hint="default" w:ascii="Cambria Math"/>
            <w:lang w:val="en-US" w:eastAsia="zh-CN"/>
          </w:rPr>
          <m:t xml:space="preserve"> </m:t>
        </m:r>
        <m:sSub>
          <m:sSubPr>
            <m:ctrlPr>
              <w:rPr>
                <w:rFonts w:hint="default" w:ascii="Cambria Math" w:hAnsi="Cambria Math" w:eastAsiaTheme="minorEastAsia"/>
                <w:sz w:val="21"/>
              </w:rPr>
            </m:ctrlPr>
          </m:sSubPr>
          <m:e>
            <m:r>
              <m:rPr>
                <m:sty m:val="p"/>
              </m:rPr>
              <w:rPr>
                <w:rFonts w:hint="eastAsia" w:ascii="Cambria Math" w:hAnsi="Cambria Math"/>
                <w:sz w:val="21"/>
                <w:lang w:val="en-US" w:eastAsia="zh-CN"/>
              </w:rPr>
              <m:t>B</m:t>
            </m:r>
            <m:ctrlPr>
              <w:rPr>
                <w:rFonts w:ascii="Cambria Math" w:hAnsi="Cambria Math" w:eastAsiaTheme="minorEastAsia"/>
                <w:sz w:val="21"/>
              </w:rPr>
            </m:ctrlPr>
          </m:e>
          <m:sub>
            <m:r>
              <m:rPr/>
              <w:rPr>
                <w:rFonts w:hint="default" w:ascii="Cambria Math" w:hAnsi="Cambria Math" w:eastAsiaTheme="minorEastAsia"/>
                <w:sz w:val="21"/>
              </w:rPr>
              <m:t>r</m:t>
            </m:r>
            <m:r>
              <m:rPr/>
              <w:rPr>
                <w:rFonts w:hint="default" w:ascii="Cambria Math" w:hAnsi="Cambria Math"/>
                <w:sz w:val="21"/>
                <w:lang w:val="en-US" w:eastAsia="zh-CN"/>
              </w:rPr>
              <m:t xml:space="preserve"> </m:t>
            </m:r>
            <m:ctrlPr>
              <w:rPr>
                <w:rFonts w:ascii="Cambria Math" w:hAnsi="Cambria Math" w:eastAsiaTheme="minorEastAsia"/>
                <w:sz w:val="21"/>
              </w:rPr>
            </m:ctrlPr>
          </m:sub>
        </m:sSub>
      </m:oMath>
      <w:r>
        <w:rPr>
          <w:rFonts w:hint="eastAsia"/>
          <w:lang w:val="en-US" w:eastAsia="zh-CN"/>
        </w:rPr>
        <w:t xml:space="preserve">，并进一步构建反映模型历史审查能力的全局固定权重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lang w:val="en-US" w:eastAsia="zh-CN"/>
        </w:rPr>
        <w:t>；进而，在条目级圆桌讨论（Roundtable Consensus）中，将静态权重与模型在多轮博弈中的动态置信度相结合，驱动异构模型团队收敛至更可靠的质量评估结论。</w:t>
      </w:r>
    </w:p>
    <w:p w14:paraId="58BBC319">
      <w:pPr>
        <w:rPr>
          <w:rFonts w:hint="default"/>
          <w:lang w:val="en-US" w:eastAsia="zh-CN"/>
        </w:rPr>
      </w:pPr>
      <w:r>
        <w:rPr>
          <w:rFonts w:hint="default"/>
          <w:lang w:val="en-US" w:eastAsia="zh-CN"/>
        </w:rPr>
        <w:t>基于上述问题陈述，本研究提出以下四个实证研究问题：</w:t>
      </w:r>
    </w:p>
    <w:p w14:paraId="7E27FEF9">
      <w:pPr>
        <w:rPr>
          <w:rFonts w:hint="default"/>
          <w:b/>
          <w:bCs/>
          <w:lang w:val="en-US" w:eastAsia="zh-CN"/>
        </w:rPr>
      </w:pPr>
      <w:r>
        <w:rPr>
          <w:rFonts w:hint="default"/>
          <w:b/>
          <w:bCs/>
          <w:lang w:val="en-US" w:eastAsia="zh-CN"/>
        </w:rPr>
        <w:t>RQ1：在</w:t>
      </w:r>
      <w:r>
        <w:rPr>
          <w:rFonts w:hint="eastAsia"/>
          <w:b/>
          <w:bCs/>
          <w:lang w:val="en-US" w:eastAsia="zh-CN"/>
        </w:rPr>
        <w:t>per-requirement粒度下</w:t>
      </w:r>
      <w:r>
        <w:rPr>
          <w:rFonts w:hint="default"/>
          <w:b/>
          <w:bCs/>
          <w:lang w:val="en-US" w:eastAsia="zh-CN"/>
        </w:rPr>
        <w:t>的四维（U/A/C/V）质量评估中，多异构 LLM 的初始评分表现出怎样的差异结构与离群分布特征</w:t>
      </w:r>
      <w:r>
        <w:rPr>
          <w:rFonts w:hint="eastAsia"/>
          <w:b/>
          <w:bCs/>
          <w:lang w:val="en-US" w:eastAsia="zh-CN"/>
        </w:rPr>
        <w:t>，以及哪些条目与维度更容易出发离群事件</w:t>
      </w:r>
      <w:r>
        <w:rPr>
          <w:rFonts w:hint="default"/>
          <w:b/>
          <w:bCs/>
          <w:lang w:val="en-US" w:eastAsia="zh-CN"/>
        </w:rPr>
        <w:t>？</w:t>
      </w:r>
    </w:p>
    <w:p w14:paraId="018956EF">
      <w:pPr>
        <w:rPr>
          <w:rFonts w:hint="default"/>
          <w:lang w:val="en-US" w:eastAsia="zh-CN"/>
        </w:rPr>
      </w:pPr>
      <w:r>
        <w:rPr>
          <w:rFonts w:hint="default"/>
          <w:lang w:val="en-US" w:eastAsia="zh-CN"/>
        </w:rPr>
        <w:t>该问题关注评分分歧本身，旨在刻画多模型需求质量评审中的差异结构、离群分布和偏向模式，为后续离群判别提供经验基础。</w:t>
      </w:r>
    </w:p>
    <w:p w14:paraId="58BA4015">
      <w:pPr>
        <w:rPr>
          <w:rFonts w:hint="default"/>
          <w:b/>
          <w:bCs/>
          <w:lang w:val="en-US" w:eastAsia="zh-CN"/>
        </w:rPr>
      </w:pPr>
      <w:r>
        <w:rPr>
          <w:rFonts w:hint="default"/>
          <w:b/>
          <w:bCs/>
          <w:lang w:val="en-US" w:eastAsia="zh-CN"/>
        </w:rPr>
        <w:t>RQ2：基于论证质量向量的判别机制能否有效区分“好离群”与“坏离群”？</w:t>
      </w:r>
    </w:p>
    <w:p w14:paraId="12071272">
      <w:pPr>
        <w:rPr>
          <w:rFonts w:hint="default"/>
          <w:lang w:val="en-US" w:eastAsia="zh-CN"/>
        </w:rPr>
      </w:pPr>
      <w:r>
        <w:rPr>
          <w:rFonts w:hint="eastAsia"/>
          <w:lang w:val="en-US" w:eastAsia="zh-CN"/>
        </w:rPr>
        <w:t>该问题关注事件级判别的有效性，核心在于检验论证深度特征是否能准确识别出具有高审查价值的少数派意见，避免对高价值异议的误判，从而将“高质量异议”与“低质量偏离”区分开来。</w:t>
      </w:r>
    </w:p>
    <w:p w14:paraId="2C707571">
      <w:pPr>
        <w:rPr>
          <w:rFonts w:hint="default"/>
          <w:b/>
          <w:bCs/>
          <w:lang w:val="en-US" w:eastAsia="zh-CN"/>
        </w:rPr>
      </w:pPr>
      <w:r>
        <w:rPr>
          <w:rFonts w:hint="default"/>
          <w:b/>
          <w:bCs/>
          <w:lang w:val="en-US" w:eastAsia="zh-CN"/>
        </w:rPr>
        <w:t>RQ3：结合好/坏离群表现所构建的</w:t>
      </w:r>
      <w:r>
        <w:rPr>
          <w:rFonts w:hint="eastAsia"/>
          <w:b/>
          <w:bCs/>
          <w:lang w:val="en-US" w:eastAsia="zh-CN"/>
        </w:rPr>
        <w:t>模型画像与</w:t>
      </w:r>
      <w:r>
        <w:rPr>
          <w:rFonts w:hint="default"/>
          <w:b/>
          <w:bCs/>
          <w:lang w:val="en-US" w:eastAsia="zh-CN"/>
        </w:rPr>
        <w:t>全局固定权重，能否更客观地反映模型在需求缺陷审查中的真实贡献？</w:t>
      </w:r>
    </w:p>
    <w:p w14:paraId="74762C3A">
      <w:pPr>
        <w:rPr>
          <w:rFonts w:hint="default"/>
          <w:lang w:val="en-US" w:eastAsia="zh-CN"/>
        </w:rPr>
      </w:pPr>
      <w:r>
        <w:rPr>
          <w:rFonts w:hint="eastAsia"/>
          <w:lang w:val="en-US" w:eastAsia="zh-CN"/>
        </w:rPr>
        <w:t>该问题关注模型级定权的有效性，</w:t>
      </w:r>
      <w:r>
        <w:rPr>
          <w:rFonts w:hint="default"/>
          <w:lang w:val="en-US" w:eastAsia="zh-CN"/>
        </w:rPr>
        <w:t>旨在验证基于历史离群表现的模型定权策略是否优于等权或单纯基于趋同度的集成方法。</w:t>
      </w:r>
    </w:p>
    <w:p w14:paraId="43A162D2">
      <w:pPr>
        <w:rPr>
          <w:rFonts w:hint="default"/>
          <w:b/>
          <w:bCs/>
          <w:lang w:val="en-US" w:eastAsia="zh-CN"/>
        </w:rPr>
      </w:pPr>
      <w:r>
        <w:rPr>
          <w:rFonts w:hint="default"/>
          <w:b/>
          <w:bCs/>
          <w:lang w:val="en-US" w:eastAsia="zh-CN"/>
        </w:rPr>
        <w:t>RQ4：融合固定模型权重与动态置信度的条目级圆桌共识机制，能否有效提升最终需求优化建议集合的收敛性与可用性？</w:t>
      </w:r>
    </w:p>
    <w:p w14:paraId="74C7E3E6">
      <w:pPr>
        <w:rPr>
          <w:rFonts w:hint="default"/>
          <w:lang w:val="en-US" w:eastAsia="zh-CN"/>
        </w:rPr>
      </w:pPr>
      <w:r>
        <w:rPr>
          <w:rFonts w:hint="eastAsia"/>
          <w:lang w:val="en-US" w:eastAsia="zh-CN"/>
        </w:rPr>
        <w:t>该问题关注最终团队结论阶段的有效性，</w:t>
      </w:r>
      <w:r>
        <w:rPr>
          <w:rFonts w:hint="default"/>
          <w:lang w:val="en-US" w:eastAsia="zh-CN"/>
        </w:rPr>
        <w:t>旨在评估</w:t>
      </w:r>
      <w:r>
        <w:rPr>
          <w:rFonts w:hint="eastAsia"/>
          <w:lang w:val="en-US" w:eastAsia="zh-CN"/>
        </w:rPr>
        <w:t>本文</w:t>
      </w:r>
      <w:r>
        <w:rPr>
          <w:rFonts w:hint="default"/>
          <w:lang w:val="en-US" w:eastAsia="zh-CN"/>
        </w:rPr>
        <w:t>框架输出的团队结论在实际需求评审任务中的有效性、证据连贯性与改写建议的可执行度。</w:t>
      </w:r>
    </w:p>
    <w:p w14:paraId="75BBF644">
      <w:pPr>
        <w:rPr>
          <w:rFonts w:hint="eastAsia"/>
          <w:lang w:val="en-US" w:eastAsia="zh-CN"/>
        </w:rPr>
      </w:pPr>
      <w:r>
        <w:rPr>
          <w:rFonts w:hint="eastAsia"/>
          <w:lang w:val="en-US" w:eastAsia="zh-CN"/>
        </w:rPr>
        <w:t>​</w:t>
      </w:r>
    </w:p>
    <w:p w14:paraId="27418239">
      <w:pPr>
        <w:rPr>
          <w:rFonts w:hint="eastAsia"/>
          <w:lang w:val="en-US" w:eastAsia="zh-CN"/>
        </w:rPr>
      </w:pPr>
    </w:p>
    <w:p w14:paraId="518D0FBD">
      <w:pPr>
        <w:pStyle w:val="3"/>
        <w:bidi w:val="0"/>
        <w:jc w:val="left"/>
        <w:rPr>
          <w:rFonts w:hint="eastAsia"/>
          <w:lang w:val="en-US" w:eastAsia="zh-CN"/>
        </w:rPr>
      </w:pPr>
      <w:r>
        <w:rPr>
          <w:rFonts w:hint="eastAsia"/>
          <w:lang w:val="en-US" w:eastAsia="zh-CN"/>
        </w:rPr>
        <w:t>4 Methodology</w:t>
      </w:r>
    </w:p>
    <w:p w14:paraId="290B56E7">
      <w:pPr>
        <w:rPr>
          <w:rFonts w:hint="default" w:eastAsiaTheme="minorEastAsia"/>
          <w:lang w:val="en-US" w:eastAsia="zh-CN"/>
        </w:rPr>
      </w:pPr>
      <w:r>
        <w:rPr>
          <w:rFonts w:hint="default"/>
          <w:lang w:val="en-US" w:eastAsia="zh-CN"/>
        </w:rPr>
        <w:t>本研究构建了一种融合多大语言模型与动态圆桌共识机制的自动化需求质量评估框架</w:t>
      </w:r>
      <w:r>
        <w:rPr>
          <w:rFonts w:hint="eastAsia"/>
          <w:lang w:val="en-US" w:eastAsia="zh-CN"/>
        </w:rPr>
        <w:t xml:space="preserve">，其核心目标是在单份需求文档内部，以per-requirement为分析粒度，将多个异构大语言模型对同一需求条目的质量判断、证据与改写建议组织为可解释、可复现的团队级问题清单。设待评估的需求条目集合为 </w:t>
      </w:r>
      <m:oMath>
        <m:r>
          <m:rPr>
            <m:scr m:val="script"/>
          </m:rPr>
          <w:rPr>
            <w:rFonts w:hint="default" w:ascii="Cambria Math" w:hAnsi="Cambria Math" w:eastAsia="MS Mincho"/>
            <w:sz w:val="21"/>
          </w:rPr>
          <m:t>ℐ</m:t>
        </m:r>
        <m:r>
          <m:rPr/>
          <w:rPr>
            <w:rFonts w:hint="default" w:ascii="Cambria Math" w:hAnsi="Cambria Math" w:eastAsiaTheme="minorEastAsia"/>
            <w:sz w:val="21"/>
          </w:rPr>
          <m:t>={1,…,n}</m:t>
        </m:r>
      </m:oMath>
      <w:r>
        <w:rPr>
          <w:rFonts w:hint="eastAsia"/>
          <w:lang w:val="en-US" w:eastAsia="zh-CN"/>
        </w:rPr>
        <w:t>，评价维度集合限定为</w:t>
      </w:r>
      <m:oMath>
        <m:r>
          <m:rPr>
            <m:scr m:val="script"/>
          </m:rPr>
          <w:rPr>
            <w:rFonts w:hint="default" w:ascii="Cambria Math" w:hAnsi="Cambria Math" w:eastAsia="MS Mincho"/>
            <w:sz w:val="21"/>
          </w:rPr>
          <m:t>D</m:t>
        </m:r>
        <m:r>
          <m:rPr/>
          <w:rPr>
            <w:rFonts w:hint="default" w:ascii="Cambria Math" w:hAnsi="Cambria Math" w:eastAsiaTheme="minorEastAsia"/>
            <w:sz w:val="21"/>
          </w:rPr>
          <m:t>={U,A,C,V}</m:t>
        </m:r>
      </m:oMath>
      <w:r>
        <w:rPr>
          <w:rFonts w:hint="eastAsia" w:hAnsi="Cambria Math"/>
          <w:i w:val="0"/>
          <w:sz w:val="21"/>
          <w:lang w:eastAsia="zh-CN"/>
        </w:rPr>
        <w:t>，</w:t>
      </w:r>
      <w:r>
        <w:rPr>
          <w:rFonts w:hint="eastAsia" w:hAnsi="Cambria Math"/>
          <w:i w:val="0"/>
          <w:sz w:val="21"/>
          <w:lang w:val="en-US" w:eastAsia="zh-CN"/>
        </w:rPr>
        <w:t>分别对应可理解性 Understandable、无歧义性 Unambiguous、正确性 Correctness 与可验证性 Verifiable。</w:t>
      </w:r>
    </w:p>
    <w:p w14:paraId="5B4C60E5">
      <w:pPr>
        <w:rPr>
          <w:rFonts w:hint="default"/>
          <w:lang w:val="en-US" w:eastAsia="zh-CN"/>
        </w:rPr>
      </w:pPr>
      <w:r>
        <w:rPr>
          <w:rFonts w:hint="eastAsia"/>
          <w:lang w:val="en-US" w:eastAsia="zh-CN"/>
        </w:rPr>
        <w:t xml:space="preserve">对于任意模型或评分者 </w:t>
      </w:r>
      <m:oMath>
        <m:r>
          <m:rPr/>
          <w:rPr>
            <w:rFonts w:hint="default" w:ascii="Cambria Math" w:hAnsi="Cambria Math" w:eastAsiaTheme="minorEastAsia"/>
            <w:sz w:val="21"/>
          </w:rPr>
          <m:t>r∈</m:t>
        </m:r>
        <m:r>
          <m:rPr>
            <m:scr m:val="script"/>
          </m:rPr>
          <w:rPr>
            <w:rFonts w:hint="default" w:ascii="Cambria Math" w:hAnsi="Cambria Math" w:eastAsia="MS Mincho"/>
            <w:sz w:val="21"/>
          </w:rPr>
          <m:t>ℛ</m:t>
        </m:r>
      </m:oMath>
      <w:r>
        <w:rPr>
          <w:rFonts w:hint="eastAsia"/>
          <w:lang w:val="en-US" w:eastAsia="zh-CN"/>
        </w:rPr>
        <w:t xml:space="preserve">、需求条目 </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lang w:val="en-US" w:eastAsia="zh-CN"/>
        </w:rPr>
        <w:t xml:space="preserve"> 以及维度</w:t>
      </w:r>
      <m:oMath>
        <m:r>
          <m:rPr/>
          <w:rPr>
            <w:rFonts w:hint="default" w:ascii="Cambria Math" w:hAnsi="Cambria Math" w:eastAsiaTheme="minorEastAsia"/>
            <w:sz w:val="21"/>
          </w:rPr>
          <m:t>d∈</m:t>
        </m:r>
        <m:r>
          <m:rPr>
            <m:scr m:val="script"/>
          </m:rPr>
          <w:rPr>
            <w:rFonts w:hint="default" w:ascii="Cambria Math" w:hAnsi="Cambria Math" w:eastAsia="MS Mincho"/>
            <w:sz w:val="21"/>
          </w:rPr>
          <m:t>D</m:t>
        </m:r>
      </m:oMath>
      <w:r>
        <w:rPr>
          <w:rFonts w:hint="eastAsia"/>
          <w:lang w:val="en-US" w:eastAsia="zh-CN"/>
        </w:rPr>
        <w:t xml:space="preserve">，模型输出一个 Likert 1..5 的评分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lang w:val="en-US" w:eastAsia="zh-CN"/>
        </w:rPr>
        <w:t>，并提供相应的置信度、证据片段与建议改写。本文的方法流程通过以下七个阶段，将多模型的异质化评分转化为可复现的团队级需求诊断清单：多LLM逐条需求结构化评分、基于中位数的离群事件自动预筛、论证质量向量评分、好离群/坏离群判别、模型画像与权重构造、固定权重与动态置信度融合的条目级圆桌共识，以及最终问题清单提取。</w:t>
      </w:r>
    </w:p>
    <w:p w14:paraId="01C5B466">
      <w:pPr>
        <w:pStyle w:val="4"/>
        <w:bidi w:val="0"/>
        <w:rPr>
          <w:rFonts w:hint="eastAsia"/>
          <w:lang w:val="en-US" w:eastAsia="zh-CN"/>
        </w:rPr>
      </w:pPr>
      <w:r>
        <w:rPr>
          <w:rFonts w:hint="eastAsia"/>
          <w:lang w:val="en-US" w:eastAsia="zh-CN"/>
        </w:rPr>
        <w:t>4.1 阶段1：多 LLM 逐条需求结构化评分</w:t>
      </w:r>
    </w:p>
    <w:p w14:paraId="3F7E4BB1">
      <w:pPr>
        <w:rPr>
          <w:rFonts w:hint="eastAsia"/>
          <w:lang w:val="en-US" w:eastAsia="zh-CN"/>
        </w:rPr>
      </w:pPr>
      <w:r>
        <w:rPr>
          <w:rFonts w:hint="eastAsia"/>
          <w:lang w:val="en-US" w:eastAsia="zh-CN"/>
        </w:rPr>
        <w:t>在该阶段，鉴于分析粒度严格限定为逐条需求（per-requirement），我们输入包含需求编号（item）与需求原文（text）的需求条目表requirements，同时引入多个异构LLM（记为评估者</w:t>
      </w:r>
      <m:oMath>
        <m:r>
          <m:rPr/>
          <w:rPr>
            <w:rFonts w:hint="default" w:ascii="Cambria Math" w:hAnsi="Cambria Math"/>
            <w:sz w:val="21"/>
          </w:rPr>
          <m:t>r</m:t>
        </m:r>
      </m:oMath>
      <w:r>
        <w:rPr>
          <w:rFonts w:hint="eastAsia"/>
          <w:lang w:val="en-US" w:eastAsia="zh-CN"/>
        </w:rPr>
        <w:t>）作为虚拟评审员。对每条需求（记作</w:t>
      </w:r>
      <m:oMath>
        <m:r>
          <m:rPr/>
          <w:rPr>
            <w:rFonts w:hint="default" w:ascii="Cambria Math" w:hAnsi="Cambria Math" w:eastAsiaTheme="minorEastAsia"/>
            <w:sz w:val="21"/>
          </w:rPr>
          <m:t>xi</m:t>
        </m:r>
      </m:oMath>
      <w:r>
        <w:rPr>
          <w:rFonts w:hint="eastAsia"/>
          <w:lang w:val="en-US" w:eastAsia="zh-CN"/>
        </w:rPr>
        <w:t>），系统调用每个模型</w:t>
      </w:r>
      <m:oMath>
        <m:r>
          <m:rPr/>
          <w:rPr>
            <w:rFonts w:hint="default" w:ascii="Cambria Math" w:hAnsi="Cambria Math" w:eastAsiaTheme="minorEastAsia"/>
            <w:sz w:val="21"/>
          </w:rPr>
          <m:t>r∈ℛ</m:t>
        </m:r>
      </m:oMath>
      <w:r>
        <w:rPr>
          <w:rFonts w:hint="eastAsia" w:hAnsi="Cambria Math"/>
          <w:i w:val="0"/>
          <w:sz w:val="21"/>
          <w:lang w:val="en-US" w:eastAsia="zh-CN"/>
        </w:rPr>
        <w:t>针对需求条目</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hAnsi="Cambria Math" w:eastAsia="宋体"/>
          <w:i w:val="0"/>
          <w:sz w:val="21"/>
          <w:lang w:val="en-US" w:eastAsia="zh-CN"/>
        </w:rPr>
        <w:t>在维度</w:t>
      </w:r>
      <m:oMath>
        <m:r>
          <m:rPr/>
          <w:rPr>
            <w:rFonts w:hint="default" w:ascii="Cambria Math" w:hAnsi="Cambria Math" w:eastAsia="MS Mincho"/>
            <w:sz w:val="21"/>
          </w:rPr>
          <m:t>d∈</m:t>
        </m:r>
        <m:r>
          <m:rPr>
            <m:scr m:val="script"/>
          </m:rPr>
          <w:rPr>
            <w:rFonts w:hint="default" w:ascii="Cambria Math" w:hAnsi="Cambria Math" w:eastAsia="MS Mincho"/>
            <w:sz w:val="21"/>
          </w:rPr>
          <m:t>D</m:t>
        </m:r>
      </m:oMath>
      <w:r>
        <w:rPr>
          <w:rFonts w:hint="eastAsia" w:hAnsi="Cambria Math" w:eastAsia="宋体"/>
          <w:i w:val="0"/>
          <w:sz w:val="21"/>
          <w:lang w:val="en-US" w:eastAsia="zh-CN"/>
        </w:rPr>
        <w:t>上进行独立推断，依据1..5分的Likert量表对单条需求独立评分。每个模型必须输出四维评分（</w:t>
      </w:r>
      <m:oMath>
        <m:r>
          <m:rPr/>
          <w:rPr>
            <w:rFonts w:hint="default" w:ascii="Cambria Math" w:hAnsi="Cambria Math" w:eastAsia="MS Mincho"/>
            <w:sz w:val="21"/>
          </w:rPr>
          <m:t>score</m:t>
        </m:r>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∈{1,2,3,4,5}</m:t>
        </m:r>
      </m:oMath>
      <w:r>
        <w:rPr>
          <w:rFonts w:hint="eastAsia" w:hAnsi="Cambria Math" w:eastAsia="宋体"/>
          <w:i w:val="0"/>
          <w:sz w:val="21"/>
          <w:lang w:eastAsia="zh-CN"/>
        </w:rPr>
        <w:t>）</w:t>
      </w:r>
      <w:r>
        <w:rPr>
          <w:rFonts w:hint="eastAsia" w:hAnsi="Cambria Math" w:eastAsia="宋体"/>
          <w:i w:val="0"/>
          <w:sz w:val="21"/>
          <w:lang w:val="en-US" w:eastAsia="zh-CN"/>
        </w:rPr>
        <w:t>、初始置信度（</w:t>
      </w:r>
      <m:oMath>
        <m:r>
          <m:rPr/>
          <w:rPr>
            <w:rFonts w:hint="default" w:ascii="Cambria Math" w:hAnsi="Cambria Math" w:eastAsia="MS Mincho"/>
            <w:sz w:val="21"/>
          </w:rPr>
          <m:t>con</m:t>
        </m:r>
        <m:sSub>
          <m:sSubPr>
            <m:ctrlPr>
              <w:rPr>
                <w:rFonts w:hint="default" w:ascii="Cambria Math" w:hAnsi="Cambria Math" w:eastAsia="MS Mincho"/>
                <w:sz w:val="21"/>
              </w:rPr>
            </m:ctrlPr>
          </m:sSubPr>
          <m:e>
            <m:r>
              <m:rPr/>
              <w:rPr>
                <w:rFonts w:hint="default" w:ascii="Cambria Math" w:hAnsi="Cambria Math" w:eastAsia="MS Mincho"/>
                <w:sz w:val="21"/>
              </w:rPr>
              <m:t>f</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∈[0,1]</m:t>
        </m:r>
      </m:oMath>
      <w:r>
        <w:rPr>
          <w:rFonts w:hint="eastAsia" w:hAnsi="Cambria Math" w:eastAsia="宋体"/>
          <w:i w:val="0"/>
          <w:sz w:val="21"/>
          <w:lang w:eastAsia="zh-CN"/>
        </w:rPr>
        <w:t>）、</w:t>
      </w:r>
      <w:r>
        <w:rPr>
          <w:rFonts w:hint="eastAsia" w:hAnsi="Cambria Math" w:eastAsia="宋体"/>
          <w:i w:val="0"/>
          <w:sz w:val="21"/>
          <w:lang w:val="en-US" w:eastAsia="zh-CN"/>
        </w:rPr>
        <w:t>相对应的原文证据片段（evidence），以及原子化、无歧义且可执行的建议改写（rewrite_suggestion）。该阶段承担两个基础功能。其一，它将多模型意见统一到相同维度协议和相同数值区间内，使后续的离群识别具有可比较性。其二，它显式地保留证据与改写建议，而不是仅保留数值评分，从而为后续论证质量判定和圆桌讨论提供可审查地语义材料。总而言之，本阶段的输出并非单纯的评分矩阵，而是一个同时保留数值判断与语义判断的结构化多模型评审结果。</w:t>
      </w:r>
    </w:p>
    <w:p w14:paraId="00C5D5E5">
      <w:pPr>
        <w:pStyle w:val="4"/>
        <w:bidi w:val="0"/>
        <w:rPr>
          <w:rFonts w:hint="eastAsia"/>
          <w:lang w:val="en-US" w:eastAsia="zh-CN"/>
        </w:rPr>
      </w:pPr>
      <w:r>
        <w:rPr>
          <w:rFonts w:hint="eastAsia"/>
          <w:lang w:val="en-US" w:eastAsia="zh-CN"/>
        </w:rPr>
        <w:t>4.2 阶段2：离群事件自动预筛</w:t>
      </w:r>
    </w:p>
    <w:p w14:paraId="063B2C22">
      <w:pPr>
        <w:rPr>
          <w:rFonts w:hint="eastAsia"/>
          <w:lang w:val="en-US" w:eastAsia="zh-CN"/>
        </w:rPr>
      </w:pPr>
      <w:r>
        <w:rPr>
          <w:rFonts w:hint="eastAsia"/>
          <w:lang w:val="en-US" w:eastAsia="zh-CN"/>
        </w:rPr>
        <w:t>多LLM评分往往存在显著分歧。本阶段旨在从海量评分长表中识别出严重偏离群体共识的“离群事件”（Outlier Events），以作为后续深度审查的重点。</w:t>
      </w:r>
    </w:p>
    <w:p w14:paraId="6FFDC5E0">
      <w:pPr>
        <w:rPr>
          <w:rFonts w:hint="eastAsia" w:hAnsi="Cambria Math"/>
          <w:i w:val="0"/>
          <w:sz w:val="21"/>
          <w:lang w:val="en-US" w:eastAsia="zh-CN"/>
        </w:rPr>
      </w:pPr>
      <w:r>
        <w:rPr>
          <w:rFonts w:hint="eastAsia"/>
          <w:lang w:val="en-US" w:eastAsia="zh-CN"/>
        </w:rPr>
        <w:t>针对阶段1产出的包含评分分值的全量结构化结果集合，为消除单一模型偏差，我们以模型群体的中位数作为一致性基准。对于每个需求条目</w:t>
      </w:r>
      <m:oMath>
        <m:r>
          <m:rPr/>
          <w:rPr>
            <w:rFonts w:hint="default" w:ascii="Cambria Math" w:hAnsi="Cambria Math"/>
            <w:sz w:val="21"/>
          </w:rPr>
          <m:t>i</m:t>
        </m:r>
      </m:oMath>
      <w:r>
        <w:rPr>
          <w:rFonts w:hint="eastAsia" w:hAnsi="Cambria Math"/>
          <w:i w:val="0"/>
          <w:sz w:val="21"/>
          <w:lang w:val="en-US" w:eastAsia="zh-CN"/>
        </w:rPr>
        <w:t>和每个维度</w:t>
      </w:r>
      <m:oMath>
        <m:r>
          <m:rPr/>
          <w:rPr>
            <w:rFonts w:hint="default" w:ascii="Cambria Math" w:hAnsi="Cambria Math"/>
            <w:sz w:val="21"/>
          </w:rPr>
          <m:t>d</m:t>
        </m:r>
      </m:oMath>
      <w:r>
        <w:rPr>
          <w:rFonts w:hint="eastAsia" w:hAnsi="Cambria Math"/>
          <w:i w:val="0"/>
          <w:sz w:val="21"/>
          <w:lang w:eastAsia="zh-CN"/>
        </w:rPr>
        <w:t>，</w:t>
      </w:r>
      <w:r>
        <w:rPr>
          <w:rFonts w:hint="eastAsia"/>
          <w:lang w:val="en-US" w:eastAsia="zh-CN"/>
        </w:rPr>
        <w:t>我们首先以所有评分者在该二元组</w:t>
      </w:r>
      <m:oMath>
        <m:r>
          <m:rPr/>
          <w:rPr>
            <w:rFonts w:hint="default" w:ascii="Cambria Math" w:hAnsi="Cambria Math" w:eastAsiaTheme="minorEastAsia"/>
            <w:sz w:val="21"/>
          </w:rPr>
          <m:t>(i,d)</m:t>
        </m:r>
      </m:oMath>
      <w:r>
        <w:rPr>
          <w:rFonts w:hint="eastAsia"/>
          <w:lang w:val="en-US" w:eastAsia="zh-CN"/>
        </w:rPr>
        <w:t>上的评分集合{</w:t>
      </w:r>
      <m:oMath>
        <m:sSub>
          <m:sSubPr>
            <m:ctrlPr>
              <w:rPr>
                <w:rFonts w:hint="default" w:ascii="Cambria Math" w:hAnsi="Cambria Math" w:eastAsiaTheme="minorEastAsia"/>
                <w:sz w:val="21"/>
              </w:rPr>
            </m:ctrlPr>
          </m:sSub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sz w:val="21"/>
                <w:lang w:val="en-US" w:eastAsia="zh-CN"/>
              </w:rPr>
              <m:t>}</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oMath>
      <w:r>
        <w:rPr>
          <w:rFonts w:hint="eastAsia" w:hAnsi="Cambria Math"/>
          <w:i w:val="0"/>
          <w:sz w:val="21"/>
          <w:lang w:val="en-US" w:eastAsia="zh-CN"/>
        </w:rPr>
        <w:t>构造中位数基准：</w:t>
      </w:r>
    </w:p>
    <w:p w14:paraId="0DB2E625">
      <w:pPr>
        <w:rPr>
          <w:rFonts w:hint="default" w:hAnsi="Cambria Math" w:eastAsiaTheme="minorEastAsia"/>
          <w:i w:val="0"/>
          <w:sz w:val="21"/>
        </w:rPr>
      </w:pPr>
      <m:oMathPara>
        <m:oMath>
          <m:eqArr>
            <m:eqArrPr>
              <m:maxDist m:val="1"/>
              <m:ctrlPr>
                <w:rPr>
                  <w:rFonts w:hint="default" w:ascii="Cambria Math" w:hAnsi="Cambria Math" w:eastAsiaTheme="minorEastAsia"/>
                  <w:sz w:val="21"/>
                </w:rPr>
              </m:ctrlPr>
            </m:eqArrP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m:t>
              </m:r>
              <m:ctrlPr>
                <w:rPr>
                  <w:rFonts w:hint="default" w:ascii="Cambria Math" w:hAnsi="Cambria Math" w:eastAsiaTheme="minorEastAsia"/>
                  <w:sz w:val="21"/>
                </w:rPr>
              </m:ctrlPr>
            </m:e>
          </m:eqArr>
        </m:oMath>
      </m:oMathPara>
    </w:p>
    <w:p w14:paraId="63E28DFE">
      <w:pPr>
        <w:rPr>
          <w:rFonts w:hint="eastAsia" w:hAnsi="Cambria Math"/>
          <w:i w:val="0"/>
          <w:sz w:val="21"/>
          <w:lang w:val="en-US" w:eastAsia="zh-CN"/>
        </w:rPr>
      </w:pPr>
      <w:r>
        <w:rPr>
          <w:rFonts w:hint="eastAsia" w:hAnsi="Cambria Math"/>
          <w:i w:val="0"/>
          <w:sz w:val="21"/>
          <w:lang w:val="en-US" w:eastAsia="zh-CN"/>
        </w:rPr>
        <w:t>并在此基础上，对每个评分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计算偏差与绝对偏差：</w:t>
      </w:r>
    </w:p>
    <w:p w14:paraId="0F5BE8A1">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(2)</m:t>
              </m:r>
              <m:ctrlPr>
                <w:rPr>
                  <w:rFonts w:hint="default" w:ascii="Cambria Math" w:hAnsi="Cambria Math" w:eastAsiaTheme="minorEastAsia"/>
                  <w:i/>
                  <w:sz w:val="21"/>
                </w:rPr>
              </m:ctrlPr>
            </m:e>
          </m:eqArr>
        </m:oMath>
      </m:oMathPara>
    </w:p>
    <w:p w14:paraId="6129726B">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(3)</m:t>
              </m:r>
              <m:ctrlPr>
                <w:rPr>
                  <w:rFonts w:hint="default" w:ascii="Cambria Math" w:hAnsi="Cambria Math" w:eastAsiaTheme="minorEastAsia"/>
                  <w:i/>
                  <w:sz w:val="21"/>
                </w:rPr>
              </m:ctrlPr>
            </m:e>
          </m:eqArr>
        </m:oMath>
      </m:oMathPara>
    </w:p>
    <w:p w14:paraId="7C629C5F">
      <w:pPr>
        <w:rPr>
          <w:rFonts w:hint="eastAsia" w:hAnsi="Cambria Math"/>
          <w:i w:val="0"/>
          <w:sz w:val="21"/>
          <w:lang w:val="en-US" w:eastAsia="zh-CN"/>
        </w:rPr>
      </w:pPr>
      <w:r>
        <w:rPr>
          <w:rFonts w:hint="eastAsia" w:hAnsi="Cambria Math"/>
          <w:i w:val="0"/>
          <w:sz w:val="21"/>
          <w:lang w:val="en-US" w:eastAsia="zh-CN"/>
        </w:rPr>
        <w:t>设定离群敏感阈值</w:t>
      </w:r>
      <m:oMath>
        <m:r>
          <m:rPr/>
          <w:rPr>
            <w:rFonts w:hint="default" w:ascii="Cambria Math" w:hAnsi="Cambria Math" w:eastAsiaTheme="minorEastAsia"/>
            <w:sz w:val="21"/>
          </w:rPr>
          <m:t>δ=2</m:t>
        </m:r>
      </m:oMath>
      <w:r>
        <w:rPr>
          <w:rFonts w:hint="eastAsia" w:hAnsi="Cambria Math"/>
          <w:i w:val="0"/>
          <w:sz w:val="21"/>
          <w:lang w:val="en-US" w:eastAsia="zh-CN"/>
        </w:rPr>
        <w:t>执行自动预筛。因此，当满足</w:t>
      </w:r>
      <m:oMath>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时，判定该三元组</w:t>
      </w:r>
      <m:oMath>
        <m:r>
          <m:rPr/>
          <w:rPr>
            <w:rFonts w:hint="default" w:ascii="Cambria Math" w:hAnsi="Cambria Math" w:eastAsiaTheme="minorEastAsia"/>
            <w:sz w:val="21"/>
          </w:rPr>
          <m:t>(r,i,d)</m:t>
        </m:r>
      </m:oMath>
      <w:r>
        <w:rPr>
          <w:rFonts w:hint="eastAsia" w:hAnsi="Cambria Math"/>
          <w:i w:val="0"/>
          <w:sz w:val="21"/>
          <w:lang w:val="en-US" w:eastAsia="zh-CN"/>
        </w:rPr>
        <w:t>触发离群事件。相应的输出为离群事件集合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作为后续论证质量评估的候选池。</w:t>
      </w:r>
    </w:p>
    <w:p w14:paraId="1932D0A7">
      <w:pPr>
        <w:rPr>
          <w:rFonts w:hint="default" w:hAnsi="Cambria Math" w:eastAsiaTheme="minorEastAsia"/>
          <w:i w:val="0"/>
          <w:sz w:val="21"/>
          <w:lang w:val="en-US" w:eastAsia="zh-CN"/>
        </w:rPr>
      </w:pPr>
      <w:r>
        <w:rPr>
          <w:rFonts w:hint="eastAsia" w:hAnsi="Cambria Math"/>
          <w:i w:val="0"/>
          <w:sz w:val="21"/>
          <w:lang w:val="en-US" w:eastAsia="zh-CN"/>
        </w:rPr>
        <w:t>需要指出的是，本阶段的目的不是将偏离共识的判断直接视为错误，而是构建一个“需要重点审查”的候选集合。其输出是一个待进一步评估的离群事件集合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后续阶段将在该集合上评估论证质量并区分好离群与坏离群。</w:t>
      </w:r>
    </w:p>
    <w:p w14:paraId="25B021D4">
      <w:pPr>
        <w:pStyle w:val="4"/>
        <w:bidi w:val="0"/>
        <w:rPr>
          <w:rFonts w:hint="eastAsia"/>
          <w:lang w:val="en-US" w:eastAsia="zh-CN"/>
        </w:rPr>
      </w:pPr>
      <w:r>
        <w:rPr>
          <w:rFonts w:hint="eastAsia"/>
          <w:lang w:val="en-US" w:eastAsia="zh-CN"/>
        </w:rPr>
        <w:t>4.3 阶段3：论证质量向量评分</w:t>
      </w:r>
    </w:p>
    <w:p w14:paraId="60BF7D90">
      <w:pPr>
        <w:rPr>
          <w:rFonts w:hint="eastAsia"/>
          <w:lang w:val="en-US" w:eastAsia="zh-CN"/>
        </w:rPr>
      </w:pPr>
      <w:r>
        <w:rPr>
          <w:rFonts w:hint="eastAsia"/>
          <w:lang w:val="en-US" w:eastAsia="zh-CN"/>
        </w:rPr>
        <w:t>离群并不必然代表错误（“坏离群”），它也可能是模型发现了隐蔽缺陷并给出了高质量论证（“好离群”）。本阶段旨在通过六维特征对离群事件的文本输出进行深度质量量化。</w:t>
      </w:r>
    </w:p>
    <w:p w14:paraId="18B63CBA">
      <w:pPr>
        <w:rPr>
          <w:rFonts w:hint="eastAsia" w:hAnsi="Cambria Math"/>
          <w:i w:val="0"/>
          <w:sz w:val="21"/>
          <w:lang w:val="en-US" w:eastAsia="zh-CN"/>
        </w:rPr>
      </w:pPr>
      <w:r>
        <w:rPr>
          <w:rFonts w:hint="eastAsia"/>
          <w:lang w:val="en-US" w:eastAsia="zh-CN"/>
        </w:rPr>
        <w:t>该阶段的输入为离群事件集合</w:t>
      </w:r>
      <m:oMath>
        <m:r>
          <m:rPr/>
          <w:rPr>
            <w:rFonts w:hint="default" w:ascii="Cambria Math" w:hAnsi="Cambria Math" w:eastAsiaTheme="minorEastAsia"/>
            <w:sz w:val="21"/>
          </w:rPr>
          <m:t>H</m:t>
        </m:r>
      </m:oMath>
      <w:r>
        <w:rPr>
          <w:rFonts w:hint="eastAsia" w:hAnsi="Cambria Math"/>
          <w:i w:val="0"/>
          <w:sz w:val="21"/>
          <w:lang w:val="en-US" w:eastAsia="zh-CN"/>
        </w:rPr>
        <w:t>及其关联的文本证据与改写建议。针对已触发离群的三元组</w:t>
      </w:r>
      <m:oMath>
        <m:r>
          <m:rPr/>
          <w:rPr>
            <w:rFonts w:hint="default" w:ascii="Cambria Math" w:hAnsi="Cambria Math" w:eastAsiaTheme="minorEastAsia"/>
            <w:sz w:val="21"/>
          </w:rPr>
          <m:t>(r,i,d)</m:t>
        </m:r>
      </m:oMath>
      <w:r>
        <w:rPr>
          <w:rFonts w:hint="eastAsia" w:hAnsi="Cambria Math"/>
          <w:i w:val="0"/>
          <w:sz w:val="21"/>
          <w:lang w:val="en-US" w:eastAsia="zh-CN"/>
        </w:rPr>
        <w:t>进行质量评估。每个离群事件都要被映射为一个六维论证质量向量，六个子项分别为：证据充分性</w:t>
      </w:r>
      <m:oMath>
        <m:sSub>
          <m:sSubPr>
            <m:ctrlPr>
              <w:rPr>
                <w:rFonts w:hint="default" w:ascii="Cambria Math" w:hAnsi="Cambria Math" w:eastAsiaTheme="minorEastAsia"/>
                <w:sz w:val="21"/>
              </w:rPr>
            </m:ctrlPr>
          </m:sSubPr>
          <m:e>
            <m:r>
              <m:rPr/>
              <w:rPr>
                <w:rFonts w:hint="default" w:ascii="Cambria Math" w:hAnsi="Cambria Math"/>
                <w:sz w:val="21"/>
                <w:lang w:val="en-US" w:eastAsia="zh-CN"/>
              </w:rPr>
              <m:t>(</m:t>
            </m:r>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、可证伪/可测试性</w:t>
      </w:r>
      <m:oMath>
        <m:r>
          <m:rPr>
            <m:sty m:val="p"/>
          </m:rPr>
          <w:rPr>
            <w:rFonts w:hint="default" w:ascii="Cambria Math" w:hAnsi="Cambria Math"/>
            <w:sz w:val="21"/>
            <w:lang w:val="en-US" w:eastAsia="zh-CN"/>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falsifiable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、改写可执行性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、理由具体性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specificity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、维度匹配度</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与新颖性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novelty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。六个子项均采用</w:t>
      </w:r>
      <m:oMath>
        <m:r>
          <m:rPr/>
          <w:rPr>
            <w:rFonts w:hint="default" w:ascii="Cambria Math" w:hAnsi="Cambria Math"/>
            <w:sz w:val="21"/>
            <w:lang w:val="en-US" w:eastAsia="zh-CN"/>
          </w:rPr>
          <m:t>{</m:t>
        </m:r>
        <m:r>
          <m:rPr/>
          <w:rPr>
            <w:rFonts w:hint="default" w:ascii="Cambria Math" w:hAnsi="Cambria Math"/>
            <w:sz w:val="21"/>
          </w:rPr>
          <m:t>0,1,2</m:t>
        </m:r>
        <m:r>
          <m:rPr/>
          <w:rPr>
            <w:rFonts w:hint="default" w:ascii="Cambria Math" w:hAnsi="Cambria Math"/>
            <w:sz w:val="21"/>
            <w:lang w:val="en-US" w:eastAsia="zh-CN"/>
          </w:rPr>
          <m:t>}</m:t>
        </m:r>
      </m:oMath>
      <w:r>
        <w:rPr>
          <w:rFonts w:hint="eastAsia" w:hAnsi="Cambria Math"/>
          <w:i w:val="0"/>
          <w:sz w:val="21"/>
          <w:lang w:val="en-US" w:eastAsia="zh-CN"/>
        </w:rPr>
        <w:t>的离散评分，其中更高分值表示该维度上的论证质量更强。</w:t>
      </w:r>
    </w:p>
    <w:p w14:paraId="053A2859">
      <w:pPr>
        <w:rPr>
          <w:rFonts w:hint="eastAsia" w:hAnsi="Cambria Math"/>
          <w:i w:val="0"/>
          <w:sz w:val="21"/>
          <w:lang w:val="en-US" w:eastAsia="zh-CN"/>
        </w:rPr>
      </w:pPr>
      <w:r>
        <w:rPr>
          <w:rFonts w:hint="eastAsia" w:hAnsi="Cambria Math"/>
          <w:i w:val="0"/>
          <w:sz w:val="21"/>
          <w:lang w:val="en-US" w:eastAsia="zh-CN"/>
        </w:rPr>
        <w:t>设某一离散事件的六个子项分别是</w:t>
      </w:r>
      <m:oMath>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m:sty m:val="p"/>
              </m:rPr>
              <w:rPr>
                <w:rFonts w:hint="eastAsia" w:ascii="Cambria Math" w:hAnsi="Cambria Math"/>
                <w:sz w:val="21"/>
                <w:lang w:val="en-US" w:eastAsia="zh-CN"/>
              </w:rPr>
              <m:t>E</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r>
          <m:rPr/>
          <w:rPr>
            <w:rFonts w:hint="default" w:ascii="Cambria Math" w:hAnsi="Cambria Math" w:eastAsiaTheme="minorEastAsia"/>
            <w:sz w:val="21"/>
          </w:rPr>
          <m:t>∈{0,1,2}</m:t>
        </m:r>
      </m:oMath>
      <w:r>
        <w:rPr>
          <w:rFonts w:hint="eastAsia" w:hAnsi="Cambria Math"/>
          <w:i w:val="0"/>
          <w:sz w:val="21"/>
          <w:lang w:eastAsia="zh-CN"/>
        </w:rPr>
        <w:t>。</w:t>
      </w:r>
      <w:r>
        <w:rPr>
          <w:rFonts w:hint="eastAsia" w:hAnsi="Cambria Math"/>
          <w:i w:val="0"/>
          <w:sz w:val="21"/>
          <w:lang w:val="en-US" w:eastAsia="zh-CN"/>
        </w:rPr>
        <w:t>其归一化论证质量分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定义为：</w:t>
      </w:r>
    </w:p>
    <w:p w14:paraId="0A9853F2">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r>
                    <m:rPr/>
                    <w:rPr>
                      <w:rFonts w:hint="default" w:ascii="Cambria Math" w:hAnsi="Cambria Math" w:eastAsiaTheme="minorEastAsia"/>
                      <w:sz w:val="21"/>
                    </w:rPr>
                    <m:t>1</m:t>
                  </m:r>
                  <m:ctrlPr>
                    <w:rPr>
                      <w:rFonts w:ascii="Cambria Math" w:hAnsi="Cambria Math" w:eastAsiaTheme="minorEastAsia"/>
                      <w:sz w:val="21"/>
                    </w:rPr>
                  </m:ctrlPr>
                </m:num>
                <m:den>
                  <m:r>
                    <m:rPr/>
                    <w:rPr>
                      <w:rFonts w:hint="default" w:ascii="Cambria Math" w:hAnsi="Cambria Math" w:eastAsiaTheme="minorEastAsia"/>
                      <w:sz w:val="21"/>
                    </w:rPr>
                    <m:t>6</m:t>
                  </m:r>
                  <m:ctrlPr>
                    <w:rPr>
                      <w:rFonts w:ascii="Cambria Math" w:hAnsi="Cambria Math" w:eastAsiaTheme="minorEastAsia"/>
                      <w:sz w:val="21"/>
                    </w:rPr>
                  </m:ctrlPr>
                </m:den>
              </m:f>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E</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ctrlPr>
                    <w:rPr>
                      <w:rFonts w:hint="default" w:ascii="Cambria Math" w:hAnsi="Cambria Math" w:eastAsiaTheme="minorEastAsia"/>
                      <w:i/>
                      <w:sz w:val="21"/>
                    </w:rPr>
                  </m:ctrlPr>
                </m:e>
              </m:d>
              <m:r>
                <m:rPr/>
                <w:rPr>
                  <w:rFonts w:hint="default" w:ascii="Cambria Math" w:hAnsi="Cambria Math" w:eastAsiaTheme="minorEastAsia"/>
                  <w:sz w:val="21"/>
                </w:rPr>
                <m:t>∈[0,1]</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(4)</m:t>
              </m:r>
              <m:ctrlPr>
                <w:rPr>
                  <w:rFonts w:hint="default" w:ascii="Cambria Math" w:hAnsi="Cambria Math" w:eastAsiaTheme="minorEastAsia"/>
                  <w:i/>
                  <w:sz w:val="21"/>
                </w:rPr>
              </m:ctrlPr>
            </m:e>
          </m:eqArr>
        </m:oMath>
      </m:oMathPara>
    </w:p>
    <w:p w14:paraId="50AB5464">
      <w:pPr>
        <w:rPr>
          <w:rFonts w:hint="default" w:hAnsi="Cambria Math"/>
          <w:i w:val="0"/>
          <w:sz w:val="21"/>
          <w:lang w:val="en-US" w:eastAsia="zh-CN"/>
        </w:rPr>
      </w:pPr>
      <w:r>
        <w:rPr>
          <w:rFonts w:hint="eastAsia" w:hAnsi="Cambria Math"/>
          <w:i w:val="0"/>
          <w:sz w:val="21"/>
          <w:lang w:val="en-US" w:eastAsia="zh-CN"/>
        </w:rPr>
        <w:t>同时，我们设定严格的“硬性否决”（Hard Fail）机制：若</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，则该离群事件直接被判定为“坏离群”。这一规则意味着，即时某个离群事件在其他子项上表现较好，只要其证据缺失、改写不可执行或与维度语义不匹配，就不能被视为高质量异议。</w:t>
      </w:r>
    </w:p>
    <w:p w14:paraId="6D653D9B">
      <w:pPr>
        <w:pStyle w:val="4"/>
        <w:bidi w:val="0"/>
        <w:rPr>
          <w:rFonts w:hint="eastAsia"/>
          <w:lang w:val="en-US" w:eastAsia="zh-CN"/>
        </w:rPr>
      </w:pPr>
      <w:r>
        <w:rPr>
          <w:rFonts w:hint="eastAsia"/>
          <w:lang w:val="en-US" w:eastAsia="zh-CN"/>
        </w:rPr>
        <w:t>4.4 阶段4：好/坏离群判别</w:t>
      </w:r>
    </w:p>
    <w:p w14:paraId="77341400">
      <w:pPr>
        <w:rPr>
          <w:rFonts w:hint="eastAsia" w:hAnsi="Cambria Math"/>
          <w:i w:val="0"/>
          <w:sz w:val="21"/>
          <w:lang w:val="en-US" w:eastAsia="zh-CN"/>
        </w:rPr>
      </w:pPr>
      <w:r>
        <w:rPr>
          <w:rFonts w:hint="eastAsia"/>
          <w:lang w:val="en-US" w:eastAsia="zh-CN"/>
        </w:rPr>
        <w:t>本阶段建立自动化判别逻辑，对离群事件的性质进行分类定性。具体来说，在不改变离群定义的前提下，对每个已识别离群事件进行价值判别，设定经验判定阈值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=0.30</m:t>
        </m:r>
      </m:oMath>
      <w:r>
        <w:rPr>
          <w:rFonts w:hint="eastAsia" w:hAnsi="Cambria Math"/>
          <w:i w:val="0"/>
          <w:sz w:val="21"/>
          <w:lang w:val="en-US" w:eastAsia="zh-CN"/>
        </w:rPr>
        <w:t>作为自动判别边界：若某离群事件满足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则被判定为坏离群（bad）；若满足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则被判定为好离群（good）。同时，我们将为满足上述条件的处于灰色地带的离群定义为不确定事件（Uncertain），用于后续仅在必要时通过“自动预筛+少量人工确认”的方法覆写。形式化地，可写为：</w:t>
      </w:r>
    </w:p>
    <w:p w14:paraId="1094FF89">
      <w:pPr>
        <w:rPr>
          <w:rFonts w:hint="default" w:hAnsi="Cambria Math"/>
          <w:i w:val="0"/>
          <w:sz w:val="21"/>
          <w:lang w:val="en-US" w:eastAsia="zh-CN"/>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2"/>
                            <m:mcJc m:val="left"/>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bad,</m:t>
                        </m:r>
                        <m:ctrlPr>
                          <w:rPr>
                            <w:rFonts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hard_fail=true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or</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good,</m:t>
                        </m:r>
                        <m:ctrlPr>
                          <w:rPr>
                            <w:rFonts w:hint="default"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hard_fail=false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and</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uncertain,</m:t>
                        </m:r>
                        <m:ctrlPr>
                          <w:rPr>
                            <w:rFonts w:hint="default" w:ascii="Cambria Math" w:hAnsi="Cambria Math" w:eastAsiaTheme="minorEastAsia"/>
                            <w:sz w:val="21"/>
                          </w:rPr>
                        </m:ctrlPr>
                      </m:e>
                      <m:e>
                        <m:r>
                          <m:rPr/>
                          <w:rPr>
                            <w:rFonts w:hint="default" w:ascii="Cambria Math" w:hAnsi="Cambria Math" w:eastAsiaTheme="minorEastAsia"/>
                            <w:sz w:val="21"/>
                          </w:rPr>
                          <m:t>otherwise</m:t>
                        </m:r>
                        <m:ctrlPr>
                          <w:rPr>
                            <w:rFonts w:hint="default" w:ascii="Cambria Math" w:hAnsi="Cambria Math" w:eastAsiaTheme="minorEastAsia"/>
                            <w:sz w:val="21"/>
                          </w:rPr>
                        </m:ctrlPr>
                      </m:e>
                    </m:mr>
                  </m:m>
                  <m:ctrlPr>
                    <w:rPr>
                      <w:rFonts w:hint="default" w:ascii="Cambria Math" w:hAnsi="Cambria Math" w:eastAsiaTheme="minorEastAsia"/>
                      <w:i/>
                      <w:sz w:val="21"/>
                    </w:rPr>
                  </m:ctrlPr>
                </m:e>
              </m:d>
              <m:r>
                <m:rPr>
                  <m:sty m:val="p"/>
                </m:rPr>
                <w:rPr>
                  <w:rFonts w:hint="default" w:ascii="Cambria Math" w:hAnsi="Cambria Math" w:eastAsiaTheme="minorEastAsia"/>
                  <w:sz w:val="21"/>
                </w:rPr>
                <m:t>#</m:t>
              </m:r>
              <m:r>
                <m:rPr>
                  <m:sty m:val="p"/>
                </m:rPr>
                <w:rPr>
                  <w:rFonts w:hint="default" w:ascii="Cambria Math" w:hAnsi="Cambria Math"/>
                  <w:sz w:val="21"/>
                  <w:lang w:val="en-US" w:eastAsia="zh-CN"/>
                </w:rPr>
                <m:t>(5)</m:t>
              </m:r>
              <m:ctrlPr>
                <w:rPr>
                  <w:rFonts w:hint="default" w:ascii="Cambria Math" w:hAnsi="Cambria Math" w:eastAsiaTheme="minorEastAsia"/>
                  <w:i/>
                  <w:sz w:val="21"/>
                </w:rPr>
              </m:ctrlPr>
            </m:e>
          </m:eqArr>
        </m:oMath>
      </m:oMathPara>
    </w:p>
    <w:p w14:paraId="2DD9C47C">
      <w:pPr>
        <w:rPr>
          <w:rFonts w:hint="default"/>
          <w:lang w:val="en-US" w:eastAsia="zh-CN"/>
        </w:rPr>
      </w:pPr>
      <w:r>
        <w:rPr>
          <w:rFonts w:hint="eastAsia"/>
          <w:lang w:val="en-US" w:eastAsia="zh-CN"/>
        </w:rPr>
        <w:t>由此，我们可以得到一个包含离群标签的判别表，为后续模型权重学习提供监督信号。这一判别机制体现了本文与简单的“偏差越大越可疑”策略的根本区别。本文并不将所有偏离中位数的评分一概视为错误，而是允许少数模型凭借更充分的证据、更可执行的改写或更高的新颖性，被视为值得优先审查的好离群。相反，若偏离虽大但证据薄弱、维度错配或改写不可落地，则该离群事件将被归入坏离群。这样，离群信息从“异常值”被重新定义为“具有不同审查价值的异议样本”。</w:t>
      </w:r>
    </w:p>
    <w:p w14:paraId="71BAE2CD">
      <w:pPr>
        <w:pStyle w:val="4"/>
        <w:bidi w:val="0"/>
        <w:rPr>
          <w:rFonts w:hint="eastAsia"/>
          <w:lang w:val="en-US" w:eastAsia="zh-CN"/>
        </w:rPr>
      </w:pPr>
      <w:r>
        <w:rPr>
          <w:rFonts w:hint="eastAsia"/>
          <w:lang w:val="en-US" w:eastAsia="zh-CN"/>
        </w:rPr>
        <w:t>4.5 阶段5：模型画像与权重构造</w:t>
      </w:r>
    </w:p>
    <w:p w14:paraId="776F49C7">
      <w:pPr>
        <w:rPr>
          <w:rFonts w:hint="eastAsia" w:hAnsi="Cambria Math"/>
          <w:i w:val="0"/>
          <w:sz w:val="21"/>
          <w:lang w:eastAsia="zh-CN"/>
        </w:rPr>
      </w:pPr>
      <w:r>
        <w:rPr>
          <w:rFonts w:hint="eastAsia"/>
          <w:lang w:val="en-US" w:eastAsia="zh-CN"/>
        </w:rPr>
        <w:t>区别与传统集成学习中平权的投票机制，本框架依据各模型处理离群事件的能力（即是否能产生“好离群”）对其分配不同的全局信任权重。具体来说，本阶段将离群事物级别的质量判断累积为模型级画像，并据此构造在后续圆桌会议上保持固定的模型权重。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我们定义其正向贡献（好离群强度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与负向惩罚（坏离群强度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p>
    <w:p w14:paraId="37585F41">
      <w:pPr>
        <w:rPr>
          <w:rFonts w:hAnsi="Cambria Math" w:eastAsiaTheme="minorEastAsia"/>
          <w:i w:val="0"/>
          <w:sz w:val="21"/>
        </w:rPr>
      </w:pPr>
      <m:oMathPara>
        <m:oMath>
          <m:eqArr>
            <m:eqArrPr>
              <m:maxDist m:val="1"/>
              <m:ctrlPr>
                <w:rPr>
                  <w:rFonts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=good]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(6)</m:t>
              </m:r>
              <m:ctrlPr>
                <w:rPr>
                  <w:rFonts w:ascii="Cambria Math" w:hAnsi="Cambria Math" w:eastAsiaTheme="minorEastAsia"/>
                  <w:i w:val="0"/>
                  <w:sz w:val="21"/>
                </w:rPr>
              </m:ctrlPr>
            </m:e>
          </m:eqArr>
        </m:oMath>
      </m:oMathPara>
    </w:p>
    <w:p w14:paraId="15A27069">
      <w:pPr>
        <w:rPr>
          <w:rFonts w:hint="eastAsia" w:hAnsi="Cambria Math" w:eastAsiaTheme="minorEastAsia"/>
          <w:i w:val="0"/>
          <w:sz w:val="21"/>
          <w:lang w:val="en-US" w:eastAsia="zh-CN"/>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=bad]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(1−</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(7)</m:t>
              </m:r>
              <m:ctrlPr>
                <w:rPr>
                  <w:rFonts w:hint="default" w:ascii="Cambria Math" w:hAnsi="Cambria Math" w:eastAsiaTheme="minorEastAsia"/>
                  <w:i/>
                  <w:sz w:val="21"/>
                </w:rPr>
              </m:ctrlPr>
            </m:e>
          </m:eqArr>
        </m:oMath>
      </m:oMathPara>
    </w:p>
    <w:p w14:paraId="00C3B1BF">
      <w:pPr>
        <w:rPr>
          <w:rFonts w:hint="eastAsia" w:hAnsi="Cambria Math"/>
          <w:i w:val="0"/>
          <w:sz w:val="21"/>
          <w:lang w:val="en-US" w:eastAsia="zh-CN"/>
        </w:rPr>
      </w:pPr>
      <w:r>
        <w:rPr>
          <w:rFonts w:hint="eastAsia"/>
          <w:lang w:val="en-US" w:eastAsia="zh-CN"/>
        </w:rPr>
        <w:t>其中，</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表示模型在识别“高价值异议”方面的累计贡献，</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表示模型在产生“低质量偏离”方面的累计负担，从而体现出了我们“离群并非必然降权：好离群可升权，坏离群降权”的原则。</w:t>
      </w:r>
      <w:r>
        <w:rPr>
          <w:rFonts w:hint="eastAsia" w:hAnsi="Cambria Math"/>
          <w:i w:val="0"/>
          <w:sz w:val="21"/>
          <w:lang w:val="en-US" w:eastAsia="zh-CN"/>
        </w:rPr>
        <w:br w:type="textWrapping"/>
      </w:r>
      <w:r>
        <w:rPr>
          <w:rFonts w:hint="eastAsia" w:hAnsi="Cambria Math"/>
          <w:i w:val="0"/>
          <w:sz w:val="21"/>
          <w:lang w:val="en-US" w:eastAsia="zh-CN"/>
        </w:rPr>
        <w:t>在获得</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和</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后，我们采用Softmax形式将模型画像映射为全局固定权重。首先定义原始权重：</w:t>
      </w:r>
    </w:p>
    <w:p w14:paraId="252B01BD">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raw(r)=</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exp</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r>
                <m:rPr/>
                <w:rPr>
                  <w:rFonts w:hint="default" w:ascii="Cambria Math" w:hAnsi="Cambria Math" w:eastAsiaTheme="minorEastAsia"/>
                  <w:sz w:val="21"/>
                </w:rPr>
                <m:t>β(</m:t>
              </m:r>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−λ</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(8)</m:t>
              </m:r>
              <m:ctrlPr>
                <w:rPr>
                  <w:rFonts w:hint="default" w:ascii="Cambria Math" w:hAnsi="Cambria Math" w:eastAsiaTheme="minorEastAsia"/>
                  <w:i/>
                  <w:sz w:val="21"/>
                </w:rPr>
              </m:ctrlPr>
            </m:e>
          </m:eqArr>
        </m:oMath>
      </m:oMathPara>
    </w:p>
    <w:p w14:paraId="2360DEF7">
      <w:pPr>
        <w:rPr>
          <w:rFonts w:hint="eastAsia" w:hAnsi="Cambria Math"/>
          <w:i w:val="0"/>
          <w:sz w:val="21"/>
          <w:lang w:val="en-US" w:eastAsia="zh-CN"/>
        </w:rPr>
      </w:pPr>
      <w:r>
        <w:rPr>
          <w:rFonts w:hint="eastAsia" w:hAnsi="Cambria Math"/>
          <w:i w:val="0"/>
          <w:sz w:val="21"/>
          <w:lang w:val="en-US" w:eastAsia="zh-CN"/>
        </w:rPr>
        <w:t>再进行归一化：</w:t>
      </w:r>
    </w:p>
    <w:p w14:paraId="2F024003">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r>
                    <m:rPr/>
                    <w:rPr>
                      <w:rFonts w:hint="default" w:ascii="Cambria Math" w:hAnsi="Cambria Math" w:eastAsiaTheme="minorEastAsia"/>
                      <w:sz w:val="21"/>
                    </w:rPr>
                    <m:t>raw(r)</m:t>
                  </m:r>
                  <m:ctrlPr>
                    <w:rPr>
                      <w:rFonts w:ascii="Cambria Math" w:hAnsi="Cambria Math" w:eastAsiaTheme="minorEastAsia"/>
                      <w:sz w:val="21"/>
                    </w:rPr>
                  </m:ctrlPr>
                </m:num>
                <m:den>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j∈</m:t>
                      </m:r>
                      <m:r>
                        <m:rPr>
                          <m:scr m:val="script"/>
                        </m:rPr>
                        <w:rPr>
                          <w:rFonts w:hint="default" w:ascii="Cambria Math" w:hAnsi="Cambria Math" w:eastAsia="MS Mincho"/>
                          <w:sz w:val="21"/>
                        </w:rPr>
                        <m:t>ℛ</m:t>
                      </m:r>
                      <m:ctrlPr>
                        <w:rPr>
                          <w:rFonts w:ascii="Cambria Math" w:hAnsi="Cambria Math" w:eastAsiaTheme="minorEastAsia"/>
                          <w:sz w:val="21"/>
                        </w:rPr>
                      </m:ctrlPr>
                    </m:sub>
                    <m:sup>
                      <m:ctrlPr>
                        <w:rPr>
                          <w:rFonts w:ascii="Cambria Math" w:hAnsi="Cambria Math" w:eastAsiaTheme="minorEastAsia"/>
                          <w:sz w:val="21"/>
                        </w:rPr>
                      </m:ctrlPr>
                    </m:sup>
                    <m:e>
                      <m:r>
                        <m:rPr/>
                        <w:rPr>
                          <w:rFonts w:hint="default" w:ascii="Cambria Math" w:hAnsi="Cambria Math" w:eastAsiaTheme="minorEastAsia"/>
                          <w:sz w:val="21"/>
                        </w:rPr>
                        <m:t>r</m:t>
                      </m:r>
                      <m:ctrlPr>
                        <w:rPr>
                          <w:rFonts w:ascii="Cambria Math" w:hAnsi="Cambria Math" w:eastAsiaTheme="minorEastAsia"/>
                          <w:sz w:val="21"/>
                        </w:rPr>
                      </m:ctrlPr>
                    </m:e>
                  </m:nary>
                  <m:r>
                    <m:rPr/>
                    <w:rPr>
                      <w:rFonts w:hint="default" w:ascii="Cambria Math" w:hAnsi="Cambria Math" w:eastAsiaTheme="minorEastAsia"/>
                      <w:sz w:val="21"/>
                    </w:rPr>
                    <m:t>aw(j)</m:t>
                  </m:r>
                  <m:ctrlPr>
                    <w:rPr>
                      <w:rFonts w:hint="default" w:ascii="Cambria Math" w:hAnsi="Cambria Math" w:eastAsiaTheme="minorEastAsia"/>
                      <w:i/>
                      <w:sz w:val="21"/>
                    </w:rPr>
                  </m:ctrlPr>
                </m:den>
              </m:f>
              <m:r>
                <m:rPr>
                  <m:sty m:val="p"/>
                </m:rPr>
                <w:rPr>
                  <w:rFonts w:hint="default" w:ascii="Cambria Math" w:hAnsi="Cambria Math" w:eastAsiaTheme="minorEastAsia"/>
                  <w:sz w:val="21"/>
                </w:rPr>
                <m:t>#</m:t>
              </m:r>
              <m:r>
                <m:rPr>
                  <m:sty m:val="p"/>
                </m:rPr>
                <w:rPr>
                  <w:rFonts w:hint="default" w:ascii="Cambria Math" w:hAnsi="Cambria Math"/>
                  <w:sz w:val="21"/>
                  <w:lang w:val="en-US" w:eastAsia="zh-CN"/>
                </w:rPr>
                <m:t>(9)</m:t>
              </m:r>
              <m:ctrlPr>
                <w:rPr>
                  <w:rFonts w:hint="default" w:ascii="Cambria Math" w:hAnsi="Cambria Math" w:eastAsiaTheme="minorEastAsia"/>
                  <w:i/>
                  <w:sz w:val="21"/>
                </w:rPr>
              </m:ctrlPr>
            </m:e>
          </m:eqArr>
        </m:oMath>
      </m:oMathPara>
    </w:p>
    <w:p w14:paraId="3150C998">
      <w:pPr>
        <w:rPr>
          <w:rFonts w:hint="default" w:hAnsi="Cambria Math"/>
          <w:i w:val="0"/>
          <w:sz w:val="21"/>
          <w:lang w:val="en-US" w:eastAsia="zh-CN"/>
        </w:rPr>
      </w:pPr>
      <w:r>
        <w:rPr>
          <w:rFonts w:hint="eastAsia" w:hAnsi="Cambria Math"/>
          <w:i w:val="0"/>
          <w:sz w:val="21"/>
          <w:lang w:val="en-US" w:eastAsia="zh-CN"/>
        </w:rPr>
        <w:t>（其中默认超参数设定为</w:t>
      </w:r>
      <m:oMath>
        <m:r>
          <m:rPr/>
          <w:rPr>
            <w:rFonts w:hint="default" w:ascii="Cambria Math" w:hAnsi="Cambria Math" w:eastAsiaTheme="minorEastAsia"/>
            <w:sz w:val="21"/>
          </w:rPr>
          <m:t>β=1.0,λ=1.5</m:t>
        </m:r>
      </m:oMath>
      <w:r>
        <w:rPr>
          <w:rFonts w:hint="eastAsia" w:hAnsi="Cambria Math"/>
          <w:i w:val="0"/>
          <w:sz w:val="21"/>
          <w:lang w:eastAsia="zh-CN"/>
        </w:rPr>
        <w:t>）。</w:t>
      </w:r>
      <w:r>
        <w:rPr>
          <w:rFonts w:hint="eastAsia" w:hAnsi="Cambria Math"/>
          <w:i w:val="0"/>
          <w:sz w:val="21"/>
          <w:lang w:val="en-US" w:eastAsia="zh-CN"/>
        </w:rPr>
        <w:t>由于这一权重来自离群事件在历史样本上的质量画像，它反映的不是抽象意义上的全局真值型信任度，而是针对当前任务与当前数据条件、由模型离群画像导出的固定先验权重，即模型在当前情况下“发现高质量问题”与“制造低质量噪声”之间的综合表现。</w:t>
      </w:r>
    </w:p>
    <w:p w14:paraId="3ADB6AF4">
      <w:pPr>
        <w:rPr>
          <w:rFonts w:hint="eastAsia" w:hAnsi="Cambria Math"/>
          <w:i w:val="0"/>
          <w:sz w:val="21"/>
          <w:lang w:val="en-US" w:eastAsia="zh-CN"/>
        </w:rPr>
      </w:pPr>
    </w:p>
    <w:p w14:paraId="29446DCF">
      <w:pPr>
        <w:pStyle w:val="4"/>
        <w:bidi w:val="0"/>
        <w:rPr>
          <w:rFonts w:hint="eastAsia"/>
          <w:lang w:val="en-US" w:eastAsia="zh-CN"/>
        </w:rPr>
      </w:pPr>
      <w:r>
        <w:rPr>
          <w:rFonts w:hint="eastAsia"/>
          <w:lang w:val="en-US" w:eastAsia="zh-CN"/>
        </w:rPr>
        <w:t>4.6 阶段6：融合固定权重与动态置信度的条目级圆桌共识</w:t>
      </w:r>
    </w:p>
    <w:p w14:paraId="494B3172">
      <w:pPr>
        <w:rPr>
          <w:rFonts w:hint="eastAsia" w:hAnsi="Cambria Math"/>
          <w:i w:val="0"/>
          <w:sz w:val="21"/>
          <w:lang w:val="en-US" w:eastAsia="zh-CN"/>
        </w:rPr>
      </w:pPr>
      <w:r>
        <w:rPr>
          <w:rFonts w:hint="eastAsia"/>
          <w:lang w:val="en-US" w:eastAsia="zh-CN"/>
        </w:rPr>
        <w:t>为模拟真实的评审会议，我们受RECONCILE框架启发，本阶段在单条需求内部开展多轮意见交互。需要强调的是，这里我们设定圆桌遵循三个不可更改的核心约束：第一，圆桌中不显式讨论“离群”概念，离群仅用于事前权重分配；第二，模型权重</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在整个圆桌过程中固定不变；第三，代表模型当前确信度的置信度</w:t>
      </w:r>
      <m:oMath>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随模型间的多轮交互动态更新。在候选问题构造上，我们优先使用好离群对应的</w:t>
      </w:r>
      <m:oMath>
        <m:r>
          <m:rPr/>
          <w:rPr>
            <w:rFonts w:hint="default" w:ascii="Cambria Math" w:hAnsi="Cambria Math" w:eastAsiaTheme="minorEastAsia"/>
            <w:sz w:val="21"/>
          </w:rPr>
          <m:t>(i,d)</m:t>
        </m:r>
      </m:oMath>
      <w:r>
        <w:rPr>
          <w:rFonts w:hint="eastAsia" w:hAnsi="Cambria Math"/>
          <w:i w:val="0"/>
          <w:sz w:val="21"/>
          <w:lang w:val="en-US" w:eastAsia="zh-CN"/>
        </w:rPr>
        <w:t>作为候选问题集合，以此来确保好离群优先在圆桌中讨论；当该集合不足以支撑讨论时，允</w:t>
      </w:r>
      <w:bookmarkStart w:id="0" w:name="_GoBack"/>
      <w:bookmarkEnd w:id="0"/>
      <w:r>
        <w:rPr>
          <w:rFonts w:hint="eastAsia" w:hAnsi="Cambria Math"/>
          <w:i w:val="0"/>
          <w:sz w:val="21"/>
          <w:lang w:val="en-US" w:eastAsia="zh-CN"/>
        </w:rPr>
        <w:t>许回退到全量问题集合。</w:t>
      </w:r>
    </w:p>
    <w:p w14:paraId="02AA46BF">
      <w:pPr>
        <w:rPr>
          <w:rFonts w:hint="eastAsia" w:hAnsi="Cambria Math"/>
          <w:i w:val="0"/>
          <w:sz w:val="21"/>
          <w:lang w:val="en-US" w:eastAsia="zh-CN"/>
        </w:rPr>
      </w:pPr>
      <w:r>
        <w:rPr>
          <w:rFonts w:hint="eastAsia" w:hAnsi="Cambria Math"/>
          <w:i w:val="0"/>
          <w:sz w:val="21"/>
          <w:lang w:val="en-US" w:eastAsia="zh-CN"/>
        </w:rPr>
        <w:t>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需求条目</w:t>
      </w:r>
      <m:oMath>
        <m:r>
          <m:rPr/>
          <w:rPr>
            <w:rFonts w:hint="default" w:ascii="Cambria Math" w:hAnsi="Cambria Math"/>
            <w:sz w:val="21"/>
          </w:rPr>
          <m:t>i</m:t>
        </m:r>
      </m:oMath>
      <w:r>
        <w:rPr>
          <w:rFonts w:hint="eastAsia" w:hAnsi="Cambria Math"/>
          <w:i w:val="0"/>
          <w:sz w:val="21"/>
          <w:lang w:val="en-US" w:eastAsia="zh-CN"/>
        </w:rPr>
        <w:t>与维度</w:t>
      </w:r>
      <m:oMath>
        <m:r>
          <m:rPr/>
          <w:rPr>
            <w:rFonts w:hint="default" w:ascii="Cambria Math" w:hAnsi="Cambria Math"/>
            <w:sz w:val="21"/>
          </w:rPr>
          <m:t>d</m:t>
        </m:r>
      </m:oMath>
      <w:r>
        <w:rPr>
          <w:rFonts w:hint="eastAsia" w:hAnsi="Cambria Math"/>
          <w:i w:val="0"/>
          <w:sz w:val="21"/>
          <w:lang w:eastAsia="zh-CN"/>
        </w:rPr>
        <w:t>，</w:t>
      </w:r>
      <w:r>
        <w:rPr>
          <w:rFonts w:hint="eastAsia" w:hAnsi="Cambria Math"/>
          <w:i w:val="0"/>
          <w:sz w:val="21"/>
          <w:lang w:val="en-US" w:eastAsia="zh-CN"/>
        </w:rPr>
        <w:t>定义其在该问题上的影响力为：</w:t>
      </w:r>
    </w:p>
    <w:p w14:paraId="6335619E">
      <w:pPr>
        <w:rPr>
          <w:rFonts w:hint="default" w:hAnsi="Cambria Math"/>
          <w:i w:val="0"/>
          <w:sz w:val="21"/>
          <w:lang w:val="en-US" w:eastAsia="zh-CN"/>
        </w:rPr>
      </w:pPr>
      <m:oMathPara>
        <m:oMath>
          <m:eqArr>
            <m:eqArrPr>
              <m:maxDist m:val="1"/>
              <m:ctrlPr>
                <w:rPr>
                  <w:rFonts w:ascii="Cambria Math" w:hAnsi="Cambria Math" w:eastAsiaTheme="minorEastAsia"/>
                  <w:i w:val="0"/>
                  <w:sz w:val="21"/>
                </w:rPr>
              </m:ctrlPr>
            </m:eqArrPr>
            <m:e>
              <m:r>
                <m:rPr/>
                <w:rPr>
                  <w:rFonts w:hint="default" w:ascii="Cambria Math" w:hAnsi="Cambria Math" w:eastAsiaTheme="minorEastAsia"/>
                  <w:sz w:val="21"/>
                </w:rPr>
                <m:t>influenc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(10)</m:t>
              </m:r>
              <m:ctrlPr>
                <w:rPr>
                  <w:rFonts w:ascii="Cambria Math" w:hAnsi="Cambria Math" w:eastAsiaTheme="minorEastAsia"/>
                  <w:i w:val="0"/>
                  <w:sz w:val="21"/>
                </w:rPr>
              </m:ctrlPr>
            </m:e>
          </m:eqArr>
        </m:oMath>
      </m:oMathPara>
    </w:p>
    <w:p w14:paraId="43F71FAB">
      <w:pPr>
        <w:rPr>
          <w:rFonts w:hint="eastAsia"/>
          <w:lang w:val="en-US" w:eastAsia="zh-CN"/>
        </w:rPr>
      </w:pPr>
      <w:r>
        <w:rPr>
          <w:rFonts w:hint="eastAsia"/>
          <w:lang w:val="en-US" w:eastAsia="zh-CN"/>
        </w:rPr>
        <w:t>进一步地，将支持该问题的模型集合</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oMath>
      <w:r>
        <w:rPr>
          <w:rFonts w:hint="eastAsia"/>
          <w:lang w:val="en-US" w:eastAsia="zh-CN"/>
        </w:rPr>
        <w:t>进行影响力聚合，得出该问题的团队得分：</w:t>
      </w:r>
    </w:p>
    <w:p w14:paraId="07450B9C">
      <w:pPr>
        <w:rPr>
          <w:rFonts w:hint="default" w:hAnsi="Cambria Math" w:eastAsiaTheme="minorEastAsia"/>
          <w:i w:val="0"/>
          <w:sz w:val="21"/>
        </w:rPr>
      </w:pPr>
      <m:oMathPara>
        <m:oMath>
          <m:eqArr>
            <m:eqArrPr>
              <m:maxDist m:val="1"/>
              <m:ctrlPr>
                <w:rPr>
                  <w:rFonts w:hint="default"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r∈</m:t>
                  </m:r>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ctrlPr>
                    <w:rPr>
                      <w:rFonts w:hint="default" w:ascii="Cambria Math" w:hAnsi="Cambria Math" w:eastAsiaTheme="minorEastAsia"/>
                      <w:sz w:val="21"/>
                    </w:rPr>
                  </m:ctrlPr>
                </m:sub>
                <m:sup>
                  <m:ctrlPr>
                    <w:rPr>
                      <w:rFonts w:hint="default" w:ascii="Cambria Math" w:hAnsi="Cambria Math" w:eastAsiaTheme="minorEastAsia"/>
                      <w:sz w:val="21"/>
                    </w:rPr>
                  </m:ctrlPr>
                </m:sup>
                <m:e>
                  <m:r>
                    <m:rPr/>
                    <w:rPr>
                      <w:rFonts w:hint="default" w:ascii="Cambria Math" w:hAnsi="Cambria Math" w:eastAsiaTheme="minorEastAsia"/>
                      <w:sz w:val="21"/>
                    </w:rPr>
                    <m:t>i</m:t>
                  </m:r>
                  <m:ctrlPr>
                    <w:rPr>
                      <w:rFonts w:hint="default" w:ascii="Cambria Math" w:hAnsi="Cambria Math" w:eastAsiaTheme="minorEastAsia"/>
                      <w:sz w:val="21"/>
                    </w:rPr>
                  </m:ctrlPr>
                </m:e>
              </m:nary>
              <m:r>
                <m:rPr/>
                <w:rPr>
                  <w:rFonts w:hint="default" w:ascii="Cambria Math" w:hAnsi="Cambria Math" w:eastAsiaTheme="minorEastAsia"/>
                  <w:sz w:val="21"/>
                </w:rPr>
                <m:t>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(11)</m:t>
              </m:r>
              <m:ctrlPr>
                <w:rPr>
                  <w:rFonts w:hint="default" w:ascii="Cambria Math" w:hAnsi="Cambria Math" w:eastAsiaTheme="minorEastAsia"/>
                  <w:i w:val="0"/>
                  <w:sz w:val="21"/>
                </w:rPr>
              </m:ctrlPr>
            </m:e>
          </m:eqArr>
        </m:oMath>
      </m:oMathPara>
    </w:p>
    <w:p w14:paraId="2AA3FF6C">
      <w:pPr>
        <w:rPr>
          <w:rFonts w:hint="eastAsia" w:hAnsi="Cambria Math" w:eastAsia="宋体"/>
          <w:i w:val="0"/>
          <w:sz w:val="21"/>
          <w:lang w:val="en-US" w:eastAsia="zh-CN"/>
        </w:rPr>
      </w:pPr>
      <w:r>
        <w:rPr>
          <w:rFonts w:hint="eastAsia" w:hAnsi="Cambria Math"/>
          <w:i w:val="0"/>
          <w:sz w:val="21"/>
          <w:lang w:val="en-US" w:eastAsia="zh-CN"/>
        </w:rPr>
        <w:t>其中</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r>
          <m:rPr>
            <m:sty m:val="p"/>
          </m:rPr>
          <w:rPr>
            <w:rFonts w:hint="eastAsia" w:ascii="Cambria Math" w:hAnsi="Cambria Math"/>
            <w:sz w:val="21"/>
            <w:lang w:val="en-US" w:eastAsia="zh-CN"/>
          </w:rPr>
          <m:t>∈</m:t>
        </m:r>
        <m:r>
          <m:rPr>
            <m:scr m:val="script"/>
          </m:rPr>
          <w:rPr>
            <w:rFonts w:hint="default" w:ascii="Cambria Math" w:hAnsi="Cambria Math" w:eastAsia="MS Mincho"/>
            <w:sz w:val="21"/>
          </w:rPr>
          <m:t>ℛ</m:t>
        </m:r>
      </m:oMath>
      <w:r>
        <w:rPr>
          <w:rFonts w:hint="eastAsia" w:hAnsi="Cambria Math" w:eastAsia="宋体"/>
          <w:i w:val="0"/>
          <w:sz w:val="21"/>
          <w:lang w:val="en-US" w:eastAsia="zh-CN"/>
        </w:rPr>
        <w:t>表示在当前轮中支持“条目</w:t>
      </w:r>
      <m:oMath>
        <m:r>
          <m:rPr/>
          <w:rPr>
            <w:rFonts w:hint="default" w:ascii="Cambria Math" w:hAnsi="Cambria Math" w:eastAsia="宋体"/>
            <w:sz w:val="21"/>
          </w:rPr>
          <m:t>i</m:t>
        </m:r>
      </m:oMath>
      <w:r>
        <w:rPr>
          <w:rFonts w:hint="eastAsia" w:hAnsi="Cambria Math" w:eastAsia="宋体"/>
          <w:i w:val="0"/>
          <w:sz w:val="21"/>
          <w:lang w:val="en-US" w:eastAsia="zh-CN"/>
        </w:rPr>
        <w:t>在维度</w:t>
      </w:r>
      <m:oMath>
        <m:r>
          <m:rPr/>
          <w:rPr>
            <w:rFonts w:hint="default" w:ascii="Cambria Math" w:hAnsi="Cambria Math" w:eastAsia="宋体" w:cstheme="minorBidi"/>
            <w:kern w:val="2"/>
            <w:sz w:val="21"/>
            <w:szCs w:val="24"/>
            <w:lang w:val="en-US" w:eastAsia="zh-CN" w:bidi="ar-SA"/>
          </w:rPr>
          <m:t>d</m:t>
        </m:r>
      </m:oMath>
      <w:r>
        <w:rPr>
          <w:rFonts w:hint="eastAsia" w:hAnsi="Cambria Math" w:eastAsia="宋体" w:cstheme="minorBidi"/>
          <w:i w:val="0"/>
          <w:kern w:val="2"/>
          <w:sz w:val="21"/>
          <w:szCs w:val="24"/>
          <w:lang w:val="en-US" w:eastAsia="zh-CN" w:bidi="ar-SA"/>
        </w:rPr>
        <w:t>存在问题</w:t>
      </w:r>
      <w:r>
        <w:rPr>
          <w:rFonts w:hint="eastAsia" w:hAnsi="Cambria Math" w:eastAsia="宋体"/>
          <w:i w:val="0"/>
          <w:sz w:val="21"/>
          <w:lang w:val="en-US" w:eastAsia="zh-CN"/>
        </w:rPr>
        <w:t>”的模型集合。在每轮按照</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对候选问题进行排序，并以排序结果组织后续讨论。</w:t>
      </w:r>
    </w:p>
    <w:p w14:paraId="50D04F82">
      <w:pPr>
        <w:rPr>
          <w:rFonts w:hint="default" w:hAnsi="Cambria Math" w:eastAsia="宋体"/>
          <w:i w:val="0"/>
          <w:sz w:val="21"/>
          <w:lang w:val="en-US" w:eastAsia="zh-CN"/>
        </w:rPr>
      </w:pPr>
      <w:r>
        <w:rPr>
          <w:rFonts w:hint="eastAsia" w:hAnsi="Cambria Math" w:eastAsia="宋体"/>
          <w:i w:val="0"/>
          <w:sz w:val="21"/>
          <w:lang w:val="en-US" w:eastAsia="zh-CN"/>
        </w:rPr>
        <w:t>圆桌的终止条件同时保留三类：其一为分数收敛，即不同轮次间问题得分变化足够小；其二为问题集合收敛，即候选问题集合在轮次间趋于稳定，并用集合重叠度刻画；其三为固定轮次上限。我们采用的方法重点并不在于重现RECONCILE框架的全部实现细节，而是采用“多模型讨论+置信度加权+共识收敛”的启发思想，并将其嵌入需求质量审查这一逐条需求场景之中，最终得到经过多轮博弈与共识后的各维度团队问题得分</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分布以及收敛的缺陷清单表现。</w:t>
      </w:r>
    </w:p>
    <w:p w14:paraId="1F61091D">
      <w:pPr>
        <w:pStyle w:val="4"/>
        <w:bidi w:val="0"/>
        <w:rPr>
          <w:rFonts w:hint="eastAsia"/>
          <w:lang w:val="en-US" w:eastAsia="zh-CN"/>
        </w:rPr>
      </w:pPr>
      <w:r>
        <w:rPr>
          <w:rFonts w:hint="eastAsia"/>
          <w:lang w:val="en-US" w:eastAsia="zh-CN"/>
        </w:rPr>
        <w:t>4.7 阶段7：最终问题清单提取</w:t>
      </w:r>
    </w:p>
    <w:p w14:paraId="40629B77">
      <w:pPr>
        <w:rPr>
          <w:rFonts w:hint="eastAsia" w:hAnsi="Cambria Math"/>
          <w:i w:val="0"/>
          <w:sz w:val="21"/>
          <w:lang w:val="en-US" w:eastAsia="zh-CN"/>
        </w:rPr>
      </w:pPr>
      <w:r>
        <w:rPr>
          <w:rFonts w:hint="eastAsia"/>
          <w:lang w:val="en-US" w:eastAsia="zh-CN"/>
        </w:rPr>
        <w:t>最后阶段依据共识机制的量化结果提取可供软件工程团队直接使用的优化建议。针对上阶段圆桌共识结束后得到的团队问题得分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oMath>
      <w:r>
        <w:rPr>
          <w:rFonts w:hint="eastAsia" w:hAnsi="Cambria Math"/>
          <w:i w:val="0"/>
          <w:sz w:val="21"/>
          <w:lang w:eastAsia="zh-CN"/>
        </w:rPr>
        <w:t>、</w:t>
      </w:r>
      <w:r>
        <w:rPr>
          <w:rFonts w:hint="eastAsia" w:hAnsi="Cambria Math"/>
          <w:i w:val="0"/>
          <w:sz w:val="21"/>
          <w:lang w:val="en-US" w:eastAsia="zh-CN"/>
        </w:rPr>
        <w:t>对应证据片段以及改写建议，我们引入筛选置信阈值</w:t>
      </w:r>
      <m:oMath>
        <m:r>
          <m:rPr/>
          <w:rPr>
            <w:rFonts w:hint="default" w:ascii="Cambria Math" w:hAnsi="Cambria Math" w:eastAsiaTheme="minorEastAsia"/>
            <w:sz w:val="21"/>
          </w:rPr>
          <m:t>θ</m:t>
        </m:r>
      </m:oMath>
      <w:r>
        <w:rPr>
          <w:rFonts w:hint="eastAsia" w:hAnsi="Cambria Math"/>
          <w:i w:val="0"/>
          <w:sz w:val="21"/>
          <w:lang w:val="en-US" w:eastAsia="zh-CN"/>
        </w:rPr>
        <w:t>进行阶段筛选，提取最终高质量问题集合：</w:t>
      </w:r>
    </w:p>
    <w:p w14:paraId="3416BAB0">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final_problems={(i,d)|</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(i,d)≥θ}</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(12)</m:t>
              </m:r>
              <m:ctrlPr>
                <w:rPr>
                  <w:rFonts w:hint="default" w:ascii="Cambria Math" w:hAnsi="Cambria Math" w:eastAsiaTheme="minorEastAsia"/>
                  <w:i/>
                  <w:sz w:val="21"/>
                </w:rPr>
              </m:ctrlPr>
            </m:e>
          </m:eqArr>
        </m:oMath>
      </m:oMathPara>
    </w:p>
    <w:p w14:paraId="127BEB90">
      <w:pPr>
        <w:rPr>
          <w:rFonts w:hint="default" w:hAnsi="Cambria Math" w:eastAsia="宋体"/>
          <w:i w:val="0"/>
          <w:sz w:val="21"/>
          <w:lang w:val="en-US" w:eastAsia="zh-CN"/>
        </w:rPr>
      </w:pPr>
      <w:r>
        <w:rPr>
          <w:rFonts w:hint="eastAsia" w:hAnsi="Cambria Math"/>
          <w:i w:val="0"/>
          <w:sz w:val="21"/>
          <w:lang w:val="en-US" w:eastAsia="zh-CN"/>
        </w:rPr>
        <w:t>符合条件的问题将按</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降序排列，筛选出Top-K（例如10项）最具高影响力的缺陷条目，并最终形成高度结构化的团队级结论。该团队级结论的标准化输出遵循我们的研究目标设定：</w:t>
      </w:r>
    </w:p>
    <w:p w14:paraId="5B6C62A8">
      <w:pPr>
        <w:rPr>
          <w:rFonts w:hint="eastAsia"/>
          <w:lang w:val="en-US" w:eastAsia="zh-CN"/>
        </w:rPr>
      </w:pPr>
      <w:r>
        <w:rPr>
          <w:rFonts w:hint="default"/>
          <w:lang w:val="en-US" w:eastAsia="zh-CN"/>
        </w:rPr>
        <w:t>条目编号+问题类型(U/A/C/V) +证据片段+建议改写(+支持者/影响力)</w:t>
      </w:r>
      <w:r>
        <w:rPr>
          <w:rFonts w:hint="eastAsia"/>
          <w:lang w:val="en-US" w:eastAsia="zh-CN"/>
        </w:rPr>
        <w:t>，此清单即为提供给人类开发者的最终需求优化蓝图。</w:t>
      </w:r>
    </w:p>
    <w:p w14:paraId="3AE1B32D">
      <w:pPr>
        <w:rPr>
          <w:rFonts w:hint="eastAsia"/>
          <w:lang w:val="en-US" w:eastAsia="zh-CN"/>
        </w:rPr>
      </w:pPr>
    </w:p>
    <w:p w14:paraId="3AA4041F">
      <w:pPr>
        <w:rPr>
          <w:rFonts w:hint="eastAsia"/>
          <w:lang w:val="en-US" w:eastAsia="zh-CN"/>
        </w:rPr>
      </w:pPr>
      <w:r>
        <w:rPr>
          <w:rFonts w:hint="eastAsia"/>
          <w:lang w:val="en-US" w:eastAsia="zh-CN"/>
        </w:rPr>
        <w:t>综上，本文的方法论形成了一条从评分分歧识别到团队结论生成的完整决策链：首先，通过多LLM逐条需求结构化评分构造统一的评审输入；其次，以中位数基准和固定离群阈值识别需要重点审查的离群事件；进而，以六维论证质量向量和硬性约束区分好离群、坏离群与不确定情形，并进一步将其累计为模型画像与固定权重；最后，在条目级圆桌中融合固定权重与动态置信度形成团队问题得分，并据此提取最终问题清单。该流程避免将“更接近共识”简单等同于“更可靠”，从而为需求质量评审提供了一种兼顾解释性、复现性与团队决策性的多LLM方法框架。</w:t>
      </w:r>
    </w:p>
    <w:p w14:paraId="6B9018B6">
      <w:pPr>
        <w:rPr>
          <w:rFonts w:hint="default"/>
          <w:lang w:val="en-US" w:eastAsia="zh-CN"/>
        </w:rPr>
      </w:pPr>
    </w:p>
    <w:p w14:paraId="6D2E8408">
      <w:pPr>
        <w:rPr>
          <w:rFonts w:hint="default"/>
          <w:lang w:val="en-US" w:eastAsia="zh-CN"/>
        </w:rPr>
      </w:pPr>
    </w:p>
    <w:p w14:paraId="0AA01474">
      <w:pPr>
        <w:rPr>
          <w:rFonts w:hint="default"/>
          <w:lang w:val="en-US" w:eastAsia="zh-CN"/>
        </w:rPr>
      </w:pPr>
      <w:r>
        <w:rPr>
          <w:rFonts w:hint="default"/>
          <w:lang w:val="en-US" w:eastAsia="zh-CN"/>
        </w:rPr>
        <w:t xml:space="preserve"> </w:t>
      </w:r>
    </w:p>
    <w:p w14:paraId="5215B08A">
      <w:pPr>
        <w:rPr>
          <w:rFonts w:hint="default"/>
          <w:lang w:val="en-US" w:eastAsia="zh-CN"/>
        </w:rPr>
      </w:pPr>
    </w:p>
    <w:p w14:paraId="2118FE8D">
      <w:pPr>
        <w:pStyle w:val="3"/>
        <w:bidi w:val="0"/>
        <w:jc w:val="left"/>
        <w:rPr>
          <w:rFonts w:hint="eastAsia"/>
          <w:lang w:val="en-US" w:eastAsia="zh-CN"/>
        </w:rPr>
      </w:pPr>
      <w:r>
        <w:rPr>
          <w:rFonts w:hint="eastAsia"/>
          <w:lang w:val="en-US" w:eastAsia="zh-CN"/>
        </w:rPr>
        <w:t>5 Experimental Design</w:t>
      </w:r>
    </w:p>
    <w:p w14:paraId="7926602B">
      <w:pPr>
        <w:rPr>
          <w:rFonts w:hint="eastAsia"/>
          <w:lang w:val="en-US" w:eastAsia="zh-CN"/>
        </w:rPr>
      </w:pPr>
      <w:r>
        <w:rPr>
          <w:rFonts w:hint="eastAsia"/>
          <w:lang w:val="en-US" w:eastAsia="zh-CN"/>
        </w:rPr>
        <w:t>本章旨在评估本文提出的多LLM协同需求审查框架在真实需求文档上的有效性、稳定性与收敛行为。结合前述研究问题与方法论，实验采用文档内逐条需求分析、文档见配对比较的经验研究设计。实验的核心思想不是比较单个模型的绝对评分高低，而是检验由“离群识别、离群质量判别、模型定权与圆桌共识”构成的完整决策链，是否能够比单模型或简单聚合产生更高质量的团队级问题清单。</w:t>
      </w:r>
    </w:p>
    <w:p w14:paraId="6BFEBB19">
      <w:pPr>
        <w:pStyle w:val="4"/>
        <w:bidi w:val="0"/>
        <w:rPr>
          <w:rFonts w:hint="eastAsia"/>
          <w:lang w:val="en-US" w:eastAsia="zh-CN"/>
        </w:rPr>
      </w:pPr>
      <w:r>
        <w:rPr>
          <w:rFonts w:hint="eastAsia"/>
          <w:lang w:val="en-US" w:eastAsia="zh-CN"/>
        </w:rPr>
        <w:t>5.1 实验对象与数据集</w:t>
      </w:r>
    </w:p>
    <w:p w14:paraId="79E1F0BB">
      <w:pPr>
        <w:rPr>
          <w:rFonts w:hint="default"/>
          <w:lang w:val="en-US" w:eastAsia="zh-CN"/>
        </w:rPr>
      </w:pPr>
      <w:r>
        <w:rPr>
          <w:rFonts w:hint="default"/>
          <w:lang w:val="en-US" w:eastAsia="zh-CN"/>
        </w:rPr>
        <w:t>本实验的评估对象为多个当前主流的异构大语言模型。基于架构多样性与基础能力的考量，</w:t>
      </w:r>
    </w:p>
    <w:p w14:paraId="2FA72775">
      <w:pPr>
        <w:rPr>
          <w:rFonts w:hint="eastAsia"/>
          <w:lang w:val="en-US" w:eastAsia="zh-CN"/>
        </w:rPr>
      </w:pPr>
      <w:r>
        <w:rPr>
          <w:rFonts w:hint="eastAsia"/>
          <w:lang w:val="en-US" w:eastAsia="zh-CN"/>
        </w:rPr>
        <w:t>我们选取了5 个异构 LLM 作为虚拟评审员，分别来自 DeepSeek-Reasoner、Qwen-plus、GPT-5.1、Kimi-k2-0905-preview 和 GLM-5，这种异构型设计旨在真实模拟专家评审团队中不同背景与偏好成员的视角差异。需要指出的是，由于真实 API 环境中可能出现限流、超时或格式不合法输出，系统在实现上允许将失败模型按 case 级别跳过。因此，不同文档上的实际有效模型数可能并不完全一致；本文将这一现象视为系统稳健性的一部分，而非简单地将失败样本剔除。</w:t>
      </w:r>
    </w:p>
    <w:p w14:paraId="62D42836">
      <w:pPr>
        <w:rPr>
          <w:rFonts w:hint="eastAsia"/>
          <w:lang w:val="en-US" w:eastAsia="zh-CN"/>
        </w:rPr>
      </w:pPr>
      <w:r>
        <w:rPr>
          <w:rFonts w:hint="eastAsia"/>
          <w:lang w:val="en-US" w:eastAsia="zh-CN"/>
        </w:rPr>
        <w:t>实验采用的数据集为PURE(PUblic REquirements dataset)</w:t>
      </w:r>
      <w:r>
        <w:rPr>
          <w:rFonts w:hint="eastAsia" w:ascii="Times New Roman" w:eastAsia="宋体"/>
          <w:color w:val="FF0000"/>
          <w:lang w:val="en-US" w:eastAsia="zh-CN"/>
        </w:rPr>
        <w:t>【插入】</w:t>
      </w:r>
      <w:r>
        <w:rPr>
          <w:rFonts w:hint="eastAsia"/>
          <w:lang w:val="en-US" w:eastAsia="zh-CN"/>
        </w:rPr>
        <w:t>。该数据集的选择基于以下标准：</w:t>
      </w:r>
    </w:p>
    <w:p w14:paraId="7C90C536">
      <w:pPr>
        <w:numPr>
          <w:ilvl w:val="0"/>
          <w:numId w:val="2"/>
        </w:numPr>
        <w:rPr>
          <w:rFonts w:hint="eastAsia"/>
          <w:lang w:val="en-US" w:eastAsia="zh-CN"/>
        </w:rPr>
      </w:pPr>
      <w:r>
        <w:rPr>
          <w:rFonts w:hint="eastAsia"/>
          <w:b/>
          <w:bCs/>
          <w:lang w:val="en-US" w:eastAsia="zh-CN"/>
        </w:rPr>
        <w:t>真实性与复杂性：</w:t>
      </w:r>
      <w:r>
        <w:rPr>
          <w:rFonts w:hint="eastAsia"/>
          <w:lang w:val="en-US" w:eastAsia="zh-CN"/>
        </w:rPr>
        <w:t>包含了来自真实工业界或开源软件项目的需求规格说明书（SRS），具有代表性的自然语言歧义与逻辑缺陷。</w:t>
      </w:r>
    </w:p>
    <w:p w14:paraId="55694C48">
      <w:pPr>
        <w:numPr>
          <w:ilvl w:val="0"/>
          <w:numId w:val="2"/>
        </w:numPr>
        <w:rPr>
          <w:rFonts w:hint="default"/>
          <w:lang w:val="en-US" w:eastAsia="zh-CN"/>
        </w:rPr>
      </w:pPr>
      <w:r>
        <w:rPr>
          <w:rFonts w:hint="eastAsia"/>
          <w:b/>
          <w:bCs/>
          <w:lang w:val="en-US" w:eastAsia="zh-CN"/>
        </w:rPr>
        <w:t>粒度适配性：</w:t>
      </w:r>
      <w:r>
        <w:rPr>
          <w:rFonts w:hint="eastAsia"/>
          <w:lang w:val="en-US" w:eastAsia="zh-CN"/>
        </w:rPr>
        <w:t>数据集支持逐条需求（per-requirement）的拆分，满足本研究对细粒度质量评估的需求。</w:t>
      </w:r>
    </w:p>
    <w:p w14:paraId="05EAFE33">
      <w:pPr>
        <w:rPr>
          <w:rFonts w:hint="default"/>
          <w:lang w:val="en-US" w:eastAsia="zh-CN"/>
        </w:rPr>
      </w:pPr>
      <w:r>
        <w:rPr>
          <w:rFonts w:hint="default"/>
          <w:lang w:val="en-US" w:eastAsia="zh-CN"/>
        </w:rPr>
        <w:t>当前实验选择了 20 份需求文档，覆盖多个应用领域，文档规模从 10 条到 405 条需求不等。所有文档均被转换为统一的 item,text 结构，每条需求作为一个独立评审单元。为保持与方法论一致，本文的最小分析粒度固定为 per-requirement，而非文档级整体评分。</w:t>
      </w:r>
    </w:p>
    <w:p w14:paraId="27D09AB1">
      <w:pPr>
        <w:pStyle w:val="4"/>
        <w:bidi w:val="0"/>
        <w:rPr>
          <w:rFonts w:hint="default"/>
          <w:lang w:val="en-US" w:eastAsia="zh-CN"/>
        </w:rPr>
      </w:pPr>
      <w:r>
        <w:rPr>
          <w:rFonts w:hint="eastAsia"/>
          <w:lang w:val="en-US" w:eastAsia="zh-CN"/>
        </w:rPr>
        <w:t>5.2 实验设计与对照设置</w:t>
      </w:r>
    </w:p>
    <w:p w14:paraId="5328371D">
      <w:pPr>
        <w:rPr>
          <w:rFonts w:hint="default"/>
          <w:lang w:val="en-US" w:eastAsia="zh-CN"/>
        </w:rPr>
      </w:pPr>
      <w:r>
        <w:rPr>
          <w:rFonts w:hint="default"/>
          <w:lang w:val="en-US" w:eastAsia="zh-CN"/>
        </w:rPr>
        <w:t>为</w:t>
      </w:r>
      <w:r>
        <w:rPr>
          <w:rFonts w:hint="eastAsia"/>
          <w:lang w:val="en-US" w:eastAsia="zh-CN"/>
        </w:rPr>
        <w:t>回答研究问题</w:t>
      </w:r>
      <w:r>
        <w:rPr>
          <w:rFonts w:hint="default"/>
          <w:lang w:val="en-US" w:eastAsia="zh-CN"/>
        </w:rPr>
        <w:t>，本研究采用组内对照设计（Within-subject design）。同一份需求文档将在以下四种不同的处理条件（Treatments）下被重复评估：</w:t>
      </w:r>
    </w:p>
    <w:p w14:paraId="5CF72315">
      <w:pPr>
        <w:numPr>
          <w:ilvl w:val="0"/>
          <w:numId w:val="3"/>
        </w:numPr>
        <w:rPr>
          <w:rFonts w:hint="eastAsia"/>
          <w:lang w:val="en-US" w:eastAsia="zh-CN"/>
        </w:rPr>
      </w:pPr>
      <w:r>
        <w:rPr>
          <w:rFonts w:hint="eastAsia"/>
          <w:b/>
          <w:bCs/>
          <w:lang w:val="en-US" w:eastAsia="zh-CN"/>
        </w:rPr>
        <w:t>Single-LLM</w:t>
      </w:r>
      <w:r>
        <w:rPr>
          <w:rFonts w:hint="eastAsia"/>
          <w:b/>
          <w:bCs/>
          <w:color w:val="FF0000"/>
          <w:lang w:val="en-US" w:eastAsia="zh-CN"/>
        </w:rPr>
        <w:t>（单一模型）</w:t>
      </w:r>
      <w:r>
        <w:rPr>
          <w:rFonts w:hint="eastAsia"/>
          <w:b/>
          <w:bCs/>
          <w:lang w:val="en-US" w:eastAsia="zh-CN"/>
        </w:rPr>
        <w:t>：</w:t>
      </w:r>
      <w:r>
        <w:rPr>
          <w:rFonts w:hint="eastAsia"/>
          <w:lang w:val="en-US" w:eastAsia="zh-CN"/>
        </w:rPr>
        <w:t>由单个 LLM 独立完成四维评分与问题输出，作为最基础的性能下界。</w:t>
      </w:r>
    </w:p>
    <w:p w14:paraId="6D3931B9">
      <w:pPr>
        <w:numPr>
          <w:ilvl w:val="0"/>
          <w:numId w:val="3"/>
        </w:numPr>
        <w:rPr>
          <w:rFonts w:hint="default"/>
          <w:lang w:val="en-US" w:eastAsia="zh-CN"/>
        </w:rPr>
      </w:pPr>
      <w:r>
        <w:rPr>
          <w:rFonts w:hint="default"/>
          <w:b/>
          <w:bCs/>
          <w:lang w:val="en-US" w:eastAsia="zh-CN"/>
        </w:rPr>
        <w:t>Equal-Weight Aggregation</w:t>
      </w:r>
      <w:r>
        <w:rPr>
          <w:rFonts w:hint="default"/>
          <w:b/>
          <w:bCs/>
          <w:color w:val="FF0000"/>
          <w:lang w:val="en-US" w:eastAsia="zh-CN"/>
        </w:rPr>
        <w:t>（等权聚合）</w:t>
      </w:r>
      <w:r>
        <w:rPr>
          <w:rFonts w:hint="default"/>
          <w:b/>
          <w:bCs/>
          <w:lang w:val="en-US" w:eastAsia="zh-CN"/>
        </w:rPr>
        <w:t>：</w:t>
      </w:r>
      <w:r>
        <w:rPr>
          <w:rFonts w:hint="default"/>
          <w:lang w:val="en-US" w:eastAsia="zh-CN"/>
        </w:rPr>
        <w:t>多模型独立评分后，不引入离群判别，直接进行等权聚合，用于评估“单纯引入多模型”带来的基线提升。</w:t>
      </w:r>
    </w:p>
    <w:p w14:paraId="04463D39">
      <w:pPr>
        <w:numPr>
          <w:ilvl w:val="0"/>
          <w:numId w:val="3"/>
        </w:numPr>
        <w:rPr>
          <w:rFonts w:hint="default"/>
          <w:lang w:val="en-US" w:eastAsia="zh-CN"/>
        </w:rPr>
      </w:pPr>
      <w:r>
        <w:rPr>
          <w:rFonts w:hint="default"/>
          <w:b/>
          <w:bCs/>
          <w:lang w:val="en-US" w:eastAsia="zh-CN"/>
        </w:rPr>
        <w:t>Roundtable w/o Weighting</w:t>
      </w:r>
      <w:r>
        <w:rPr>
          <w:rFonts w:hint="default"/>
          <w:b/>
          <w:bCs/>
          <w:color w:val="FF0000"/>
          <w:lang w:val="en-US" w:eastAsia="zh-CN"/>
        </w:rPr>
        <w:t>（无权重圆桌）</w:t>
      </w:r>
      <w:r>
        <w:rPr>
          <w:rFonts w:hint="default"/>
          <w:b/>
          <w:bCs/>
          <w:lang w:val="en-US" w:eastAsia="zh-CN"/>
        </w:rPr>
        <w:t>：</w:t>
      </w:r>
      <w:r>
        <w:rPr>
          <w:rFonts w:hint="default"/>
          <w:lang w:val="en-US" w:eastAsia="zh-CN"/>
        </w:rPr>
        <w:t>保留多轮圆桌讨论机制，但在讨论中所有模型均保持等权参与，旨在隔离“多轮博弈”的独立贡献。</w:t>
      </w:r>
    </w:p>
    <w:p w14:paraId="0F4BAD59">
      <w:pPr>
        <w:numPr>
          <w:ilvl w:val="0"/>
          <w:numId w:val="3"/>
        </w:numPr>
        <w:rPr>
          <w:rFonts w:hint="default"/>
          <w:lang w:val="en-US" w:eastAsia="zh-CN"/>
        </w:rPr>
      </w:pPr>
      <w:r>
        <w:rPr>
          <w:rFonts w:hint="default"/>
          <w:b/>
          <w:bCs/>
          <w:lang w:val="en-US" w:eastAsia="zh-CN"/>
        </w:rPr>
        <w:t>Full Method</w:t>
      </w:r>
      <w:r>
        <w:rPr>
          <w:rFonts w:hint="default"/>
          <w:b/>
          <w:bCs/>
          <w:color w:val="FF0000"/>
          <w:lang w:val="en-US" w:eastAsia="zh-CN"/>
        </w:rPr>
        <w:t>（完整方法）</w:t>
      </w:r>
      <w:r>
        <w:rPr>
          <w:rFonts w:hint="default"/>
          <w:b/>
          <w:bCs/>
          <w:lang w:val="en-US" w:eastAsia="zh-CN"/>
        </w:rPr>
        <w:t>：</w:t>
      </w:r>
      <w:r>
        <w:rPr>
          <w:rFonts w:hint="default"/>
          <w:lang w:val="en-US" w:eastAsia="zh-CN"/>
        </w:rPr>
        <w:t>采用本文提出的“离群识别 + 论证质量判别 + 动态模型定权 + 条目级圆桌共识”全流程决策链。</w:t>
      </w:r>
    </w:p>
    <w:p w14:paraId="49579AF0">
      <w:pPr>
        <w:pStyle w:val="4"/>
        <w:bidi w:val="0"/>
        <w:rPr>
          <w:rFonts w:hint="default"/>
          <w:lang w:val="en-US" w:eastAsia="zh-CN"/>
        </w:rPr>
      </w:pPr>
      <w:r>
        <w:rPr>
          <w:rFonts w:hint="default"/>
          <w:lang w:val="en-US" w:eastAsia="zh-CN"/>
        </w:rPr>
        <w:t>5.3 变量、Ground Truth与度量指标</w:t>
      </w:r>
    </w:p>
    <w:p w14:paraId="62C75D31">
      <w:pPr>
        <w:pStyle w:val="5"/>
        <w:bidi w:val="0"/>
        <w:rPr>
          <w:rFonts w:hint="eastAsia"/>
          <w:lang w:val="en-US" w:eastAsia="zh-CN"/>
        </w:rPr>
      </w:pPr>
      <w:r>
        <w:rPr>
          <w:rFonts w:hint="eastAsia"/>
          <w:lang w:val="en-US" w:eastAsia="zh-CN"/>
        </w:rPr>
        <w:t>5.3.1 评价单元与Ground Truth</w:t>
      </w:r>
    </w:p>
    <w:p w14:paraId="66B402C2">
      <w:pPr>
        <w:rPr>
          <w:rFonts w:hint="eastAsia" w:eastAsiaTheme="minorEastAsia"/>
          <w:lang w:val="en-US" w:eastAsia="zh-CN"/>
        </w:rPr>
      </w:pPr>
      <w:r>
        <w:rPr>
          <w:rFonts w:hint="eastAsia"/>
          <w:lang w:val="en-US" w:eastAsia="zh-CN"/>
        </w:rPr>
        <w:t>本系统需要判断每条需求在四种缺陷类型上是否存在问题。因此，评价的最小单元不是整条需求或原始评分值，而是将需求缺陷识别任务建模为</w:t>
      </w:r>
      <m:oMath>
        <m:r>
          <m:rPr/>
          <w:rPr>
            <w:rFonts w:hint="default" w:ascii="Cambria Math" w:hAnsi="Cambria Math" w:eastAsiaTheme="minorEastAsia"/>
            <w:sz w:val="21"/>
          </w:rPr>
          <m:t>(item</m:t>
        </m:r>
        <m:r>
          <m:rPr/>
          <w:rPr>
            <w:rFonts w:hint="default" w:ascii="Cambria Math" w:hAnsi="Cambria Math"/>
            <w:sz w:val="21"/>
            <w:lang w:val="en-US" w:eastAsia="zh-CN"/>
          </w:rPr>
          <m:t xml:space="preserve"> </m:t>
        </m:r>
        <m:r>
          <m:rPr/>
          <w:rPr>
            <w:rFonts w:hint="default" w:ascii="Cambria Math" w:hAnsi="Cambria Math" w:eastAsiaTheme="minorEastAsia"/>
            <w:sz w:val="21"/>
          </w:rPr>
          <m:t>,type)</m:t>
        </m:r>
      </m:oMath>
      <w:r>
        <w:rPr>
          <w:rFonts w:hint="eastAsia" w:hAnsi="Cambria Math"/>
          <w:i w:val="0"/>
          <w:sz w:val="21"/>
          <w:lang w:val="en-US" w:eastAsia="zh-CN"/>
        </w:rPr>
        <w:t>粒度的多标签判别问题</w:t>
      </w:r>
      <w:r>
        <w:rPr>
          <w:rFonts w:hint="eastAsia"/>
          <w:lang w:val="en-US" w:eastAsia="zh-CN"/>
        </w:rPr>
        <w:t>，其中</w:t>
      </w:r>
      <m:oMath>
        <m:r>
          <m:rPr/>
          <w:rPr>
            <w:rFonts w:hint="default" w:ascii="Cambria Math" w:hAnsi="Cambria Math" w:eastAsiaTheme="minorEastAsia"/>
            <w:sz w:val="21"/>
          </w:rPr>
          <m:t>type∈{U,A,C,V}</m:t>
        </m:r>
      </m:oMath>
      <w:r>
        <w:rPr>
          <w:rFonts w:hint="eastAsia" w:hAnsi="Cambria Math"/>
          <w:i w:val="0"/>
          <w:sz w:val="21"/>
          <w:lang w:eastAsia="zh-CN"/>
        </w:rPr>
        <w:t>。</w:t>
      </w:r>
      <w:r>
        <m:rPr/>
        <w:rPr>
          <w:rFonts w:hint="eastAsia" w:hAnsi="Cambria Math"/>
          <w:i w:val="0"/>
          <w:sz w:val="21"/>
          <w:lang w:eastAsia="zh-CN"/>
        </w:rPr>
        <w:t xml:space="preserve">为构建高可靠的Ground Truth，由两名具备 3 年以上需求工程经验的专家对全部二元组进行独立盲标；针对分歧项，通过第三名资深专家引入讨论仲裁。专家间的初始标注一致性采用 </w:t>
      </w:r>
      <m:oMath>
        <m:r>
          <m:rPr/>
          <w:rPr>
            <w:rFonts w:hint="default" w:ascii="Cambria Math" w:hAnsi="Cambria Math" w:eastAsiaTheme="minorEastAsia"/>
            <w:sz w:val="21"/>
          </w:rPr>
          <m:t>Cohen'sKappa</m:t>
        </m:r>
      </m:oMath>
      <w:r>
        <m:rPr/>
        <w:rPr>
          <w:rFonts w:hint="eastAsia" w:hAnsi="Cambria Math"/>
          <w:i w:val="0"/>
          <w:sz w:val="21"/>
          <w:lang w:val="en-US" w:eastAsia="zh-CN"/>
        </w:rPr>
        <w:t xml:space="preserve"> </w:t>
      </w:r>
      <w:r>
        <m:rPr/>
        <w:rPr>
          <w:rFonts w:hint="eastAsia" w:hAnsi="Cambria Math"/>
          <w:i w:val="0"/>
          <w:sz w:val="21"/>
          <w:lang w:eastAsia="zh-CN"/>
        </w:rPr>
        <w:t xml:space="preserve">或 </w:t>
      </w:r>
      <m:oMath>
        <m:r>
          <m:rPr/>
          <w:rPr>
            <w:rFonts w:hint="default" w:ascii="Cambria Math" w:hAnsi="Cambria Math" w:eastAsiaTheme="minorEastAsia"/>
            <w:sz w:val="21"/>
          </w:rPr>
          <m:t>Krippendorff's</m:t>
        </m:r>
        <m:r>
          <m:rPr/>
          <w:rPr>
            <w:rFonts w:hint="default" w:ascii="Cambria Math" w:hAnsi="Cambria Math"/>
            <w:sz w:val="21"/>
            <w:lang w:val="en-US" w:eastAsia="zh-CN"/>
          </w:rPr>
          <m:t xml:space="preserve"> </m:t>
        </m:r>
        <m:r>
          <m:rPr/>
          <w:rPr>
            <w:rFonts w:hint="default" w:ascii="Cambria Math" w:hAnsi="Cambria Math" w:eastAsiaTheme="minorEastAsia"/>
            <w:sz w:val="21"/>
          </w:rPr>
          <m:t>α</m:t>
        </m:r>
      </m:oMath>
      <w:r>
        <m:rPr/>
        <w:rPr>
          <w:rFonts w:hint="eastAsia" w:hAnsi="Cambria Math"/>
          <w:i w:val="0"/>
          <w:sz w:val="21"/>
          <w:lang w:val="en-US" w:eastAsia="zh-CN"/>
        </w:rPr>
        <w:t xml:space="preserve"> </w:t>
      </w:r>
      <w:r>
        <m:rPr/>
        <w:rPr>
          <w:rFonts w:hint="eastAsia" w:hAnsi="Cambria Math"/>
          <w:i w:val="0"/>
          <w:sz w:val="21"/>
          <w:lang w:eastAsia="zh-CN"/>
        </w:rPr>
        <w:t>进行严谨报告。</w:t>
      </w:r>
    </w:p>
    <w:p w14:paraId="1F665AC7">
      <w:pPr>
        <w:rPr>
          <w:rFonts w:hint="default"/>
          <w:lang w:val="en-US" w:eastAsia="zh-CN"/>
        </w:rPr>
      </w:pPr>
    </w:p>
    <w:p w14:paraId="016EE1A2">
      <w:pPr>
        <w:pStyle w:val="5"/>
        <w:bidi w:val="0"/>
        <w:rPr>
          <w:rFonts w:hint="eastAsia"/>
          <w:lang w:val="en-US" w:eastAsia="zh-CN"/>
        </w:rPr>
      </w:pPr>
      <w:r>
        <w:rPr>
          <w:rFonts w:hint="eastAsia"/>
          <w:lang w:val="en-US" w:eastAsia="zh-CN"/>
        </w:rPr>
        <w:t>5.3.2 变量与度量指标定义</w:t>
      </w:r>
    </w:p>
    <w:p w14:paraId="1419D10B">
      <w:pPr>
        <w:rPr>
          <w:rFonts w:hint="eastAsia"/>
          <w:lang w:val="en-US" w:eastAsia="zh-CN"/>
        </w:rPr>
      </w:pPr>
      <w:r>
        <w:rPr>
          <w:rFonts w:hint="eastAsia"/>
          <w:lang w:val="en-US" w:eastAsia="zh-CN"/>
        </w:rPr>
        <w:t>根据研究问题，我们定义了以下核心度量指标：</w:t>
      </w:r>
    </w:p>
    <w:p w14:paraId="62EB4D4F">
      <w:pPr>
        <w:numPr>
          <w:ilvl w:val="0"/>
          <w:numId w:val="4"/>
        </w:numPr>
        <w:rPr>
          <w:rFonts w:hint="eastAsia"/>
          <w:lang w:val="en-US" w:eastAsia="zh-CN"/>
        </w:rPr>
      </w:pPr>
      <w:r>
        <w:rPr>
          <w:rFonts w:hint="eastAsia"/>
          <w:b/>
          <w:bCs/>
          <w:lang w:val="en-US" w:eastAsia="zh-CN"/>
        </w:rPr>
        <w:t>针对评分差异与离群特征（RQ1）：</w:t>
      </w:r>
      <w:r>
        <w:rPr>
          <w:rFonts w:hint="eastAsia"/>
          <w:lang w:val="en-US" w:eastAsia="zh-CN"/>
        </w:rPr>
        <w:br w:type="textWrapping"/>
      </w:r>
      <w:r>
        <w:rPr>
          <w:rFonts w:hint="eastAsia"/>
          <w:b/>
          <w:bCs/>
          <w:lang w:val="en-US" w:eastAsia="zh-CN"/>
        </w:rPr>
        <w:t>·绝对偏差（</w:t>
      </w:r>
      <m:oMath>
        <m:r>
          <m:rPr>
            <m:sty m:val="bi"/>
          </m:rPr>
          <w:rPr>
            <w:rFonts w:hint="default" w:ascii="Cambria Math" w:hAnsi="Cambria Math" w:eastAsiaTheme="minorEastAsia"/>
            <w:sz w:val="21"/>
          </w:rPr>
          <m:t>abs</m:t>
        </m:r>
        <m:r>
          <m:rPr>
            <m:sty m:val="bi"/>
          </m:rPr>
          <w:rPr>
            <w:rFonts w:hint="default" w:ascii="Cambria Math" w:hAnsi="Cambria Math"/>
            <w:sz w:val="21"/>
            <w:lang w:val="en-US" w:eastAsia="zh-CN"/>
          </w:rPr>
          <m:t>_</m:t>
        </m:r>
        <m:r>
          <m:rPr>
            <m:sty m:val="bi"/>
          </m:rPr>
          <w:rPr>
            <w:rFonts w:hint="default" w:ascii="Cambria Math" w:hAnsi="Cambria Math" w:eastAsiaTheme="minorEastAsia"/>
            <w:sz w:val="21"/>
          </w:rPr>
          <m:t>deviation</m:t>
        </m:r>
      </m:oMath>
      <w:r>
        <w:rPr>
          <w:rFonts w:hint="eastAsia"/>
          <w:b/>
          <w:bCs/>
          <w:lang w:val="en-US" w:eastAsia="zh-CN"/>
        </w:rPr>
        <w:t>）：</w:t>
      </w:r>
      <w:r>
        <w:rPr>
          <w:rFonts w:hint="eastAsia"/>
          <w:lang w:val="en-US" w:eastAsia="zh-CN"/>
        </w:rPr>
        <w:t>单一模型评分偏离该条目群体中位数的绝对值。</w:t>
      </w:r>
      <w:r>
        <w:rPr>
          <w:rFonts w:hint="eastAsia"/>
          <w:lang w:val="en-US" w:eastAsia="zh-CN"/>
        </w:rPr>
        <w:br w:type="textWrapping"/>
      </w:r>
      <w:r>
        <w:rPr>
          <w:rFonts w:hint="eastAsia"/>
          <w:b/>
          <w:bCs/>
          <w:lang w:val="en-US" w:eastAsia="zh-CN"/>
        </w:rPr>
        <w:t>·模型间信度：</w:t>
      </w:r>
      <w:r>
        <w:rPr>
          <w:rFonts w:hint="eastAsia"/>
          <w:lang w:val="en-US" w:eastAsia="zh-CN"/>
        </w:rPr>
        <w:t xml:space="preserve">基于序数性 </w:t>
      </w:r>
      <m:oMath>
        <m:r>
          <m:rPr/>
          <w:rPr>
            <w:rFonts w:hint="default" w:ascii="Cambria Math" w:hAnsi="Cambria Math" w:eastAsiaTheme="minorEastAsia"/>
            <w:sz w:val="21"/>
          </w:rPr>
          <m:t>Krippendorff's</m:t>
        </m:r>
        <m:r>
          <m:rPr/>
          <w:rPr>
            <w:rFonts w:hint="default" w:ascii="Cambria Math" w:hAnsi="Cambria Math"/>
            <w:sz w:val="21"/>
            <w:lang w:val="en-US" w:eastAsia="zh-CN"/>
          </w:rPr>
          <m:t xml:space="preserve"> </m:t>
        </m:r>
        <m:r>
          <m:rPr/>
          <w:rPr>
            <w:rFonts w:hint="default" w:ascii="Cambria Math" w:hAnsi="Cambria Math" w:eastAsiaTheme="minorEastAsia"/>
            <w:sz w:val="21"/>
          </w:rPr>
          <m:t>α</m:t>
        </m:r>
      </m:oMath>
      <w:r>
        <m:rPr/>
        <w:rPr>
          <w:rFonts w:hint="eastAsia" w:hAnsi="Cambria Math"/>
          <w:i w:val="0"/>
          <w:sz w:val="21"/>
          <w:lang w:val="en-US" w:eastAsia="zh-CN"/>
        </w:rPr>
        <w:t xml:space="preserve"> 度量多模型初始评分的趋同程度。</w:t>
      </w:r>
    </w:p>
    <w:p w14:paraId="30B3ADC3">
      <w:pPr>
        <w:numPr>
          <w:ilvl w:val="0"/>
          <w:numId w:val="4"/>
        </w:numPr>
        <w:rPr>
          <w:rFonts w:hint="eastAsia"/>
          <w:lang w:val="en-US" w:eastAsia="zh-CN"/>
        </w:rPr>
      </w:pPr>
      <w:r>
        <w:rPr>
          <w:rFonts w:hint="eastAsia"/>
          <w:b/>
          <w:bCs/>
          <w:lang w:val="en-US" w:eastAsia="zh-CN"/>
        </w:rPr>
        <w:t>针对论证质量与定权（RQ2 &amp; RQ3）：</w:t>
      </w:r>
      <w:r>
        <w:rPr>
          <w:rFonts w:hint="eastAsia"/>
          <w:lang w:val="en-US" w:eastAsia="zh-CN"/>
        </w:rPr>
        <w:br w:type="textWrapping"/>
      </w:r>
      <w:r>
        <w:rPr>
          <w:rFonts w:hint="eastAsia"/>
          <w:b/>
          <w:bCs/>
          <w:lang w:val="en-US" w:eastAsia="zh-CN"/>
        </w:rPr>
        <w:t>·论证质量分（</w:t>
      </w:r>
      <m:oMath>
        <m:r>
          <m:rPr>
            <m:sty m:val="bi"/>
          </m:rPr>
          <w:rPr>
            <w:rFonts w:hint="default" w:ascii="Cambria Math" w:hAnsi="Cambria Math"/>
            <w:sz w:val="21"/>
          </w:rPr>
          <m:t>Q</m:t>
        </m:r>
      </m:oMath>
      <w:r>
        <w:rPr>
          <w:rFonts w:hint="eastAsia"/>
          <w:b/>
          <w:bCs/>
          <w:lang w:val="en-US" w:eastAsia="zh-CN"/>
        </w:rPr>
        <w:t>）：</w:t>
      </w:r>
      <w:r>
        <w:rPr>
          <w:rFonts w:hint="eastAsia"/>
          <w:lang w:val="en-US" w:eastAsia="zh-CN"/>
        </w:rPr>
        <w:t>连续变量</w:t>
      </w:r>
      <m:oMath>
        <m:r>
          <m:rPr/>
          <w:rPr>
            <w:rFonts w:hint="default" w:ascii="Cambria Math" w:hAnsi="Cambria Math" w:eastAsiaTheme="minorEastAsia"/>
            <w:sz w:val="21"/>
          </w:rPr>
          <m:t>Q∈[0,1]</m:t>
        </m:r>
      </m:oMath>
      <w:r>
        <w:rPr>
          <w:rFonts w:hint="eastAsia"/>
          <w:lang w:val="en-US" w:eastAsia="zh-CN"/>
        </w:rPr>
        <w:t>，量化离群事件中文本证据的逻辑深度与可执行性。</w:t>
      </w:r>
      <w:r>
        <w:rPr>
          <w:rFonts w:hint="eastAsia"/>
          <w:lang w:val="en-US" w:eastAsia="zh-CN"/>
        </w:rPr>
        <w:br w:type="textWrapping"/>
      </w:r>
      <w:r>
        <w:rPr>
          <w:rFonts w:hint="eastAsia"/>
          <w:b/>
          <w:bCs/>
          <w:lang w:val="en-US" w:eastAsia="zh-CN"/>
        </w:rPr>
        <w:t>·硬性失败率（</w:t>
      </w:r>
      <m:oMath>
        <m:r>
          <m:rPr>
            <m:sty m:val="bi"/>
          </m:rPr>
          <w:rPr>
            <w:rFonts w:hint="default" w:ascii="Cambria Math" w:hAnsi="Cambria Math"/>
            <w:sz w:val="21"/>
          </w:rPr>
          <m:t>Hard</m:t>
        </m:r>
        <m:r>
          <m:rPr>
            <m:sty m:val="bi"/>
          </m:rPr>
          <w:rPr>
            <w:rFonts w:hint="default" w:ascii="Cambria Math" w:hAnsi="Cambria Math"/>
            <w:sz w:val="21"/>
            <w:lang w:val="en-US" w:eastAsia="zh-CN"/>
          </w:rPr>
          <m:t xml:space="preserve"> </m:t>
        </m:r>
        <m:r>
          <m:rPr>
            <m:sty m:val="bi"/>
          </m:rPr>
          <w:rPr>
            <w:rFonts w:hint="default" w:ascii="Cambria Math" w:hAnsi="Cambria Math"/>
            <w:sz w:val="21"/>
          </w:rPr>
          <m:t>Fail</m:t>
        </m:r>
        <m:r>
          <m:rPr>
            <m:sty m:val="bi"/>
          </m:rPr>
          <w:rPr>
            <w:rFonts w:hint="default" w:ascii="Cambria Math" w:hAnsi="Cambria Math"/>
            <w:sz w:val="21"/>
            <w:lang w:val="en-US" w:eastAsia="zh-CN"/>
          </w:rPr>
          <m:t xml:space="preserve"> </m:t>
        </m:r>
        <m:r>
          <m:rPr>
            <m:sty m:val="bi"/>
          </m:rPr>
          <w:rPr>
            <w:rFonts w:hint="default" w:ascii="Cambria Math" w:hAnsi="Cambria Math"/>
            <w:sz w:val="21"/>
          </w:rPr>
          <m:t>Rate</m:t>
        </m:r>
      </m:oMath>
      <w:r>
        <w:rPr>
          <w:rFonts w:hint="eastAsia"/>
          <w:b/>
          <w:bCs/>
          <w:lang w:val="en-US" w:eastAsia="zh-CN"/>
        </w:rPr>
        <w:t>）：</w:t>
      </w:r>
      <w:r>
        <w:rPr>
          <w:rFonts w:hint="eastAsia"/>
          <w:lang w:val="en-US" w:eastAsia="zh-CN"/>
        </w:rPr>
        <w:t>证据缺失或维度错配的离群事件占比。</w:t>
      </w:r>
    </w:p>
    <w:p w14:paraId="1A4E1165">
      <w:pPr>
        <w:numPr>
          <w:ilvl w:val="0"/>
          <w:numId w:val="4"/>
        </w:numPr>
        <w:rPr>
          <w:rFonts w:hint="eastAsia"/>
          <w:lang w:val="en-US" w:eastAsia="zh-CN"/>
        </w:rPr>
      </w:pPr>
      <w:r>
        <w:rPr>
          <w:rFonts w:hint="eastAsia"/>
          <w:b/>
          <w:bCs/>
          <w:lang w:val="en-US" w:eastAsia="zh-CN"/>
        </w:rPr>
        <w:t>针对最终输出质量与收敛性（RQ4）：</w:t>
      </w:r>
      <w:r>
        <w:rPr>
          <w:rFonts w:hint="eastAsia"/>
          <w:b/>
          <w:bCs/>
          <w:lang w:val="en-US" w:eastAsia="zh-CN"/>
        </w:rPr>
        <w:br w:type="textWrapping"/>
      </w:r>
      <w:r>
        <w:rPr>
          <w:rFonts w:hint="eastAsia"/>
          <w:b/>
          <w:bCs/>
          <w:lang w:val="en-US" w:eastAsia="zh-CN"/>
        </w:rPr>
        <w:t>·</w:t>
      </w:r>
      <m:oMath>
        <m:r>
          <m:rPr>
            <m:sty m:val="bi"/>
          </m:rPr>
          <w:rPr>
            <w:rFonts w:hint="default" w:ascii="Cambria Math" w:hAnsi="Cambria Math" w:eastAsiaTheme="minorEastAsia"/>
            <w:sz w:val="21"/>
          </w:rPr>
          <m:t>Macro−F1</m:t>
        </m:r>
      </m:oMath>
      <w:r>
        <w:rPr>
          <w:rFonts w:hint="eastAsia"/>
          <w:b/>
          <w:bCs/>
          <w:lang w:val="en-US" w:eastAsia="zh-CN"/>
        </w:rPr>
        <w:t>（主指标）：</w:t>
      </w:r>
      <w:r>
        <w:rPr>
          <w:rFonts w:hint="eastAsia"/>
          <w:lang w:val="en-US" w:eastAsia="zh-CN"/>
        </w:rPr>
        <w:t>由于U/A/C/V四类缺陷在真实文档中分布极度不均衡，采用文档级</w:t>
      </w:r>
      <m:oMath>
        <m:r>
          <m:rPr/>
          <w:rPr>
            <w:rFonts w:hint="default" w:ascii="Cambria Math" w:hAnsi="Cambria Math" w:eastAsiaTheme="minorEastAsia"/>
            <w:sz w:val="21"/>
          </w:rPr>
          <m:t>Macro−F1</m:t>
        </m:r>
      </m:oMath>
      <w:r>
        <w:rPr>
          <w:rFonts w:hint="eastAsia"/>
          <w:lang w:val="en-US" w:eastAsia="zh-CN"/>
        </w:rPr>
        <w:t>作为核心性能指标（先计算各类别F1再取无权平均），以防少数类表现被掩盖。同时辅以</w:t>
      </w:r>
      <m:oMath>
        <m:r>
          <m:rPr/>
          <w:rPr>
            <w:rFonts w:hint="default" w:ascii="Cambria Math" w:hAnsi="Cambria Math" w:eastAsiaTheme="minorEastAsia"/>
            <w:sz w:val="21"/>
          </w:rPr>
          <m:t>Precision</m:t>
        </m:r>
      </m:oMath>
      <w:r>
        <w:rPr>
          <w:rFonts w:hint="eastAsia"/>
          <w:lang w:val="en-US" w:eastAsia="zh-CN"/>
        </w:rPr>
        <w:t>与</w:t>
      </w:r>
      <m:oMath>
        <m:r>
          <m:rPr/>
          <w:rPr>
            <w:rFonts w:hint="default" w:ascii="Cambria Math" w:hAnsi="Cambria Math" w:eastAsiaTheme="minorEastAsia"/>
            <w:sz w:val="21"/>
          </w:rPr>
          <m:t>Recall</m:t>
        </m:r>
      </m:oMath>
      <w:r>
        <w:rPr>
          <w:rFonts w:hint="eastAsia"/>
          <w:lang w:val="en-US" w:eastAsia="zh-CN"/>
        </w:rPr>
        <w:t>。</w:t>
      </w:r>
      <w:r>
        <w:rPr>
          <w:rFonts w:hint="eastAsia"/>
          <w:lang w:val="en-US" w:eastAsia="zh-CN"/>
        </w:rPr>
        <w:br w:type="textWrapping"/>
      </w:r>
      <w:r>
        <w:rPr>
          <w:rFonts w:hint="eastAsia"/>
          <w:b/>
          <w:bCs/>
          <w:lang w:val="en-US" w:eastAsia="zh-CN"/>
        </w:rPr>
        <w:t>·集合Jaccard相似度（</w:t>
      </w:r>
      <m:oMath>
        <m:r>
          <m:rPr/>
          <w:rPr>
            <w:rFonts w:hint="default" w:ascii="Cambria Math" w:hAnsi="Cambria Math" w:eastAsiaTheme="minorEastAsia"/>
            <w:sz w:val="21"/>
          </w:rPr>
          <m:t>Issu</m:t>
        </m:r>
        <m:r>
          <m:rPr/>
          <w:rPr>
            <w:rFonts w:hint="default" w:ascii="Cambria Math" w:hAnsi="Cambria Math"/>
            <w:sz w:val="21"/>
            <w:lang w:val="en-US" w:eastAsia="zh-CN"/>
          </w:rPr>
          <m:t>e</m:t>
        </m:r>
        <m:r>
          <m:rPr/>
          <w:rPr>
            <w:rFonts w:hint="default" w:ascii="Cambria Math" w:hAnsi="Cambria Math" w:eastAsiaTheme="minorEastAsia"/>
            <w:sz w:val="21"/>
          </w:rPr>
          <m:t>−set</m:t>
        </m:r>
        <m:r>
          <m:rPr/>
          <w:rPr>
            <w:rFonts w:hint="default" w:ascii="Cambria Math" w:hAnsi="Cambria Math"/>
            <w:sz w:val="21"/>
            <w:lang w:val="en-US" w:eastAsia="zh-CN"/>
          </w:rPr>
          <m:t xml:space="preserve"> </m:t>
        </m:r>
        <m:r>
          <m:rPr/>
          <w:rPr>
            <w:rFonts w:hint="default" w:ascii="Cambria Math" w:hAnsi="Cambria Math" w:eastAsiaTheme="minorEastAsia"/>
            <w:sz w:val="21"/>
          </w:rPr>
          <m:t>Jaccard</m:t>
        </m:r>
      </m:oMath>
      <w:r>
        <w:rPr>
          <w:rFonts w:hint="eastAsia"/>
          <w:b/>
          <w:bCs/>
          <w:lang w:val="en-US" w:eastAsia="zh-CN"/>
        </w:rPr>
        <w:t>）：</w:t>
      </w:r>
      <w:r>
        <w:rPr>
          <w:rFonts w:hint="eastAsia"/>
          <w:lang w:val="en-US" w:eastAsia="zh-CN"/>
        </w:rPr>
        <w:t>度量相邻圆桌轮次间候选缺陷集合的重合度。</w:t>
      </w:r>
    </w:p>
    <w:p w14:paraId="103B4B6D">
      <w:pPr>
        <w:pStyle w:val="5"/>
        <w:bidi w:val="0"/>
        <w:rPr>
          <w:rFonts w:hint="eastAsia"/>
          <w:lang w:val="en-US" w:eastAsia="zh-CN"/>
        </w:rPr>
      </w:pPr>
      <w:r>
        <w:rPr>
          <w:rFonts w:hint="eastAsia"/>
          <w:lang w:val="en-US" w:eastAsia="zh-CN"/>
        </w:rPr>
        <w:t>5.3.3 控制变量与参数设置</w:t>
      </w:r>
    </w:p>
    <w:p w14:paraId="14277FA0">
      <w:pPr>
        <m:rPr/>
        <w:rPr>
          <w:rFonts w:hint="eastAsia" w:hAnsi="Cambria Math"/>
          <w:i w:val="0"/>
          <w:sz w:val="21"/>
          <w:lang w:eastAsia="zh-CN"/>
        </w:rPr>
      </w:pPr>
      <w:r>
        <w:rPr>
          <w:rFonts w:hint="eastAsia"/>
          <w:lang w:val="en-US" w:eastAsia="zh-CN"/>
        </w:rPr>
        <w:t>为降低内部效度威胁，所有对照组共享相同的输入模板、解析脚本与系统配置。核心超参数我们固定为：离群阈值</w:t>
      </w:r>
      <m:oMath>
        <m:r>
          <m:rPr/>
          <w:rPr>
            <w:rFonts w:hint="default" w:ascii="Cambria Math" w:hAnsi="Cambria Math" w:eastAsiaTheme="minorEastAsia"/>
            <w:sz w:val="21"/>
          </w:rPr>
          <m:t>δ=2</m:t>
        </m:r>
      </m:oMath>
      <w:r>
        <m:rPr/>
        <w:rPr>
          <w:rFonts w:hint="eastAsia" w:hAnsi="Cambria Math"/>
          <w:i w:val="0"/>
          <w:sz w:val="21"/>
          <w:lang w:eastAsia="zh-CN"/>
        </w:rPr>
        <w:t>，</w:t>
      </w:r>
      <w:r>
        <m:rPr/>
        <w:rPr>
          <w:rFonts w:hint="eastAsia" w:hAnsi="Cambria Math"/>
          <w:i w:val="0"/>
          <w:sz w:val="21"/>
          <w:lang w:val="en-US" w:eastAsia="zh-CN"/>
        </w:rPr>
        <w:t>好离群阈值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m:t>
        </m:r>
      </m:oMath>
      <w:r>
        <m:rPr/>
        <w:rPr>
          <w:rFonts w:hint="eastAsia" w:hAnsi="Cambria Math"/>
          <w:i w:val="0"/>
          <w:sz w:val="21"/>
          <w:lang w:eastAsia="zh-CN"/>
        </w:rPr>
        <w:t>，</w:t>
      </w:r>
      <w:r>
        <m:rPr/>
        <w:rPr>
          <w:rFonts w:hint="eastAsia" w:hAnsi="Cambria Math"/>
          <w:i w:val="0"/>
          <w:sz w:val="21"/>
          <w:lang w:val="en-US" w:eastAsia="zh-CN"/>
        </w:rPr>
        <w:t>坏离群阈值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=0.30</m:t>
        </m:r>
      </m:oMath>
      <w:r>
        <m:rPr/>
        <w:rPr>
          <w:rFonts w:hint="eastAsia" w:hAnsi="Cambria Math"/>
          <w:i w:val="0"/>
          <w:sz w:val="21"/>
          <w:lang w:eastAsia="zh-CN"/>
        </w:rPr>
        <w:t>，</w:t>
      </w:r>
      <w:r>
        <m:rPr/>
        <w:rPr>
          <w:rFonts w:hint="eastAsia" w:hAnsi="Cambria Math"/>
          <w:i w:val="0"/>
          <w:sz w:val="21"/>
          <w:lang w:val="en-US" w:eastAsia="zh-CN"/>
        </w:rPr>
        <w:t>惩罚系数</w:t>
      </w:r>
      <m:oMath>
        <m:r>
          <m:rPr/>
          <w:rPr>
            <w:rFonts w:hint="default" w:ascii="Cambria Math" w:hAnsi="Cambria Math" w:eastAsiaTheme="minorEastAsia"/>
            <w:sz w:val="21"/>
          </w:rPr>
          <m:t>λ=1.5</m:t>
        </m:r>
      </m:oMath>
      <w:r>
        <m:rPr/>
        <w:rPr>
          <w:rFonts w:hint="eastAsia" w:hAnsi="Cambria Math"/>
          <w:i w:val="0"/>
          <w:sz w:val="21"/>
          <w:lang w:eastAsia="zh-CN"/>
        </w:rPr>
        <w:t>，</w:t>
      </w:r>
      <w:r>
        <m:rPr/>
        <w:rPr>
          <w:rFonts w:hint="eastAsia" w:hAnsi="Cambria Math"/>
          <w:i w:val="0"/>
          <w:sz w:val="21"/>
          <w:lang w:val="en-US" w:eastAsia="zh-CN"/>
        </w:rPr>
        <w:t>放大系数</w:t>
      </w:r>
      <m:oMath>
        <m:r>
          <m:rPr/>
          <w:rPr>
            <w:rFonts w:hint="default" w:ascii="Cambria Math" w:hAnsi="Cambria Math" w:eastAsiaTheme="minorEastAsia"/>
            <w:sz w:val="21"/>
          </w:rPr>
          <m:t>β=1.0</m:t>
        </m:r>
      </m:oMath>
      <w:r>
        <m:rPr/>
        <w:rPr>
          <w:rFonts w:hint="eastAsia" w:hAnsi="Cambria Math"/>
          <w:i w:val="0"/>
          <w:sz w:val="21"/>
          <w:lang w:eastAsia="zh-CN"/>
        </w:rPr>
        <w:t>，</w:t>
      </w:r>
      <w:r>
        <m:rPr/>
        <w:rPr>
          <w:rFonts w:hint="eastAsia" w:hAnsi="Cambria Math"/>
          <w:i w:val="0"/>
          <w:sz w:val="21"/>
          <w:lang w:val="en-US" w:eastAsia="zh-CN"/>
        </w:rPr>
        <w:t>每轮讨论侯选数</w:t>
      </w:r>
      <m:oMath>
        <m:r>
          <m:rPr/>
          <w:rPr>
            <w:rFonts w:hint="default" w:ascii="Cambria Math" w:hAnsi="Cambria Math" w:eastAsiaTheme="minorEastAsia"/>
            <w:sz w:val="21"/>
          </w:rPr>
          <m:t>topK=10</m:t>
        </m:r>
      </m:oMath>
      <w:r>
        <m:rPr/>
        <w:rPr>
          <w:rFonts w:hint="eastAsia" w:hAnsi="Cambria Math"/>
          <w:i w:val="0"/>
          <w:sz w:val="21"/>
          <w:lang w:eastAsia="zh-CN"/>
        </w:rPr>
        <w:t>，</w:t>
      </w:r>
      <w:r>
        <m:rPr/>
        <w:rPr>
          <w:rFonts w:hint="eastAsia" w:hAnsi="Cambria Math"/>
          <w:i w:val="0"/>
          <w:sz w:val="21"/>
          <w:lang w:val="en-US" w:eastAsia="zh-CN"/>
        </w:rPr>
        <w:t>最大讨论轮次</w:t>
      </w:r>
      <m:oMath>
        <m:r>
          <m:rPr/>
          <w:rPr>
            <w:rFonts w:hint="default" w:ascii="Cambria Math" w:hAnsi="Cambria Math" w:eastAsiaTheme="minorEastAsia"/>
            <w:sz w:val="21"/>
          </w:rPr>
          <m:t>rounds=2</m:t>
        </m:r>
      </m:oMath>
      <w:r>
        <m:rPr/>
        <w:rPr>
          <w:rFonts w:hint="eastAsia" w:hAnsi="Cambria Math"/>
          <w:i w:val="0"/>
          <w:sz w:val="21"/>
          <w:lang w:eastAsia="zh-CN"/>
        </w:rPr>
        <w:t>，</w:t>
      </w:r>
      <w:r>
        <m:rPr/>
        <w:rPr>
          <w:rFonts w:hint="eastAsia" w:hAnsi="Cambria Math"/>
          <w:i w:val="0"/>
          <w:sz w:val="21"/>
          <w:lang w:val="en-US" w:eastAsia="zh-CN"/>
        </w:rPr>
        <w:t>最终提取阈值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ratio</m:t>
            </m:r>
            <m:ctrlPr>
              <w:rPr>
                <w:rFonts w:ascii="Cambria Math" w:hAnsi="Cambria Math" w:eastAsiaTheme="minorEastAsia"/>
                <w:sz w:val="21"/>
              </w:rPr>
            </m:ctrlPr>
          </m:sub>
        </m:sSub>
        <m:r>
          <m:rPr/>
          <w:rPr>
            <w:rFonts w:hint="default" w:ascii="Cambria Math" w:hAnsi="Cambria Math" w:eastAsiaTheme="minorEastAsia"/>
            <w:sz w:val="21"/>
          </w:rPr>
          <m:t>=0.6</m:t>
        </m:r>
      </m:oMath>
      <w:r>
        <m:rPr/>
        <w:rPr>
          <w:rFonts w:hint="eastAsia" w:hAnsi="Cambria Math"/>
          <w:i w:val="0"/>
          <w:sz w:val="21"/>
          <w:lang w:eastAsia="zh-CN"/>
        </w:rPr>
        <w:t>。</w:t>
      </w:r>
    </w:p>
    <w:p w14:paraId="5CA33580">
      <w:pPr>
        <w:pStyle w:val="4"/>
        <w:bidi w:val="0"/>
        <m:rPr/>
        <w:rPr>
          <w:rFonts w:hint="eastAsia"/>
          <w:lang w:val="en-US" w:eastAsia="zh-CN"/>
        </w:rPr>
      </w:pPr>
      <w:r>
        <m:rPr/>
        <w:rPr>
          <w:rFonts w:hint="eastAsia"/>
          <w:lang w:val="en-US" w:eastAsia="zh-CN"/>
        </w:rPr>
        <w:t>5.4 数据收集与系统稳健性控制</w:t>
      </w:r>
    </w:p>
    <w:p w14:paraId="394CB723">
      <w:pPr>
        <m:rPr/>
        <w:rPr>
          <w:rFonts w:hint="eastAsia"/>
          <w:lang w:val="en-US" w:eastAsia="zh-CN"/>
        </w:rPr>
      </w:pPr>
      <w:r>
        <m:rPr/>
        <w:rPr>
          <w:rFonts w:hint="eastAsia"/>
          <w:lang w:val="en-US" w:eastAsia="zh-CN"/>
        </w:rPr>
        <w:t>在真实API环境下采集多模型输出时，不可避免会面临限流、网络超时或模型输出非严格JSON格式等问题。本实证研究将此类现象显式纳入系统稳健性考量，而非简单剔除失败样本。</w:t>
      </w:r>
    </w:p>
    <w:p w14:paraId="3E64884E">
      <w:pPr>
        <m:rPr/>
        <w:rPr>
          <w:rFonts w:hint="default"/>
          <w:lang w:val="en-US" w:eastAsia="zh-CN"/>
        </w:rPr>
      </w:pPr>
      <w:r>
        <m:rPr/>
        <w:rPr>
          <w:rFonts w:hint="default"/>
          <w:lang w:val="en-US" w:eastAsia="zh-CN"/>
        </w:rPr>
        <w:t>数据收集系统部署了指数退避重试与容错降级机制。若某模型在特定条目上历经最大重试后仍失败，系统仅在当前 case 中禁用该模型，其余成功响应的模型继续完成后续流程。这种设计真实反映了本文方法在“部分成员缺席”情况下的鲁棒性。所有 API 交互日志、坏 JSON 日志与圆桌轮次历史均被版本化落盘，确保实验数据的绝对可复查与可重放。</w:t>
      </w:r>
    </w:p>
    <w:p w14:paraId="02EAAE69">
      <w:pPr>
        <w:pStyle w:val="4"/>
        <w:bidi w:val="0"/>
        <m:rPr/>
        <w:rPr>
          <w:rFonts w:hint="eastAsia"/>
          <w:lang w:val="en-US" w:eastAsia="zh-CN"/>
        </w:rPr>
      </w:pPr>
      <w:r>
        <m:rPr/>
        <w:rPr>
          <w:rFonts w:hint="eastAsia"/>
          <w:lang w:val="en-US" w:eastAsia="zh-CN"/>
        </w:rPr>
        <w:t>5.5 数据分析方法</w:t>
      </w:r>
    </w:p>
    <w:p w14:paraId="15BDB109">
      <w:pPr>
        <m:rPr/>
        <w:rPr>
          <w:rFonts w:hint="default"/>
          <w:lang w:val="en-US" w:eastAsia="zh-CN"/>
        </w:rPr>
      </w:pPr>
      <w:r>
        <m:rPr/>
        <w:rPr>
          <w:rFonts w:hint="default"/>
          <w:lang w:val="en-US" w:eastAsia="zh-CN"/>
        </w:rPr>
        <w:t>统计分析严格以“需求文档”为基本比较单元，避免将不同文档条目直接混合导致的辛普森悖论</w:t>
      </w:r>
      <m:oMath>
        <m:r>
          <m:rPr>
            <m:sty m:val="p"/>
          </m:rPr>
          <w:rPr>
            <w:rFonts w:hint="default" w:ascii="Cambria Math" w:hAnsi="Cambria Math" w:eastAsiaTheme="minorEastAsia"/>
            <w:sz w:val="21"/>
          </w:rPr>
          <m:t>（</m:t>
        </m:r>
        <m:r>
          <m:rPr/>
          <w:rPr>
            <w:rFonts w:hint="default" w:ascii="Cambria Math" w:hAnsi="Cambria Math" w:eastAsiaTheme="minorEastAsia"/>
            <w:sz w:val="21"/>
          </w:rPr>
          <m:t>Simpson's</m:t>
        </m:r>
        <m:r>
          <m:rPr/>
          <w:rPr>
            <w:rFonts w:hint="default" w:ascii="Cambria Math" w:hAnsi="Cambria Math"/>
            <w:sz w:val="21"/>
            <w:lang w:val="en-US" w:eastAsia="zh-CN"/>
          </w:rPr>
          <m:t xml:space="preserve"> </m:t>
        </m:r>
        <m:r>
          <m:rPr/>
          <w:rPr>
            <w:rFonts w:hint="default" w:ascii="Cambria Math" w:hAnsi="Cambria Math" w:eastAsiaTheme="minorEastAsia"/>
            <w:sz w:val="21"/>
          </w:rPr>
          <m:t>Paradox</m:t>
        </m:r>
        <m:r>
          <m:rPr>
            <m:sty m:val="p"/>
          </m:rPr>
          <w:rPr>
            <w:rFonts w:hint="default" w:ascii="Cambria Math" w:hAnsi="Cambria Math" w:eastAsiaTheme="minorEastAsia"/>
            <w:sz w:val="21"/>
          </w:rPr>
          <m:t>）</m:t>
        </m:r>
      </m:oMath>
      <w:r>
        <m:rPr/>
        <w:rPr>
          <w:rFonts w:hint="default"/>
          <w:lang w:val="en-US" w:eastAsia="zh-CN"/>
        </w:rPr>
        <w:t>。针对各 RQ，分析计划如下：</w:t>
      </w:r>
    </w:p>
    <w:p w14:paraId="5586BA9A">
      <w:pPr>
        <w:numPr>
          <w:ilvl w:val="0"/>
          <w:numId w:val="5"/>
        </w:numPr>
        <m:rPr/>
        <w:rPr>
          <w:rFonts w:hint="eastAsia"/>
          <w:lang w:val="en-US" w:eastAsia="zh-CN"/>
        </w:rPr>
      </w:pPr>
      <w:r>
        <m:rPr/>
        <w:rPr>
          <w:rFonts w:hint="eastAsia"/>
          <w:b/>
          <w:bCs/>
          <w:lang w:val="en-US" w:eastAsia="zh-CN"/>
        </w:rPr>
        <w:t>解答RQ1（差异结构）：</w:t>
      </w:r>
      <w:r>
        <m:rPr/>
        <w:rPr>
          <w:rFonts w:hint="eastAsia"/>
          <w:lang w:val="en-US" w:eastAsia="zh-CN"/>
        </w:rPr>
        <w:t xml:space="preserve">计算多模型在各维度的中位数与四分位距（IQR）。采用 </w:t>
      </w:r>
      <m:oMath>
        <m:r>
          <m:rPr/>
          <w:rPr>
            <w:rFonts w:hint="default" w:ascii="Cambria Math" w:hAnsi="Cambria Math" w:eastAsiaTheme="minorEastAsia"/>
            <w:sz w:val="21"/>
          </w:rPr>
          <m:t>Kruskal−Wallis</m:t>
        </m:r>
        <m:r>
          <m:rPr/>
          <w:rPr>
            <w:rFonts w:hint="default" w:ascii="Cambria Math" w:hAnsi="Cambria Math"/>
            <w:sz w:val="21"/>
            <w:lang w:val="en-US" w:eastAsia="zh-CN"/>
          </w:rPr>
          <m:t xml:space="preserve"> </m:t>
        </m:r>
        <m:r>
          <m:rPr/>
          <w:rPr>
            <w:rFonts w:hint="default" w:ascii="Cambria Math" w:hAnsi="Cambria Math" w:eastAsiaTheme="minorEastAsia"/>
            <w:sz w:val="21"/>
          </w:rPr>
          <m:t>H</m:t>
        </m:r>
      </m:oMath>
      <w:r>
        <m:rPr/>
        <w:rPr>
          <w:rFonts w:hint="eastAsia"/>
          <w:lang w:val="en-US" w:eastAsia="zh-CN"/>
        </w:rPr>
        <w:t>检验 分析不同缺陷维度（U/A/C/V）触发离群事件（</w:t>
      </w:r>
      <m:oMath>
        <m:r>
          <m:rPr/>
          <w:rPr>
            <w:rFonts w:hint="default" w:ascii="Cambria Math" w:hAnsi="Cambria Math" w:eastAsiaTheme="minorEastAsia"/>
            <w:sz w:val="21"/>
          </w:rPr>
          <m:t>abs_deviation≥δ</m:t>
        </m:r>
      </m:oMath>
      <w:r>
        <m:rPr/>
        <w:rPr>
          <w:rFonts w:hint="eastAsia"/>
          <w:lang w:val="en-US" w:eastAsia="zh-CN"/>
        </w:rPr>
        <w:t>）的频率是否存在显著的统计学差异。</w:t>
      </w:r>
    </w:p>
    <w:p w14:paraId="2B3270FB">
      <w:pPr>
        <w:numPr>
          <w:ilvl w:val="0"/>
          <w:numId w:val="5"/>
        </w:numPr>
        <m:rPr/>
        <w:rPr>
          <w:rFonts w:hint="default"/>
          <w:lang w:val="en-US" w:eastAsia="zh-CN"/>
        </w:rPr>
      </w:pPr>
      <w:r>
        <m:rPr/>
        <w:rPr>
          <w:rFonts w:hint="eastAsia"/>
          <w:b/>
          <w:bCs/>
          <w:lang w:val="en-US" w:eastAsia="zh-CN"/>
        </w:rPr>
        <w:t>解答RQ2（判别有效性）：</w:t>
      </w:r>
      <w:r>
        <m:rPr/>
        <w:rPr>
          <w:rFonts w:hint="eastAsia"/>
          <w:lang w:val="en-US" w:eastAsia="zh-CN"/>
        </w:rPr>
        <w:t xml:space="preserve">提取被判定为“好离群”与“坏离群”的事件特征。采用 </w:t>
      </w:r>
      <m:oMath>
        <m:r>
          <m:rPr/>
          <w:rPr>
            <w:rFonts w:hint="default" w:ascii="Cambria Math" w:hAnsi="Cambria Math" w:eastAsiaTheme="minorEastAsia"/>
            <w:sz w:val="21"/>
          </w:rPr>
          <m:t>Mann−Whitney</m:t>
        </m:r>
        <m:r>
          <m:rPr/>
          <w:rPr>
            <w:rFonts w:hint="default" w:ascii="Cambria Math" w:hAnsi="Cambria Math"/>
            <w:sz w:val="21"/>
            <w:lang w:val="en-US" w:eastAsia="zh-CN"/>
          </w:rPr>
          <m:t xml:space="preserve"> </m:t>
        </m:r>
        <m:r>
          <m:rPr/>
          <w:rPr>
            <w:rFonts w:hint="default" w:ascii="Cambria Math" w:hAnsi="Cambria Math" w:eastAsiaTheme="minorEastAsia"/>
            <w:sz w:val="21"/>
          </w:rPr>
          <m:t>U</m:t>
        </m:r>
      </m:oMath>
      <w:r>
        <m:rPr/>
        <w:rPr>
          <w:rFonts w:hint="eastAsia"/>
          <w:lang w:val="en-US" w:eastAsia="zh-CN"/>
        </w:rPr>
        <w:t>检验 分析两者在</w:t>
      </w:r>
      <m:oMath>
        <m:r>
          <m:rPr/>
          <w:rPr>
            <w:rFonts w:hint="default" w:ascii="Cambria Math" w:hAnsi="Cambria Math" w:eastAsiaTheme="minorEastAsia"/>
            <w:sz w:val="21"/>
          </w:rPr>
          <m:t>Q</m:t>
        </m:r>
      </m:oMath>
      <w:r>
        <m:rPr/>
        <w:rPr>
          <w:rFonts w:hint="eastAsia"/>
          <w:lang w:val="en-US" w:eastAsia="zh-CN"/>
        </w:rPr>
        <w:t>分数分布及文本证据长度等外在属性上是否实现显著分化，验证判别机制的区分度。</w:t>
      </w:r>
    </w:p>
    <w:p w14:paraId="609D301F">
      <w:pPr>
        <w:numPr>
          <w:ilvl w:val="0"/>
          <w:numId w:val="5"/>
        </w:numPr>
        <m:rPr/>
        <w:rPr>
          <w:rFonts w:hint="default"/>
          <w:lang w:val="en-US" w:eastAsia="zh-CN"/>
        </w:rPr>
      </w:pPr>
      <w:r>
        <m:rPr/>
        <w:rPr>
          <w:rFonts w:hint="eastAsia"/>
          <w:b/>
          <w:bCs/>
          <w:lang w:val="en-US" w:eastAsia="zh-CN"/>
        </w:rPr>
        <w:t>解答RQ3（模型定权验证）：</w:t>
      </w:r>
      <w:r>
        <m:rPr/>
        <w:rPr>
          <w:rFonts w:hint="eastAsia"/>
          <w:lang w:val="en-US" w:eastAsia="zh-CN"/>
        </w:rPr>
        <w:t xml:space="preserve">对比 </w:t>
      </w:r>
      <m:oMath>
        <m:r>
          <m:rPr/>
          <w:rPr>
            <w:rFonts w:hint="default" w:ascii="Cambria Math" w:hAnsi="Cambria Math" w:eastAsiaTheme="minorEastAsia"/>
            <w:sz w:val="21"/>
          </w:rPr>
          <m:t>Equal−Weight</m:t>
        </m:r>
      </m:oMath>
      <w:r>
        <m:rPr/>
        <w:rPr>
          <w:rFonts w:hint="eastAsia"/>
          <w:lang w:val="en-US" w:eastAsia="zh-CN"/>
        </w:rPr>
        <w:t xml:space="preserve"> 基线与本文基于 </w:t>
      </w:r>
      <m:oMath>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oMath>
      <w:r>
        <m:rPr/>
        <w:rPr>
          <w:rFonts w:hint="eastAsia"/>
          <w:lang w:val="en-US" w:eastAsia="zh-CN"/>
        </w:rPr>
        <w:t xml:space="preserve"> 构建的动态定权策略在单轮次下的指标差异。采用配对 </w:t>
      </w:r>
      <m:oMath>
        <m:r>
          <m:rPr/>
          <w:rPr>
            <w:rFonts w:hint="default" w:ascii="Cambria Math" w:hAnsi="Cambria Math" w:eastAsiaTheme="minorEastAsia"/>
            <w:sz w:val="21"/>
          </w:rPr>
          <m:t>Wilcoxon</m:t>
        </m:r>
      </m:oMath>
      <w:r>
        <m:rPr/>
        <w:rPr>
          <w:rFonts w:hint="eastAsia"/>
          <w:lang w:val="en-US" w:eastAsia="zh-CN"/>
        </w:rPr>
        <w:t xml:space="preserve"> 符号秩检验 （</w:t>
      </w:r>
      <m:oMath>
        <m:r>
          <m:rPr/>
          <w:rPr>
            <w:rFonts w:hint="default" w:ascii="Cambria Math" w:hAnsi="Cambria Math" w:eastAsiaTheme="minorEastAsia"/>
            <w:sz w:val="21"/>
          </w:rPr>
          <m:t>Wilcoxon</m:t>
        </m:r>
        <m:r>
          <m:rPr/>
          <w:rPr>
            <w:rFonts w:hint="default" w:ascii="Cambria Math" w:hAnsi="Cambria Math"/>
            <w:sz w:val="21"/>
            <w:lang w:val="en-US" w:eastAsia="zh-CN"/>
          </w:rPr>
          <m:t xml:space="preserve"> </m:t>
        </m:r>
        <m:r>
          <m:rPr/>
          <w:rPr>
            <w:rFonts w:hint="default" w:ascii="Cambria Math" w:hAnsi="Cambria Math" w:eastAsiaTheme="minorEastAsia"/>
            <w:sz w:val="21"/>
          </w:rPr>
          <m:t>Signed−Rank</m:t>
        </m:r>
        <m:r>
          <m:rPr/>
          <w:rPr>
            <w:rFonts w:hint="default" w:ascii="Cambria Math" w:hAnsi="Cambria Math"/>
            <w:sz w:val="21"/>
            <w:lang w:val="en-US" w:eastAsia="zh-CN"/>
          </w:rPr>
          <m:t xml:space="preserve"> </m:t>
        </m:r>
        <m:r>
          <m:rPr/>
          <w:rPr>
            <w:rFonts w:hint="default" w:ascii="Cambria Math" w:hAnsi="Cambria Math" w:eastAsiaTheme="minorEastAsia"/>
            <w:sz w:val="21"/>
          </w:rPr>
          <m:t>Test</m:t>
        </m:r>
      </m:oMath>
      <w:r>
        <m:rPr/>
        <w:rPr>
          <w:rFonts w:hint="eastAsia" w:hAnsi="Cambria Math"/>
          <w:i w:val="0"/>
          <w:sz w:val="21"/>
          <w:lang w:eastAsia="zh-CN"/>
        </w:rPr>
        <w:t>）</w:t>
      </w:r>
      <w:r>
        <m:rPr/>
        <w:rPr>
          <w:rFonts w:hint="eastAsia"/>
          <w:lang w:val="en-US" w:eastAsia="zh-CN"/>
        </w:rPr>
        <w:t xml:space="preserve">检验 </w:t>
      </w:r>
      <m:oMath>
        <m:r>
          <m:rPr/>
          <w:rPr>
            <w:rFonts w:hint="default" w:ascii="Cambria Math" w:hAnsi="Cambria Math" w:eastAsiaTheme="minorEastAsia"/>
            <w:sz w:val="21"/>
          </w:rPr>
          <m:t>Macro−F1</m:t>
        </m:r>
      </m:oMath>
      <w:r>
        <m:rPr/>
        <w:rPr>
          <w:rFonts w:hint="eastAsia"/>
          <w:lang w:val="en-US" w:eastAsia="zh-CN"/>
        </w:rPr>
        <w:t xml:space="preserve"> 的提升显著性，并计算 </w:t>
      </w:r>
      <m:oMath>
        <m:r>
          <m:rPr/>
          <w:rPr>
            <w:rFonts w:hint="default" w:ascii="Cambria Math" w:hAnsi="Cambria Math" w:eastAsiaTheme="minorEastAsia"/>
            <w:sz w:val="21"/>
          </w:rPr>
          <m:t>Cliff'sDelta</m:t>
        </m:r>
      </m:oMath>
      <w:r>
        <m:rPr/>
        <w:rPr>
          <w:rFonts w:hint="eastAsia"/>
          <w:lang w:val="en-US" w:eastAsia="zh-CN"/>
        </w:rPr>
        <w:t xml:space="preserve"> 作为非参数效应量（</w:t>
      </w:r>
      <m:oMath>
        <m:r>
          <m:rPr/>
          <w:rPr>
            <w:rFonts w:hint="default" w:ascii="Cambria Math" w:hAnsi="Cambria Math" w:eastAsiaTheme="minorEastAsia"/>
            <w:sz w:val="21"/>
          </w:rPr>
          <m:t>Effect</m:t>
        </m:r>
        <m:r>
          <m:rPr/>
          <w:rPr>
            <w:rFonts w:hint="default" w:ascii="Cambria Math" w:hAnsi="Cambria Math"/>
            <w:sz w:val="21"/>
            <w:lang w:val="en-US" w:eastAsia="zh-CN"/>
          </w:rPr>
          <m:t xml:space="preserve"> </m:t>
        </m:r>
        <m:r>
          <m:rPr/>
          <w:rPr>
            <w:rFonts w:hint="default" w:ascii="Cambria Math" w:hAnsi="Cambria Math" w:eastAsiaTheme="minorEastAsia"/>
            <w:sz w:val="21"/>
          </w:rPr>
          <m:t>Size</m:t>
        </m:r>
      </m:oMath>
      <w:r>
        <m:rPr/>
        <w:rPr>
          <w:rFonts w:hint="eastAsia"/>
          <w:lang w:val="en-US" w:eastAsia="zh-CN"/>
        </w:rPr>
        <w:t>），以评估该赋权策略在实际工程中的增益幅度。</w:t>
      </w:r>
    </w:p>
    <w:p w14:paraId="3C999885">
      <w:pPr>
        <w:numPr>
          <w:ilvl w:val="0"/>
          <w:numId w:val="5"/>
        </w:numPr>
        <m:rPr/>
        <w:rPr>
          <w:rFonts w:hint="default"/>
          <w:lang w:val="en-US" w:eastAsia="zh-CN"/>
        </w:rPr>
      </w:pPr>
      <w:r>
        <m:rPr/>
        <w:rPr>
          <w:rFonts w:hint="eastAsia"/>
          <w:b/>
          <w:bCs/>
          <w:lang w:val="en-US" w:eastAsia="zh-CN"/>
        </w:rPr>
        <w:t>解答RQ4（圆桌机制与最终性能）：</w:t>
      </w:r>
      <w:r>
        <m:rPr/>
        <w:rPr>
          <w:rFonts w:hint="eastAsia"/>
          <w:lang w:val="en-US" w:eastAsia="zh-CN"/>
        </w:rPr>
        <w:t>对于多个处理条件（</w:t>
      </w:r>
      <m:oMath>
        <m:r>
          <m:rPr/>
          <w:rPr>
            <w:rFonts w:hint="default" w:ascii="Cambria Math" w:hAnsi="Cambria Math" w:eastAsiaTheme="minorEastAsia"/>
            <w:sz w:val="21"/>
          </w:rPr>
          <m:t>Single−LLM</m:t>
        </m:r>
        <m:r>
          <m:rPr/>
          <w:rPr>
            <w:rFonts w:hint="default" w:ascii="Cambria Math" w:hAnsi="Cambria Math"/>
            <w:sz w:val="21"/>
            <w:lang w:val="en-US" w:eastAsia="zh-CN"/>
          </w:rPr>
          <m:t xml:space="preserve"> </m:t>
        </m:r>
        <m:r>
          <m:rPr/>
          <w:rPr>
            <w:rFonts w:hint="default" w:ascii="Cambria Math" w:hAnsi="Cambria Math" w:eastAsiaTheme="minorEastAsia"/>
            <w:sz w:val="21"/>
          </w:rPr>
          <m:t>vs.Equal−Weight</m:t>
        </m:r>
        <m:r>
          <m:rPr/>
          <w:rPr>
            <w:rFonts w:hint="default" w:ascii="Cambria Math" w:hAnsi="Cambria Math"/>
            <w:sz w:val="21"/>
            <w:lang w:val="en-US" w:eastAsia="zh-CN"/>
          </w:rPr>
          <m:t xml:space="preserve"> </m:t>
        </m:r>
        <m:r>
          <m:rPr/>
          <w:rPr>
            <w:rFonts w:hint="default" w:ascii="Cambria Math" w:hAnsi="Cambria Math" w:eastAsiaTheme="minorEastAsia"/>
            <w:sz w:val="21"/>
          </w:rPr>
          <m:t>vs.Roundtable</m:t>
        </m:r>
        <m:r>
          <m:rPr/>
          <w:rPr>
            <w:rFonts w:hint="default" w:ascii="Cambria Math" w:hAnsi="Cambria Math"/>
            <w:sz w:val="21"/>
            <w:lang w:val="en-US" w:eastAsia="zh-CN"/>
          </w:rPr>
          <m:t xml:space="preserve"> </m:t>
        </m:r>
        <m:r>
          <m:rPr/>
          <w:rPr>
            <w:rFonts w:hint="default" w:ascii="Cambria Math" w:hAnsi="Cambria Math" w:eastAsiaTheme="minorEastAsia"/>
            <w:sz w:val="21"/>
          </w:rPr>
          <m:t>w/o</m:t>
        </m:r>
        <m:r>
          <m:rPr/>
          <w:rPr>
            <w:rFonts w:hint="default" w:ascii="Cambria Math" w:hAnsi="Cambria Math"/>
            <w:sz w:val="21"/>
            <w:lang w:val="en-US" w:eastAsia="zh-CN"/>
          </w:rPr>
          <m:t xml:space="preserve"> </m:t>
        </m:r>
        <m:r>
          <m:rPr/>
          <w:rPr>
            <w:rFonts w:hint="default" w:ascii="Cambria Math" w:hAnsi="Cambria Math" w:eastAsiaTheme="minorEastAsia"/>
            <w:sz w:val="21"/>
          </w:rPr>
          <m:t>Weight</m:t>
        </m:r>
        <m:r>
          <m:rPr/>
          <w:rPr>
            <w:rFonts w:hint="default" w:ascii="Cambria Math" w:hAnsi="Cambria Math"/>
            <w:sz w:val="21"/>
            <w:lang w:val="en-US" w:eastAsia="zh-CN"/>
          </w:rPr>
          <m:t xml:space="preserve"> </m:t>
        </m:r>
        <m:r>
          <m:rPr/>
          <w:rPr>
            <w:rFonts w:hint="default" w:ascii="Cambria Math" w:hAnsi="Cambria Math" w:eastAsiaTheme="minorEastAsia"/>
            <w:sz w:val="21"/>
          </w:rPr>
          <m:t>vs.Full</m:t>
        </m:r>
        <m:r>
          <m:rPr/>
          <w:rPr>
            <w:rFonts w:hint="default" w:ascii="Cambria Math" w:hAnsi="Cambria Math"/>
            <w:sz w:val="21"/>
            <w:lang w:val="en-US" w:eastAsia="zh-CN"/>
          </w:rPr>
          <m:t xml:space="preserve"> </m:t>
        </m:r>
        <m:r>
          <m:rPr/>
          <w:rPr>
            <w:rFonts w:hint="default" w:ascii="Cambria Math" w:hAnsi="Cambria Math" w:eastAsiaTheme="minorEastAsia"/>
            <w:sz w:val="21"/>
          </w:rPr>
          <m:t>Method</m:t>
        </m:r>
      </m:oMath>
      <w:r>
        <m:rPr/>
        <w:rPr>
          <w:rFonts w:hint="eastAsia"/>
          <w:lang w:val="en-US" w:eastAsia="zh-CN"/>
        </w:rPr>
        <w:t xml:space="preserve">）的整体性能对比，采用 </w:t>
      </w:r>
      <m:oMath>
        <m:r>
          <m:rPr/>
          <w:rPr>
            <w:rFonts w:hint="default" w:ascii="Cambria Math" w:hAnsi="Cambria Math" w:eastAsiaTheme="minorEastAsia"/>
            <w:sz w:val="21"/>
          </w:rPr>
          <m:t>Friedman</m:t>
        </m:r>
      </m:oMath>
      <w:r>
        <m:rPr/>
        <w:rPr>
          <w:rFonts w:hint="eastAsia"/>
          <w:lang w:val="en-US" w:eastAsia="zh-CN"/>
        </w:rPr>
        <w:t xml:space="preserve"> 检验 进行全局差异性分析；若显著，则使用 Holm 校正 （</w:t>
      </w:r>
      <m:oMath>
        <m:r>
          <m:rPr/>
          <w:rPr>
            <w:rFonts w:hint="default" w:ascii="Cambria Math" w:hAnsi="Cambria Math" w:eastAsiaTheme="minorEastAsia"/>
            <w:sz w:val="21"/>
          </w:rPr>
          <m:t>Holm−Bonferroni</m:t>
        </m:r>
        <m:r>
          <m:rPr/>
          <w:rPr>
            <w:rFonts w:hint="default" w:ascii="Cambria Math" w:hAnsi="Cambria Math"/>
            <w:sz w:val="21"/>
            <w:lang w:val="en-US" w:eastAsia="zh-CN"/>
          </w:rPr>
          <m:t xml:space="preserve"> </m:t>
        </m:r>
        <m:r>
          <m:rPr/>
          <w:rPr>
            <w:rFonts w:hint="default" w:ascii="Cambria Math" w:hAnsi="Cambria Math" w:eastAsiaTheme="minorEastAsia"/>
            <w:sz w:val="21"/>
          </w:rPr>
          <m:t>method</m:t>
        </m:r>
      </m:oMath>
      <w:r>
        <m:rPr/>
        <w:rPr>
          <w:rFonts w:hint="eastAsia"/>
          <w:lang w:val="en-US" w:eastAsia="zh-CN"/>
        </w:rPr>
        <w:t>） 进行事后多重比较分析（</w:t>
      </w:r>
      <m:oMath>
        <m:r>
          <m:rPr/>
          <w:rPr>
            <w:rFonts w:hint="default" w:ascii="Cambria Math" w:hAnsi="Cambria Math" w:eastAsiaTheme="minorEastAsia"/>
            <w:sz w:val="21"/>
          </w:rPr>
          <m:t>Post−hoc</m:t>
        </m:r>
        <m:r>
          <m:rPr/>
          <w:rPr>
            <w:rFonts w:hint="default" w:ascii="Cambria Math" w:hAnsi="Cambria Math"/>
            <w:sz w:val="21"/>
            <w:lang w:val="en-US" w:eastAsia="zh-CN"/>
          </w:rPr>
          <m:t xml:space="preserve"> </m:t>
        </m:r>
        <m:r>
          <m:rPr/>
          <w:rPr>
            <w:rFonts w:hint="default" w:ascii="Cambria Math" w:hAnsi="Cambria Math" w:eastAsiaTheme="minorEastAsia"/>
            <w:sz w:val="21"/>
          </w:rPr>
          <m:t>analysis</m:t>
        </m:r>
      </m:oMath>
      <w:r>
        <m:rPr/>
        <w:rPr>
          <w:rFonts w:hint="eastAsia"/>
          <w:lang w:val="en-US" w:eastAsia="zh-CN"/>
        </w:rPr>
        <w:t xml:space="preserve">）。同时，绘制随轮次递增的 </w:t>
      </w:r>
      <m:oMath>
        <m:r>
          <m:rPr/>
          <w:rPr>
            <w:rFonts w:hint="default" w:ascii="Cambria Math" w:hAnsi="Cambria Math" w:eastAsiaTheme="minorEastAsia"/>
            <w:sz w:val="21"/>
          </w:rPr>
          <m:t>Jaccard</m:t>
        </m:r>
      </m:oMath>
      <w:r>
        <m:rPr/>
        <w:rPr>
          <w:rFonts w:hint="eastAsia"/>
          <w:lang w:val="en-US" w:eastAsia="zh-CN"/>
        </w:rPr>
        <w:t xml:space="preserve"> 相似度曲线与分数波动衰减图，直观展示系统的数学收敛行为。</w:t>
      </w:r>
    </w:p>
    <w:p w14:paraId="63800D01">
      <w:pPr>
        <w:rPr>
          <w:rFonts w:hint="default"/>
          <w:lang w:val="en-US" w:eastAsia="zh-CN"/>
        </w:rPr>
      </w:pPr>
    </w:p>
    <w:p w14:paraId="66328F64">
      <w:pPr>
        <w:rPr>
          <w:rFonts w:hint="eastAsia"/>
          <w:lang w:val="en-US" w:eastAsia="zh-CN"/>
        </w:rPr>
      </w:pPr>
    </w:p>
    <w:p w14:paraId="2A3E01AA">
      <w:pPr>
        <w:pStyle w:val="3"/>
        <w:bidi w:val="0"/>
        <w:jc w:val="left"/>
        <w:rPr>
          <w:rFonts w:hint="eastAsia"/>
          <w:lang w:val="en-US" w:eastAsia="zh-CN"/>
        </w:rPr>
      </w:pPr>
      <w:r>
        <w:rPr>
          <w:rFonts w:hint="eastAsia"/>
          <w:lang w:val="en-US" w:eastAsia="zh-CN"/>
        </w:rPr>
        <w:t>6 Results</w:t>
      </w:r>
    </w:p>
    <w:p w14:paraId="1957052B">
      <w:pPr>
        <w:rPr>
          <w:rFonts w:hint="eastAsia"/>
          <w:lang w:val="en-US" w:eastAsia="zh-CN"/>
        </w:rPr>
      </w:pPr>
    </w:p>
    <w:p w14:paraId="2E0BC2C8">
      <w:pPr>
        <w:pStyle w:val="3"/>
        <w:bidi w:val="0"/>
        <w:jc w:val="left"/>
        <w:rPr>
          <w:rFonts w:hint="eastAsia"/>
          <w:lang w:val="en-US" w:eastAsia="zh-CN"/>
        </w:rPr>
      </w:pPr>
      <w:r>
        <w:rPr>
          <w:rFonts w:hint="eastAsia"/>
          <w:lang w:val="en-US" w:eastAsia="zh-CN"/>
        </w:rPr>
        <w:t>7 Validity Threats/Discussion</w:t>
      </w:r>
    </w:p>
    <w:p w14:paraId="31B1C868">
      <w:pPr>
        <w:rPr>
          <w:rFonts w:hint="eastAsia"/>
          <w:lang w:val="en-US" w:eastAsia="zh-CN"/>
        </w:rPr>
      </w:pPr>
    </w:p>
    <w:p w14:paraId="47C45AB9">
      <w:pPr>
        <w:pStyle w:val="3"/>
        <w:bidi w:val="0"/>
        <w:rPr>
          <w:rFonts w:hint="eastAsia"/>
          <w:lang w:val="en-US" w:eastAsia="zh-CN"/>
        </w:rPr>
      </w:pPr>
      <w:r>
        <w:rPr>
          <w:rFonts w:hint="eastAsia"/>
          <w:lang w:val="en-US" w:eastAsia="zh-CN"/>
        </w:rPr>
        <w:t>8 Conclusion</w:t>
      </w:r>
    </w:p>
    <w:p w14:paraId="4D86A55A">
      <w:pPr>
        <w:rPr>
          <w:rFonts w:hint="eastAsia"/>
          <w:lang w:val="en-US" w:eastAsia="zh-CN"/>
        </w:rPr>
      </w:pPr>
    </w:p>
    <w:p w14:paraId="39815AAC">
      <w:pPr>
        <w:pStyle w:val="3"/>
        <w:bidi w:val="0"/>
        <w:jc w:val="left"/>
        <w:rPr>
          <w:rFonts w:hint="eastAsia"/>
          <w:lang w:val="en-US" w:eastAsia="zh-CN"/>
        </w:rPr>
      </w:pPr>
      <w:r>
        <w:rPr>
          <w:rFonts w:hint="eastAsia"/>
          <w:lang w:val="en-US" w:eastAsia="zh-CN"/>
        </w:rPr>
        <w:t>9 Data Availability</w:t>
      </w:r>
    </w:p>
    <w:p w14:paraId="55836206">
      <w:pPr>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225B78"/>
    <w:multiLevelType w:val="singleLevel"/>
    <w:tmpl w:val="F7225B78"/>
    <w:lvl w:ilvl="0" w:tentative="0">
      <w:start w:val="1"/>
      <w:numFmt w:val="decimal"/>
      <w:lvlText w:val="%1."/>
      <w:lvlJc w:val="left"/>
      <w:pPr>
        <w:tabs>
          <w:tab w:val="left" w:pos="312"/>
        </w:tabs>
      </w:pPr>
    </w:lvl>
  </w:abstractNum>
  <w:abstractNum w:abstractNumId="1">
    <w:nsid w:val="FA585A85"/>
    <w:multiLevelType w:val="singleLevel"/>
    <w:tmpl w:val="FA585A85"/>
    <w:lvl w:ilvl="0" w:tentative="0">
      <w:start w:val="1"/>
      <w:numFmt w:val="decimal"/>
      <w:lvlText w:val="%1."/>
      <w:lvlJc w:val="left"/>
      <w:pPr>
        <w:tabs>
          <w:tab w:val="left" w:pos="312"/>
        </w:tabs>
      </w:pPr>
    </w:lvl>
  </w:abstractNum>
  <w:abstractNum w:abstractNumId="2">
    <w:nsid w:val="FE5BDEF1"/>
    <w:multiLevelType w:val="singleLevel"/>
    <w:tmpl w:val="FE5BDEF1"/>
    <w:lvl w:ilvl="0" w:tentative="0">
      <w:start w:val="1"/>
      <w:numFmt w:val="decimal"/>
      <w:lvlText w:val="(%1)"/>
      <w:lvlJc w:val="left"/>
      <w:pPr>
        <w:ind w:left="425" w:hanging="425"/>
      </w:pPr>
      <w:rPr>
        <w:rFonts w:hint="default"/>
      </w:rPr>
    </w:lvl>
  </w:abstractNum>
  <w:abstractNum w:abstractNumId="3">
    <w:nsid w:val="11E6C18F"/>
    <w:multiLevelType w:val="singleLevel"/>
    <w:tmpl w:val="11E6C18F"/>
    <w:lvl w:ilvl="0" w:tentative="0">
      <w:start w:val="1"/>
      <w:numFmt w:val="decimal"/>
      <w:lvlText w:val="%1."/>
      <w:lvlJc w:val="left"/>
      <w:pPr>
        <w:tabs>
          <w:tab w:val="left" w:pos="312"/>
        </w:tabs>
      </w:pPr>
    </w:lvl>
  </w:abstractNum>
  <w:abstractNum w:abstractNumId="4">
    <w:nsid w:val="1814FEC5"/>
    <w:multiLevelType w:val="singleLevel"/>
    <w:tmpl w:val="1814FEC5"/>
    <w:lvl w:ilvl="0" w:tentative="0">
      <w:start w:val="1"/>
      <w:numFmt w:val="decimal"/>
      <w:lvlText w:val="%1."/>
      <w:lvlJc w:val="left"/>
      <w:pPr>
        <w:tabs>
          <w:tab w:val="left" w:pos="312"/>
        </w:tabs>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010BF"/>
    <w:rsid w:val="00D84CE7"/>
    <w:rsid w:val="00F8404A"/>
    <w:rsid w:val="01172333"/>
    <w:rsid w:val="015E034F"/>
    <w:rsid w:val="01DC0C1D"/>
    <w:rsid w:val="01DD2E1B"/>
    <w:rsid w:val="01EB1311"/>
    <w:rsid w:val="0246284B"/>
    <w:rsid w:val="02E91610"/>
    <w:rsid w:val="02EC1E60"/>
    <w:rsid w:val="02F6136A"/>
    <w:rsid w:val="031C5D26"/>
    <w:rsid w:val="03262F6E"/>
    <w:rsid w:val="035F6E36"/>
    <w:rsid w:val="03CA5029"/>
    <w:rsid w:val="03F842E2"/>
    <w:rsid w:val="040D667E"/>
    <w:rsid w:val="043C6C95"/>
    <w:rsid w:val="04592205"/>
    <w:rsid w:val="0480239D"/>
    <w:rsid w:val="04861232"/>
    <w:rsid w:val="04DB3E3D"/>
    <w:rsid w:val="04F52FC7"/>
    <w:rsid w:val="052B1309"/>
    <w:rsid w:val="056E5276"/>
    <w:rsid w:val="062C692E"/>
    <w:rsid w:val="065F2600"/>
    <w:rsid w:val="065F5E83"/>
    <w:rsid w:val="06760773"/>
    <w:rsid w:val="06987760"/>
    <w:rsid w:val="06AD0181"/>
    <w:rsid w:val="07235BC1"/>
    <w:rsid w:val="07DC2DF1"/>
    <w:rsid w:val="08686258"/>
    <w:rsid w:val="086E0F0F"/>
    <w:rsid w:val="08B62E0B"/>
    <w:rsid w:val="091740FD"/>
    <w:rsid w:val="09691762"/>
    <w:rsid w:val="09766415"/>
    <w:rsid w:val="09C07B0E"/>
    <w:rsid w:val="09DA28B7"/>
    <w:rsid w:val="09EF6FD9"/>
    <w:rsid w:val="0A5F2B10"/>
    <w:rsid w:val="0ABE63AC"/>
    <w:rsid w:val="0B024FD6"/>
    <w:rsid w:val="0B0414D1"/>
    <w:rsid w:val="0B3C46E5"/>
    <w:rsid w:val="0B591E2E"/>
    <w:rsid w:val="0B8D10DD"/>
    <w:rsid w:val="0C1939C9"/>
    <w:rsid w:val="0C38149C"/>
    <w:rsid w:val="0C5478CE"/>
    <w:rsid w:val="0C62085F"/>
    <w:rsid w:val="0C647D62"/>
    <w:rsid w:val="0C7C2D33"/>
    <w:rsid w:val="0CA61AD0"/>
    <w:rsid w:val="0E4F33D1"/>
    <w:rsid w:val="0E7F1356"/>
    <w:rsid w:val="0EE61FFF"/>
    <w:rsid w:val="10352FA6"/>
    <w:rsid w:val="108D6EB8"/>
    <w:rsid w:val="10F63064"/>
    <w:rsid w:val="117229AE"/>
    <w:rsid w:val="117F6440"/>
    <w:rsid w:val="11BA51AA"/>
    <w:rsid w:val="11FA7885"/>
    <w:rsid w:val="123C43E8"/>
    <w:rsid w:val="128355E8"/>
    <w:rsid w:val="128611F1"/>
    <w:rsid w:val="12C63899"/>
    <w:rsid w:val="13486D30"/>
    <w:rsid w:val="13573AC8"/>
    <w:rsid w:val="1363535C"/>
    <w:rsid w:val="13A51B3A"/>
    <w:rsid w:val="13AD22D8"/>
    <w:rsid w:val="14186104"/>
    <w:rsid w:val="14615CB1"/>
    <w:rsid w:val="14640782"/>
    <w:rsid w:val="14E16E52"/>
    <w:rsid w:val="151A4A2D"/>
    <w:rsid w:val="154645F8"/>
    <w:rsid w:val="157F21D3"/>
    <w:rsid w:val="15D1675A"/>
    <w:rsid w:val="15E51B78"/>
    <w:rsid w:val="1674297A"/>
    <w:rsid w:val="168F7E12"/>
    <w:rsid w:val="171170E7"/>
    <w:rsid w:val="174540BD"/>
    <w:rsid w:val="17485042"/>
    <w:rsid w:val="17BB3400"/>
    <w:rsid w:val="17C93012"/>
    <w:rsid w:val="18003AB9"/>
    <w:rsid w:val="18687698"/>
    <w:rsid w:val="1888624E"/>
    <w:rsid w:val="18974964"/>
    <w:rsid w:val="18A26578"/>
    <w:rsid w:val="19044F98"/>
    <w:rsid w:val="19306A4A"/>
    <w:rsid w:val="19453803"/>
    <w:rsid w:val="195C122A"/>
    <w:rsid w:val="197B3CDD"/>
    <w:rsid w:val="19856C4C"/>
    <w:rsid w:val="199539CA"/>
    <w:rsid w:val="19EA6B3E"/>
    <w:rsid w:val="1A27425A"/>
    <w:rsid w:val="1A5756B2"/>
    <w:rsid w:val="1A807D07"/>
    <w:rsid w:val="1ADB29A0"/>
    <w:rsid w:val="1B217891"/>
    <w:rsid w:val="1B232392"/>
    <w:rsid w:val="1B415BC7"/>
    <w:rsid w:val="1B6C6203"/>
    <w:rsid w:val="1BA23AE5"/>
    <w:rsid w:val="1C177456"/>
    <w:rsid w:val="1C656C23"/>
    <w:rsid w:val="1C7958C4"/>
    <w:rsid w:val="1C993A80"/>
    <w:rsid w:val="1CF40A91"/>
    <w:rsid w:val="1D0205B4"/>
    <w:rsid w:val="1D052F29"/>
    <w:rsid w:val="1D792624"/>
    <w:rsid w:val="1DC86E27"/>
    <w:rsid w:val="1DE94821"/>
    <w:rsid w:val="1E200A3C"/>
    <w:rsid w:val="1E2C658F"/>
    <w:rsid w:val="1E392382"/>
    <w:rsid w:val="1E4516B7"/>
    <w:rsid w:val="1ED57D2E"/>
    <w:rsid w:val="1EE952A7"/>
    <w:rsid w:val="1EEE40CF"/>
    <w:rsid w:val="1F275D7B"/>
    <w:rsid w:val="1F9E7912"/>
    <w:rsid w:val="20232E47"/>
    <w:rsid w:val="204E170C"/>
    <w:rsid w:val="20BF58DF"/>
    <w:rsid w:val="20EB5CF5"/>
    <w:rsid w:val="20F65348"/>
    <w:rsid w:val="20FF5536"/>
    <w:rsid w:val="210448FA"/>
    <w:rsid w:val="213F6706"/>
    <w:rsid w:val="218E0668"/>
    <w:rsid w:val="21B005DE"/>
    <w:rsid w:val="21F901D7"/>
    <w:rsid w:val="22451BC7"/>
    <w:rsid w:val="2255003C"/>
    <w:rsid w:val="22896E39"/>
    <w:rsid w:val="231D58AD"/>
    <w:rsid w:val="23375881"/>
    <w:rsid w:val="234A05BF"/>
    <w:rsid w:val="23B74027"/>
    <w:rsid w:val="23BD012F"/>
    <w:rsid w:val="246A53BC"/>
    <w:rsid w:val="248D18E8"/>
    <w:rsid w:val="249C309C"/>
    <w:rsid w:val="249D521F"/>
    <w:rsid w:val="24C04FDC"/>
    <w:rsid w:val="24C50961"/>
    <w:rsid w:val="25095901"/>
    <w:rsid w:val="25257535"/>
    <w:rsid w:val="257A3908"/>
    <w:rsid w:val="258E2EC9"/>
    <w:rsid w:val="260B672B"/>
    <w:rsid w:val="26207C03"/>
    <w:rsid w:val="26222E1C"/>
    <w:rsid w:val="271262FA"/>
    <w:rsid w:val="273C6B81"/>
    <w:rsid w:val="27545AF9"/>
    <w:rsid w:val="276969B7"/>
    <w:rsid w:val="278E3373"/>
    <w:rsid w:val="278F0DF5"/>
    <w:rsid w:val="27E82020"/>
    <w:rsid w:val="283D15C2"/>
    <w:rsid w:val="28780D72"/>
    <w:rsid w:val="288C3296"/>
    <w:rsid w:val="288D5494"/>
    <w:rsid w:val="28D93BC8"/>
    <w:rsid w:val="29000D03"/>
    <w:rsid w:val="29246C8C"/>
    <w:rsid w:val="29377EAB"/>
    <w:rsid w:val="29671ECA"/>
    <w:rsid w:val="29A34FDC"/>
    <w:rsid w:val="29AF561F"/>
    <w:rsid w:val="2A25002F"/>
    <w:rsid w:val="2A7B7321"/>
    <w:rsid w:val="2C752B50"/>
    <w:rsid w:val="2C8E6BD9"/>
    <w:rsid w:val="2CFD14DB"/>
    <w:rsid w:val="2D1E0811"/>
    <w:rsid w:val="2D4A53CB"/>
    <w:rsid w:val="2D85445D"/>
    <w:rsid w:val="2E8010BB"/>
    <w:rsid w:val="2E9B0631"/>
    <w:rsid w:val="2EB813E6"/>
    <w:rsid w:val="2EC17EC2"/>
    <w:rsid w:val="2EC92D50"/>
    <w:rsid w:val="2F3E36CD"/>
    <w:rsid w:val="2F6A2714"/>
    <w:rsid w:val="2FA71F0D"/>
    <w:rsid w:val="2FD0227E"/>
    <w:rsid w:val="30146116"/>
    <w:rsid w:val="303803AA"/>
    <w:rsid w:val="303B192D"/>
    <w:rsid w:val="30677CC3"/>
    <w:rsid w:val="309767C4"/>
    <w:rsid w:val="30987AC8"/>
    <w:rsid w:val="30AD0B0B"/>
    <w:rsid w:val="31347947"/>
    <w:rsid w:val="316F42A9"/>
    <w:rsid w:val="31FE1DB2"/>
    <w:rsid w:val="322F3A97"/>
    <w:rsid w:val="32B81C30"/>
    <w:rsid w:val="32F32879"/>
    <w:rsid w:val="330133BA"/>
    <w:rsid w:val="33596D28"/>
    <w:rsid w:val="33B2026B"/>
    <w:rsid w:val="34357F34"/>
    <w:rsid w:val="349C315B"/>
    <w:rsid w:val="34E96C65"/>
    <w:rsid w:val="34F812F7"/>
    <w:rsid w:val="35052B8B"/>
    <w:rsid w:val="350B72CF"/>
    <w:rsid w:val="35984592"/>
    <w:rsid w:val="35D03558"/>
    <w:rsid w:val="362D006F"/>
    <w:rsid w:val="3648449C"/>
    <w:rsid w:val="36653A4C"/>
    <w:rsid w:val="379E0C35"/>
    <w:rsid w:val="37AD7642"/>
    <w:rsid w:val="37B25189"/>
    <w:rsid w:val="37B52474"/>
    <w:rsid w:val="37C77407"/>
    <w:rsid w:val="37FA5167"/>
    <w:rsid w:val="38103EEC"/>
    <w:rsid w:val="38286CC9"/>
    <w:rsid w:val="384C6E5B"/>
    <w:rsid w:val="38706043"/>
    <w:rsid w:val="38775EE4"/>
    <w:rsid w:val="389D4970"/>
    <w:rsid w:val="393A5AF3"/>
    <w:rsid w:val="395D2841"/>
    <w:rsid w:val="397D519A"/>
    <w:rsid w:val="39BB563A"/>
    <w:rsid w:val="39CE38A0"/>
    <w:rsid w:val="39DA4378"/>
    <w:rsid w:val="3B20468F"/>
    <w:rsid w:val="3B29751D"/>
    <w:rsid w:val="3B3456A4"/>
    <w:rsid w:val="3B43394A"/>
    <w:rsid w:val="3B8A37F6"/>
    <w:rsid w:val="3B9F1E11"/>
    <w:rsid w:val="3C0D3477"/>
    <w:rsid w:val="3C4E2795"/>
    <w:rsid w:val="3C99704D"/>
    <w:rsid w:val="3D320550"/>
    <w:rsid w:val="3D793569"/>
    <w:rsid w:val="3DA47C31"/>
    <w:rsid w:val="3DF71C39"/>
    <w:rsid w:val="3E9B6EC4"/>
    <w:rsid w:val="3EA55255"/>
    <w:rsid w:val="3EE5023D"/>
    <w:rsid w:val="3F0874F8"/>
    <w:rsid w:val="3F16680E"/>
    <w:rsid w:val="3F2759C2"/>
    <w:rsid w:val="3F2D1069"/>
    <w:rsid w:val="3F314E39"/>
    <w:rsid w:val="40202543"/>
    <w:rsid w:val="402453DF"/>
    <w:rsid w:val="40430CA5"/>
    <w:rsid w:val="40431E02"/>
    <w:rsid w:val="405F7AAA"/>
    <w:rsid w:val="40BE58C5"/>
    <w:rsid w:val="413B0711"/>
    <w:rsid w:val="41B45FA6"/>
    <w:rsid w:val="41F60E45"/>
    <w:rsid w:val="41F91DC9"/>
    <w:rsid w:val="42243F12"/>
    <w:rsid w:val="423009B4"/>
    <w:rsid w:val="42DC527F"/>
    <w:rsid w:val="42FC28F1"/>
    <w:rsid w:val="432033BE"/>
    <w:rsid w:val="43452E25"/>
    <w:rsid w:val="43592C8A"/>
    <w:rsid w:val="43EA5DFC"/>
    <w:rsid w:val="440F27B9"/>
    <w:rsid w:val="44580A9E"/>
    <w:rsid w:val="445F1AA3"/>
    <w:rsid w:val="44775660"/>
    <w:rsid w:val="4492750F"/>
    <w:rsid w:val="44BD3BD6"/>
    <w:rsid w:val="454959B9"/>
    <w:rsid w:val="45610E61"/>
    <w:rsid w:val="457F0202"/>
    <w:rsid w:val="45972207"/>
    <w:rsid w:val="4603066A"/>
    <w:rsid w:val="460A141B"/>
    <w:rsid w:val="46182B8E"/>
    <w:rsid w:val="46550E12"/>
    <w:rsid w:val="469B78E4"/>
    <w:rsid w:val="46BC589A"/>
    <w:rsid w:val="46F15E80"/>
    <w:rsid w:val="47A73950"/>
    <w:rsid w:val="47C3064B"/>
    <w:rsid w:val="47C96CD1"/>
    <w:rsid w:val="47F5469D"/>
    <w:rsid w:val="47FC5A7C"/>
    <w:rsid w:val="4842699B"/>
    <w:rsid w:val="484D05AF"/>
    <w:rsid w:val="485B78AC"/>
    <w:rsid w:val="48B02852"/>
    <w:rsid w:val="48B56CDA"/>
    <w:rsid w:val="48C45C6F"/>
    <w:rsid w:val="48E6542C"/>
    <w:rsid w:val="48EA2167"/>
    <w:rsid w:val="495C67D2"/>
    <w:rsid w:val="49933140"/>
    <w:rsid w:val="49995C78"/>
    <w:rsid w:val="49AA56FB"/>
    <w:rsid w:val="49BE0964"/>
    <w:rsid w:val="49D74833"/>
    <w:rsid w:val="49E80350"/>
    <w:rsid w:val="4A966FEB"/>
    <w:rsid w:val="4B1E03CD"/>
    <w:rsid w:val="4C094875"/>
    <w:rsid w:val="4C2F5C8C"/>
    <w:rsid w:val="4C527DBA"/>
    <w:rsid w:val="4CB613E8"/>
    <w:rsid w:val="4D4B0133"/>
    <w:rsid w:val="4D5F057C"/>
    <w:rsid w:val="4D784B41"/>
    <w:rsid w:val="4D873CBF"/>
    <w:rsid w:val="4E5B2D9E"/>
    <w:rsid w:val="4ECF4BE5"/>
    <w:rsid w:val="50737B8A"/>
    <w:rsid w:val="50C36206"/>
    <w:rsid w:val="515C5909"/>
    <w:rsid w:val="518A09D7"/>
    <w:rsid w:val="51DD06CC"/>
    <w:rsid w:val="520D572D"/>
    <w:rsid w:val="52316BE6"/>
    <w:rsid w:val="52414744"/>
    <w:rsid w:val="52D0326C"/>
    <w:rsid w:val="52E07C83"/>
    <w:rsid w:val="52E65410"/>
    <w:rsid w:val="53026B31"/>
    <w:rsid w:val="53426D55"/>
    <w:rsid w:val="5406623B"/>
    <w:rsid w:val="541C1D46"/>
    <w:rsid w:val="5445084F"/>
    <w:rsid w:val="54591A6E"/>
    <w:rsid w:val="54851639"/>
    <w:rsid w:val="54D13CB7"/>
    <w:rsid w:val="553920BD"/>
    <w:rsid w:val="55DB4C42"/>
    <w:rsid w:val="560C4938"/>
    <w:rsid w:val="56646DA2"/>
    <w:rsid w:val="576C35FB"/>
    <w:rsid w:val="57BE65C9"/>
    <w:rsid w:val="57F26D57"/>
    <w:rsid w:val="57F83374"/>
    <w:rsid w:val="580C5702"/>
    <w:rsid w:val="581B7F1B"/>
    <w:rsid w:val="585A4809"/>
    <w:rsid w:val="5905591A"/>
    <w:rsid w:val="5908457E"/>
    <w:rsid w:val="59725B9E"/>
    <w:rsid w:val="59AF7A58"/>
    <w:rsid w:val="59C733B1"/>
    <w:rsid w:val="59EA66D8"/>
    <w:rsid w:val="5A1A1BDF"/>
    <w:rsid w:val="5A494A8F"/>
    <w:rsid w:val="5A4F4638"/>
    <w:rsid w:val="5A671778"/>
    <w:rsid w:val="5A7B2EFD"/>
    <w:rsid w:val="5AB87F28"/>
    <w:rsid w:val="5ACB03C0"/>
    <w:rsid w:val="5AE16125"/>
    <w:rsid w:val="5AF745AD"/>
    <w:rsid w:val="5B0D5CEF"/>
    <w:rsid w:val="5BAA6E73"/>
    <w:rsid w:val="5C08720C"/>
    <w:rsid w:val="5C183C23"/>
    <w:rsid w:val="5C8357FD"/>
    <w:rsid w:val="5C9014E4"/>
    <w:rsid w:val="5C990CF9"/>
    <w:rsid w:val="5D025764"/>
    <w:rsid w:val="5D751961"/>
    <w:rsid w:val="5E3735CA"/>
    <w:rsid w:val="5E654AED"/>
    <w:rsid w:val="5E747306"/>
    <w:rsid w:val="5E774EE7"/>
    <w:rsid w:val="5E96232F"/>
    <w:rsid w:val="5F3950E4"/>
    <w:rsid w:val="5FD736CA"/>
    <w:rsid w:val="5FEE6B72"/>
    <w:rsid w:val="602E0D9C"/>
    <w:rsid w:val="60996106"/>
    <w:rsid w:val="60AE592B"/>
    <w:rsid w:val="60B738FB"/>
    <w:rsid w:val="60B7403D"/>
    <w:rsid w:val="60C10D67"/>
    <w:rsid w:val="60F4305C"/>
    <w:rsid w:val="6106763F"/>
    <w:rsid w:val="61310483"/>
    <w:rsid w:val="615D47CA"/>
    <w:rsid w:val="61903D20"/>
    <w:rsid w:val="61E241E7"/>
    <w:rsid w:val="61F515AC"/>
    <w:rsid w:val="62306F99"/>
    <w:rsid w:val="62A639B7"/>
    <w:rsid w:val="62DF3941"/>
    <w:rsid w:val="6303037E"/>
    <w:rsid w:val="63195DA5"/>
    <w:rsid w:val="63426300"/>
    <w:rsid w:val="63616199"/>
    <w:rsid w:val="637D5ACA"/>
    <w:rsid w:val="64530FA5"/>
    <w:rsid w:val="64B16DC0"/>
    <w:rsid w:val="65364EE1"/>
    <w:rsid w:val="65414DC6"/>
    <w:rsid w:val="658A3D2B"/>
    <w:rsid w:val="65BF03BD"/>
    <w:rsid w:val="65F903DC"/>
    <w:rsid w:val="65FA5E5E"/>
    <w:rsid w:val="667B76B0"/>
    <w:rsid w:val="671F0285"/>
    <w:rsid w:val="67292245"/>
    <w:rsid w:val="674A3201"/>
    <w:rsid w:val="67973300"/>
    <w:rsid w:val="68403B19"/>
    <w:rsid w:val="68CC52CB"/>
    <w:rsid w:val="68CF43EA"/>
    <w:rsid w:val="69663B30"/>
    <w:rsid w:val="69AD626E"/>
    <w:rsid w:val="6A1C7B71"/>
    <w:rsid w:val="6A262462"/>
    <w:rsid w:val="6A553058"/>
    <w:rsid w:val="6AFE7315"/>
    <w:rsid w:val="6B0013F8"/>
    <w:rsid w:val="6B403D4E"/>
    <w:rsid w:val="6B87782F"/>
    <w:rsid w:val="6BCA0B67"/>
    <w:rsid w:val="6C434FAE"/>
    <w:rsid w:val="6C4D415B"/>
    <w:rsid w:val="6C662BE4"/>
    <w:rsid w:val="6C8B53A2"/>
    <w:rsid w:val="6CA7144F"/>
    <w:rsid w:val="6CA94952"/>
    <w:rsid w:val="6CBC4DA0"/>
    <w:rsid w:val="6CD216E6"/>
    <w:rsid w:val="6D0604CB"/>
    <w:rsid w:val="6D2C39E0"/>
    <w:rsid w:val="6D581273"/>
    <w:rsid w:val="6DF3366F"/>
    <w:rsid w:val="6E79134A"/>
    <w:rsid w:val="6F5573BB"/>
    <w:rsid w:val="6F763C50"/>
    <w:rsid w:val="6FD92024"/>
    <w:rsid w:val="6FF22E5C"/>
    <w:rsid w:val="701D527E"/>
    <w:rsid w:val="70466442"/>
    <w:rsid w:val="708725E8"/>
    <w:rsid w:val="70EA114F"/>
    <w:rsid w:val="70F10AD9"/>
    <w:rsid w:val="712048C0"/>
    <w:rsid w:val="71920729"/>
    <w:rsid w:val="72575AC4"/>
    <w:rsid w:val="730E33D2"/>
    <w:rsid w:val="73336474"/>
    <w:rsid w:val="735402C3"/>
    <w:rsid w:val="739410AD"/>
    <w:rsid w:val="73983D1A"/>
    <w:rsid w:val="73A91275"/>
    <w:rsid w:val="73C43DFB"/>
    <w:rsid w:val="73C572FE"/>
    <w:rsid w:val="749A1F5A"/>
    <w:rsid w:val="75093403"/>
    <w:rsid w:val="75180EA9"/>
    <w:rsid w:val="75435570"/>
    <w:rsid w:val="756A5430"/>
    <w:rsid w:val="75C46DC3"/>
    <w:rsid w:val="768A3309"/>
    <w:rsid w:val="76BE285E"/>
    <w:rsid w:val="76DC7890"/>
    <w:rsid w:val="76E9087B"/>
    <w:rsid w:val="771B2BF8"/>
    <w:rsid w:val="77A727DC"/>
    <w:rsid w:val="77F20AE8"/>
    <w:rsid w:val="7813395E"/>
    <w:rsid w:val="78864B48"/>
    <w:rsid w:val="78930456"/>
    <w:rsid w:val="78C673B0"/>
    <w:rsid w:val="790E0E19"/>
    <w:rsid w:val="79572523"/>
    <w:rsid w:val="799D5EC5"/>
    <w:rsid w:val="79AA6D13"/>
    <w:rsid w:val="7AC34C78"/>
    <w:rsid w:val="7AD87261"/>
    <w:rsid w:val="7B322D2D"/>
    <w:rsid w:val="7BE350CF"/>
    <w:rsid w:val="7C01687E"/>
    <w:rsid w:val="7C025299"/>
    <w:rsid w:val="7C0D5F13"/>
    <w:rsid w:val="7C2D09C7"/>
    <w:rsid w:val="7C6F2735"/>
    <w:rsid w:val="7CAA3813"/>
    <w:rsid w:val="7CB57626"/>
    <w:rsid w:val="7CED7C40"/>
    <w:rsid w:val="7CF27F4D"/>
    <w:rsid w:val="7DB12040"/>
    <w:rsid w:val="7DB46757"/>
    <w:rsid w:val="7DBA7990"/>
    <w:rsid w:val="7DD65B6B"/>
    <w:rsid w:val="7E4313B6"/>
    <w:rsid w:val="7F8B38CC"/>
    <w:rsid w:val="7F9554E0"/>
    <w:rsid w:val="7F9A24D6"/>
    <w:rsid w:val="7FEC7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9"/>
    <w:unhideWhenUsed/>
    <w:qFormat/>
    <w:uiPriority w:val="0"/>
    <w:pPr>
      <w:keepNext/>
      <w:keepLines/>
      <w:spacing w:before="260" w:beforeLines="0" w:after="260" w:afterLines="0" w:line="240" w:lineRule="auto"/>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after="260" w:afterLines="0" w:line="413" w:lineRule="auto"/>
      <w:outlineLvl w:val="2"/>
    </w:pPr>
    <w:rPr>
      <w:rFonts w:eastAsia="宋体" w:asciiTheme="minorAscii" w:hAnsiTheme="minorAscii"/>
      <w:b/>
      <w:sz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宋体"/>
      <w:b/>
      <w:sz w:val="21"/>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1 Char"/>
    <w:link w:val="2"/>
    <w:qFormat/>
    <w:uiPriority w:val="0"/>
    <w:rPr>
      <w:b/>
      <w:kern w:val="44"/>
      <w:sz w:val="44"/>
    </w:rPr>
  </w:style>
  <w:style w:type="character" w:customStyle="1" w:styleId="9">
    <w:name w:val="标题 2 Char"/>
    <w:link w:val="3"/>
    <w:qFormat/>
    <w:uiPriority w:val="0"/>
    <w:rPr>
      <w:rFonts w:ascii="Arial" w:hAnsi="Arial" w:eastAsia="黑体" w:cstheme="minorBidi"/>
      <w:b/>
      <w:kern w:val="2"/>
      <w:sz w:val="28"/>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2465</Words>
  <Characters>3133</Characters>
  <Lines>0</Lines>
  <Paragraphs>0</Paragraphs>
  <TotalTime>0</TotalTime>
  <ScaleCrop>false</ScaleCrop>
  <LinksUpToDate>false</LinksUpToDate>
  <CharactersWithSpaces>3231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2026-03-03T11:39:00Z</dcterms:created>
  <dc:creator>lenovo</dc:creator>
  <cp:lastModifiedBy>ghoulllzZ.</cp:lastModifiedBy>
  <dcterms:modified xsi:type="dcterms:W3CDTF">2026-03-25T03:17:43Z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eyJoZGlkIjoiMTA5ODQ4NzlmMzQyMWQzNWUyZjQwNWUyZGE5MWRhZTIiLCJ1c2VySWQiOiI4MzYxNjMwMzUifQ==</vt:lpwstr>
  </property>
  <property fmtid="{D5CDD505-2E9C-101B-9397-08002B2CF9AE}" pid="4" name="ICV">
    <vt:lpwstr>7FD4E22D0DB94705A95078D71FC1EFFB_12</vt:lpwstr>
  </property>
</Properties>
</file>