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</w:rPr>
        <w:t xml:space="preserve">Mars Rover Mission Control — Requirements</w:t>
      </w:r>
    </w:p>
    <w:p>
      <w:pPr>
        <w:spacing w:after="300"/>
        <w:jc w:val="center"/>
      </w:pPr>
      <w:r>
        <w:rPr>
          <w:i/>
          <w:iCs/>
        </w:rPr>
        <w:t xml:space="preserve">v4 — Final, after CR-01 + CR-02 + CR-03 (Security Upgrade)</w:t>
      </w:r>
    </w:p>
    <w:p>
      <w:pPr>
        <w:pStyle w:val="Heading1"/>
        <w:spacing w:after="150" w:before="300"/>
      </w:pPr>
      <w:r>
        <w:rPr>
          <w:b/>
          <w:bCs/>
        </w:rPr>
        <w:t xml:space="preserve">Functional Requirements (FRs)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Execute valid commands from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Report position, battery, temperature, and comm status.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Reject invalid or unauthorized commands.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Enter Safe Mode within 3 seconds if battery temperature exceeds critical threshold or capacity falls below emergency level.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Send command execution status to Mission Control.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FR-06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Log all commands and critical events with timestamp and operator ID.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Non-Functional Requirements (NFRs)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5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Keep operating through temporary comm interruptions. (Reliability)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Require authenticated AND role-authorized operators before accepting commands. (Security)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Process commands within 5 seconds. (Performance)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Support at least 20 simultaneously connected rovers. (Scalability)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2026-09-16T08:31:06.907Z</dcterms:created>
  <dcterms:modified xsi:type="dcterms:W3CDTF">2026-09-16T08:31:06.907Z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