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v13 (Pass 118: §109.9 Contextual Value Models; Pass 117 §1.5 The Fact Unit Language [claim 342]; §1.4 Record-Fused Encoding) · 293 registry features · 354 claims · Appendix A carries 293 features · Confidential</w:t>
      </w:r>
      <w:r>
        <w:rPr>
          <w:i/>
          <w:iCs/>
          <w:color w:val="5F5952"/>
          <w:sz w:val="20"/>
          <w:szCs w:val="20"/>
          <w:highlight w:val="yellow"/>
        </w:rPr>
        <w:t xml:space="preserve"> · v14 addendum, October 8, 2026: Sections 50–55 and implementation updates (prototype v9.64)</w:t>
      </w:r>
      <w:r>
        <w:rPr>
          <w:i/>
          <w:sz w:val="20"/>
          <w:highlight w:val="green"/>
        </w:rPr>
        <w:t xml:space="preserve"> · v15 addendum, October 22, 2026: Section 56 The Self-Knowledge Layer · Registry v70: 391 features · 362 claims</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2"/>
        <w:spacing w:after="140" w:before="300"/>
      </w:pPr>
      <w:r>
        <w:rPr>
          <w:b/>
          <w:bCs/>
          <w:color w:val="1A1714"/>
          <w:sz w:val="24"/>
          <w:szCs w:val="24"/>
        </w:rPr>
        <w:t xml:space="preserve">1.4  Record-Fused Encoding and Database Neutrality</w:t>
      </w:r>
    </w:p>
    <w:p>
      <w:pPr>
        <w:spacing w:after="170" w:line="300"/>
      </w:pPr>
      <w:r>
        <w:rPr>
          <w:b/>
          <w:bCs/>
          <w:color w:val="1A1714"/>
          <w:sz w:val="22"/>
          <w:szCs w:val="22"/>
        </w:rPr>
        <w:t xml:space="preserve">The canonical compact encoding of §1.3 is the Fact Unit's own at-rest and wire form, fused to the record rather than to any store, and this fusion is what lets the system operate over any database while carrying its guarantees across the storage boundary. A record is carried as itself — required fields at fixed offsets, optional fields tagged, FUID and semantic fingerprint identical to the full form — so the encoded record is self-describing without an external schema. A host database, content repository, or e-reader platform holds the encoded record as an opaque value — a blob in a column, a file, an object, or a key's payload — and is never required to parse it, index its interior, or understand its fields; its only obligations are to accept bytes and return them unchanged. This is the invariant that preserves database neutrality: because the store is asked only to hold and return bytes, any database qualifies, and no proprietary format, schema migration, or query-engine capability is imposed on it, while the record's own FUID and fingerprint are exposed as plain opaque keys where an index is wanted, so retrieval by identity needs no reading of the record's meaning. Queries over Fact Units are expressed internally in terms of the record — its identifiers, fingerprint, typed adjacency, confidence, and applicability scope — and resolved against the Fact Graph by the system's own retrieval; where raw material must be drawn from an external store, an adapter translates the request into that store's native language (a relational query, an object lookup, a key fetch), and the external store never receives the internal fact-query form. An external store is thereby a source and a repository, never the reasoning engine, which is the position that keeps it replaceable and the determinism and groundedness guarantees independent of it. Because the store holds the record as an opaque blob, the properties the record carries travel with it: the integrity hash chain makes any alteration detectable on read, the in-record safety classification and access-control list keep entitlement a property of the record rather than a filter the store is trusted to apply, and under the zero-knowledge and key-custody provisions an encoded record written to an external store is unreadable by that store. Database neutrality is therefore not merely preserved but strengthened — any store will hold the record, and no store can read, reorder, or leak its meaning. The design invariant is stated plainly: the encoding and the query interface are fused to the Fact Unit and never to a host system's storage or query interface, so no host store is ever required to understand the record's format or speak its query language in order to store or return it. Specified at §3.9.</w:t>
      </w:r>
    </w:p>
    <w:p>
      <w:pPr>
        <w:pStyle w:val="Heading2"/>
        <w:spacing w:after="140" w:before="300"/>
      </w:pPr>
      <w:r>
        <w:rPr>
          <w:b/>
          <w:bCs/>
          <w:color w:val="1A1714"/>
          <w:sz w:val="24"/>
          <w:szCs w:val="24"/>
        </w:rPr>
        <w:t xml:space="preserve">1.5  The Fact Unit Language</w:t>
      </w:r>
    </w:p>
    <w:p>
      <w:pPr>
        <w:spacing w:after="170" w:line="300"/>
      </w:pPr>
      <w:r>
        <w:rPr>
          <w:b/>
          <w:bCs/>
          <w:color w:val="1A1714"/>
          <w:sz w:val="22"/>
          <w:szCs w:val="22"/>
        </w:rPr>
        <w:t xml:space="preserve">Fact Units are written in the Fact Unit Language: a formal, language-independent assertion notation in which every record is written and every mechanism reads. The notation is not a new field or a store — it names, and specifies as a language, what the record already is. Its vocabulary is the governed predicate catalogue; its grammar is the record schema of §1.1; and its identity function is the language-independent semantic fingerprint, under which two statements asserting the same proposition in any two natural languages are the same statement. A statement comprises the canonical subject, predicate, and object identifiers drawn from the governed catalogues, a typed object value carrying its unit and dimension where the object is a scalar, the temporal anchor, and the record's evidence, provenance, safety, and entitlement fields; a candidate that does not conform is refused at admission rather than admitted incomplete.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and it is why retrieval, contradiction detection, and regeneration each operate upon the assertion language rather than upon any natural-language text. Because the claim recites the record as a language rather than as a field list, a competitor offering the same benefits by a differently-fielded record still operates upon the same assertion language — which is why this is the element-light claim hardest to design around. Specified at §3.10 and recited as provisional claim 342.</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The ledger described above is now exercised end to end in the prototype at two levels of assurance. Locally, every ingested artefact, sealed submission and certification event is appended to a hash-chained provenance ledger in which each seal's identifier commits to its predecessor, so that any alteration of history is detectable on recomputation. Externally, a seal may be certified on a public blockchain as described in Section 51, so that its existence and content hash can be verified by a party who does not trust the producing machine. A separate tamper-evident security record, described in Section 53, applies the same construction to security decisions. As stated above, verification establishes that a record is as written; it establishes nothing about the truth of what the record asserts.</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The Open Claw pathway for arbitrary artefacts is now implemented and is described in Section 50. It realises the defined fallback of this section for content that does not cleanly resolve to a single modality: an artefact of any format is identified from its content, divided into addressable segments, and converted into Fact Units of the common schema, or, where no segment resolves, described rather than interpreted. Every artefact so ingested is treated as data and never as instruction.</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Role-based access is extended to automated callers. Every agent call — whether from a QueryBook agent, an external AI agent connected through the Model Context Protocol, or an HTTP client — now passes through a single Agent Gateway that authenticates the caller by a derived secret token, applies the caller's role and the agent's registered command allow-list, and refuses replayed requests. The gateway is the first of six protection layers described in Section 52. An allow-list changes only when an operator edits the deployment's policy and restarts the system; no interface can enlarge it.</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 </w:t>
      </w:r>
      <w:r>
        <w:rPr>
          <w:b/>
          <w:bCs/>
          <w:color w:val="1A1714"/>
          <w:sz w:val="22"/>
          <w:szCs w:val="22"/>
        </w:rPr>
        <w:t xml:space="preserve">The cultural norms, social values, and ergonomic preferences these modulations apply are stored as Contextual Value Models — registered, versioned, declared-never-inferred configuration records that the interpretive layer alone reads — and are held apart from Fact Units and from World-View Model concepts: a fact about a culture is a Fact Unit, a model of how customs relate is a World-View Model concept, and a Contextual Value Model is neither, being only the declared preference under which a grounded answer is voiced, so that a reader's or an operator's values never become, by storage alone, an assertion the system treats as true; context proper is carried separately by the context lock's dimensions. Specified at §109.9.</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Content admitted from outside the system is now screened for instruction-like text before conversion. A segment that reads as an instruction to an AI system — an attempt to override prior instructions, to reveal secrets, to assume a privileged role, or text concealed by invisible or tag characters — is admitted only as data, flagged as untrusted, and assigned a confidence below the answer threshold, so that it can neither be followed by an agent nor cited as an answer. The screening is that of Section 52.</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spacing w:after="170" w:line="300"/>
      </w:pPr>
      <w:r>
        <w:rPr>
          <w:b/>
          <w:bCs/>
          <w:color w:val="1A1714"/>
          <w:sz w:val="22"/>
          <w:szCs w:val="22"/>
          <w:highlight w:val="yellow"/>
        </w:rPr>
        <w:t xml:space="preserve">Implementation update (laboratory prototype). </w:t>
      </w:r>
      <w:r>
        <w:rPr>
          <w:b w:val="false"/>
          <w:bCs w:val="false"/>
          <w:color w:val="1A1714"/>
          <w:sz w:val="22"/>
          <w:szCs w:val="22"/>
          <w:highlight w:val="yellow"/>
        </w:rPr>
        <w:t xml:space="preserve">Two parts of this section have been reduced to practice in a separate laboratory prototype, the UFCS-FQL Hybrid Video Compression Lab, without altering the rule stated above. Colourisation is implemented for still images and video as specified: each region's colour is resolved by query from admitted records — a material palette, scene, period and lighting priors, and any record supplied with the asset — and its confidence is bounded by the lesser of the material classification and the record's trust. Below a confidence of 0.35 the region is left uncoloured; a person's skin tone, for which a monochrome source carries no evidence, is left uncoloured unless a record supplies it. Luminance is preserved from the source, every output is marked as reconstructed, identical inputs yield byte-identical outputs, and each output is checked for consistency with its source by comparing luminance at the source resolution. Output may be delivered at 1K, 4K and 16K widths; enlargement resamples observed luminance and introduces no detail, consistent with Section 44.2.</w:t>
      </w:r>
    </w:p>
    <w:p>
      <w:pPr>
        <w:spacing w:after="170" w:line="300"/>
      </w:pPr>
      <w:r>
        <w:rPr>
          <w:b w:val="false"/>
          <w:bCs w:val="false"/>
          <w:color w:val="1A1714"/>
          <w:sz w:val="22"/>
          <w:szCs w:val="22"/>
          <w:highlight w:val="yellow"/>
        </w:rPr>
        <w:t xml:space="preserve">Compression is exercised through the hybrid transport of Section 55, which carries assets compressed by standard codecs (H.264, H.265, AV1, Opus, AAC) without altering them. The trials confirmed the distinction drawn in Section 44.1: every delivered copy was bit-identical to its source, and the compression achieved remained a property of the codec elected rather than of the transport. Measured figures are reported per asset class in the laboratory's trial reports rather than stated here.</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The pattern is now enforced for AI agents connected through the Model Context Protocol, including OpenClaw. Each tool call such an agent makes is converted into an Agent Gateway request under the agent's registered identity, so the four withholdings above are applied by the same mechanism that applies them to every other connection: the agent may query, verify, and submit artefacts for ingestion from a designated inbox folder, and holds no write path into the record store except through ingestion conversion. Section 54 states the arrangement.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Defined agents and external agents now share one execution boundary: the Agent Gateway of Section 52, which admits only commands on an agent's registered allow-list and records every decision in the tamper-evident security record of Section 53. Privileged-sounding commands that no defined agent declares are reserved as traps; an agent that invokes one is presumed compromised and isolated. This preserves the principle of Section 49 that an agent holds no capability its definition did not declare.</w:t>
      </w:r>
    </w:p>
    <w:p>
      <w:pPr>
        <w:pStyle w:val="Heading1"/>
        <w:spacing w:after="140" w:before="300"/>
      </w:pPr>
      <w:r>
        <w:rPr>
          <w:b/>
          <w:bCs/>
          <w:color w:val="1A1714"/>
          <w:sz w:val="28"/>
          <w:szCs w:val="28"/>
          <w:highlight w:val="yellow"/>
        </w:rPr>
        <w:t xml:space="preserve">50.  Open Claw Ingestion — Arbitrary Artefact Ingestion</w:t>
      </w:r>
    </w:p>
    <w:p>
      <w:pPr>
        <w:spacing w:after="170" w:line="300"/>
      </w:pPr>
      <w:r>
        <w:rPr>
          <w:b w:val="false"/>
          <w:bCs w:val="false"/>
          <w:color w:val="1A1714"/>
          <w:sz w:val="22"/>
          <w:szCs w:val="22"/>
          <w:highlight w:val="yellow"/>
        </w:rPr>
        <w:t xml:space="preserve">Open Claw ingestion admits an artefact of any format and converts what it can into Fact Units of the common schema, through the two engines the specification names for it: the Artifact Segmenter and the OpenClaw Interpreter. It is implemented in the v9.64 prototype.</w:t>
      </w:r>
    </w:p>
    <w:p>
      <w:pPr>
        <w:pStyle w:val="Heading2"/>
        <w:spacing w:after="140" w:before="300"/>
      </w:pPr>
      <w:r>
        <w:rPr>
          <w:b/>
          <w:bCs/>
          <w:color w:val="1A1714"/>
          <w:sz w:val="24"/>
          <w:szCs w:val="24"/>
          <w:highlight w:val="yellow"/>
        </w:rPr>
        <w:t xml:space="preserve">50.1  Detection and segmentation</w:t>
      </w:r>
    </w:p>
    <w:p>
      <w:pPr>
        <w:spacing w:after="170" w:line="300"/>
      </w:pPr>
      <w:r>
        <w:rPr>
          <w:b w:val="false"/>
          <w:bCs w:val="false"/>
          <w:color w:val="1A1714"/>
          <w:sz w:val="22"/>
          <w:szCs w:val="22"/>
          <w:highlight w:val="yellow"/>
        </w:rPr>
        <w:t xml:space="preserve">The format is determined from the artefact's content — its leading bytes and internal structure — before its name, across more than forty formats: PDF documents; word-processing, spreadsheet and presentation files in both Office Open XML and OpenDocument forms; electronic books; web pages, including embedded structured data; JSON and JSON Lines; delimited tables; e-mail messages and their attachments; calendars and contact cards; images, audio and video; archives; databases; source code; and executables.</w:t>
      </w:r>
    </w:p>
    <w:p>
      <w:pPr>
        <w:spacing w:after="170" w:line="300"/>
      </w:pPr>
      <w:r>
        <w:rPr>
          <w:b w:val="false"/>
          <w:bCs w:val="false"/>
          <w:color w:val="1A1714"/>
          <w:sz w:val="22"/>
          <w:szCs w:val="22"/>
          <w:highlight w:val="yellow"/>
        </w:rPr>
        <w:t xml:space="preserve">The Artifact Segmenter divides the artefact into addressable segments — a page and paragraph, a slide, a sheet and cell, a JSON path, an archive member, an e-mail part — so that each Fact Unit derived from it carries a locator back to the exact place it came from. Text in a PDF document is recovered by following each page to its fonts and their character-mapping tables, which is how most current documents store text.</w:t>
      </w:r>
    </w:p>
    <w:p>
      <w:pPr>
        <w:pStyle w:val="Heading2"/>
        <w:spacing w:after="140" w:before="300"/>
      </w:pPr>
      <w:r>
        <w:rPr>
          <w:b/>
          <w:bCs/>
          <w:color w:val="1A1714"/>
          <w:sz w:val="24"/>
          <w:szCs w:val="24"/>
          <w:highlight w:val="yellow"/>
        </w:rPr>
        <w:t xml:space="preserve">50.2  Interpretation</w:t>
      </w:r>
    </w:p>
    <w:p>
      <w:pPr>
        <w:spacing w:after="170" w:line="300"/>
      </w:pPr>
      <w:r>
        <w:rPr>
          <w:b w:val="false"/>
          <w:bCs w:val="false"/>
          <w:color w:val="1A1714"/>
          <w:sz w:val="22"/>
          <w:szCs w:val="22"/>
          <w:highlight w:val="yellow"/>
        </w:rPr>
        <w:t xml:space="preserve">The OpenClaw Interpreter converts segments into three kinds of record: records describing the artefact itself (format, size, cryptographic fingerprint, title, author, page count, dimensions, duration, members); structured records drawn from the artefact's own structure (a cell under its row key and column, a value at a JSON path, a statement in embedded structured data); and passages, together with the claims extracted from them. Each record carries the artefact's fingerprint and format in its provenance, and the artefact as a whole is sealed in the provenance ledger of Section 6, from which it may be certified under Section 51.</w:t>
      </w:r>
    </w:p>
    <w:p>
      <w:pPr>
        <w:pStyle w:val="Heading2"/>
        <w:spacing w:after="140" w:before="300"/>
      </w:pPr>
      <w:r>
        <w:rPr>
          <w:b/>
          <w:bCs/>
          <w:color w:val="1A1714"/>
          <w:sz w:val="24"/>
          <w:szCs w:val="24"/>
          <w:highlight w:val="yellow"/>
        </w:rPr>
        <w:t xml:space="preserve">50.3  Untrusted content</w:t>
      </w:r>
    </w:p>
    <w:p>
      <w:pPr>
        <w:spacing w:after="170" w:line="300"/>
      </w:pPr>
      <w:r>
        <w:rPr>
          <w:b w:val="false"/>
          <w:bCs w:val="false"/>
          <w:color w:val="1A1714"/>
          <w:sz w:val="22"/>
          <w:szCs w:val="22"/>
          <w:highlight w:val="yellow"/>
        </w:rPr>
        <w:t xml:space="preserve">An artefact is data and never instruction. Before conversion, every textual segment is screened by the scanner of Section 52; a flagged segment is admitted only with an untrusted marking and a confidence below the answer threshold, so it can be retrieved for inspection but never cited as an answer or acted upon by an agent. Nothing in an artefact is executed: an executable is described by its type, architecture and printable strings.</w:t>
      </w:r>
    </w:p>
    <w:p>
      <w:pPr>
        <w:spacing w:after="170" w:line="300"/>
      </w:pPr>
      <w:r>
        <w:rPr>
          <w:b w:val="false"/>
          <w:bCs w:val="false"/>
          <w:color w:val="1A1714"/>
          <w:sz w:val="22"/>
          <w:szCs w:val="22"/>
          <w:highlight w:val="yellow"/>
        </w:rPr>
        <w:t xml:space="preserve">Archives are opened within bounds on nesting depth, member count, expanded size and compression ratio, so an archive constructed to exhaust resources is refused rather than expanded. An agent may submit a file by path only from a designated inbox folder, so that a compromised agent cannot cause the system to read files elsewhere on the machine and expose them through answers.</w:t>
      </w:r>
    </w:p>
    <w:p>
      <w:pPr>
        <w:pStyle w:val="Heading2"/>
        <w:spacing w:after="140" w:before="300"/>
      </w:pPr>
      <w:r>
        <w:rPr>
          <w:b/>
          <w:bCs/>
          <w:color w:val="1A1714"/>
          <w:sz w:val="24"/>
          <w:szCs w:val="24"/>
          <w:highlight w:val="yellow"/>
        </w:rPr>
        <w:t xml:space="preserve">50.4  What Open Claw does not do</w:t>
      </w:r>
    </w:p>
    <w:p>
      <w:pPr>
        <w:spacing w:after="170" w:line="300"/>
      </w:pPr>
      <w:r>
        <w:rPr>
          <w:b w:val="false"/>
          <w:bCs w:val="false"/>
          <w:color w:val="1A1714"/>
          <w:sz w:val="22"/>
          <w:szCs w:val="22"/>
          <w:highlight w:val="yellow"/>
        </w:rPr>
        <w:t xml:space="preserve">Open Claw does not interpret what it cannot parse. Content that resolves to no segment is recorded as a described artefact — its format, fingerprint and size — and contributes no claim. A claim extracted from a passage is admitted at a lower confidence than the passage itself, because extraction is an interpretation and is recorded as one.</w:t>
      </w:r>
    </w:p>
    <w:p>
      <w:pPr>
        <w:pStyle w:val="Heading1"/>
        <w:spacing w:after="140" w:before="300"/>
      </w:pPr>
      <w:r>
        <w:rPr>
          <w:b/>
          <w:bCs/>
          <w:color w:val="1A1714"/>
          <w:sz w:val="28"/>
          <w:szCs w:val="28"/>
          <w:highlight w:val="yellow"/>
        </w:rPr>
        <w:t xml:space="preserve">51.  On-Chain Certification and Provenance NFTs</w:t>
      </w:r>
    </w:p>
    <w:p>
      <w:pPr>
        <w:spacing w:after="170" w:line="300"/>
      </w:pPr>
      <w:r>
        <w:rPr>
          <w:b w:val="false"/>
          <w:bCs w:val="false"/>
          <w:color w:val="1A1714"/>
          <w:sz w:val="22"/>
          <w:szCs w:val="22"/>
          <w:highlight w:val="yellow"/>
        </w:rPr>
        <w:t xml:space="preserve">A provenance seal, a Fact Unit, an ingested document or an assembled response may be certified on a public blockchain as a non-fungible token of a deployed certificate contract. This implements, in the v9.64 prototype, the NFT engine of the specification: QBF, Fact Unit, provenance and response certificates; lineage; ownership verification; transfer events and hooks; the metadata schema; revocation and re-minting; and NFT-based licensing.</w:t>
      </w:r>
    </w:p>
    <w:p>
      <w:pPr>
        <w:pStyle w:val="Heading2"/>
        <w:spacing w:after="140" w:before="300"/>
      </w:pPr>
      <w:r>
        <w:rPr>
          <w:b/>
          <w:bCs/>
          <w:color w:val="1A1714"/>
          <w:sz w:val="24"/>
          <w:szCs w:val="24"/>
          <w:highlight w:val="yellow"/>
        </w:rPr>
        <w:t xml:space="preserve">51.1  The certificate contract</w:t>
      </w:r>
    </w:p>
    <w:p>
      <w:pPr>
        <w:spacing w:after="170" w:line="300"/>
      </w:pPr>
      <w:r>
        <w:rPr>
          <w:b w:val="false"/>
          <w:bCs w:val="false"/>
          <w:color w:val="1A1714"/>
          <w:sz w:val="22"/>
          <w:szCs w:val="22"/>
          <w:highlight w:val="yellow"/>
        </w:rPr>
        <w:t xml:space="preserve">The certificate contract is a self-contained ERC-721 token in which each token records the content hash of the object it certifies. The contract refuses a second certificate for a hash already certified, links a successor token to its predecessor so that a lineage chain is held on-chain, and records revocation with a stated reason. Only the deploying QueryBook node may mint or revoke; holders transfer tokens normally. Metadata is stored on-chain, so verification depends on neither an external file server nor this system's availability.</w:t>
      </w:r>
    </w:p>
    <w:p>
      <w:pPr>
        <w:pStyle w:val="Heading2"/>
        <w:spacing w:after="140" w:before="300"/>
      </w:pPr>
      <w:r>
        <w:rPr>
          <w:b/>
          <w:bCs/>
          <w:color w:val="1A1714"/>
          <w:sz w:val="24"/>
          <w:szCs w:val="24"/>
          <w:highlight w:val="yellow"/>
        </w:rPr>
        <w:t xml:space="preserve">51.2  Signing and networks</w:t>
      </w:r>
    </w:p>
    <w:p>
      <w:pPr>
        <w:spacing w:after="170" w:line="300"/>
      </w:pPr>
      <w:r>
        <w:rPr>
          <w:b w:val="false"/>
          <w:bCs w:val="false"/>
          <w:color w:val="1A1714"/>
          <w:sz w:val="22"/>
          <w:szCs w:val="22"/>
          <w:highlight w:val="yellow"/>
        </w:rPr>
        <w:t xml:space="preserve">Transactions are constructed and signed within the system without third-party libraries, and the implementation is checked against published test vectors each time the system starts. Test networks are used by default; a network on which tokens carry monetary value is refused unless the deployment elects it explicitly.</w:t>
      </w:r>
    </w:p>
    <w:p>
      <w:pPr>
        <w:pStyle w:val="Heading2"/>
        <w:spacing w:after="140" w:before="300"/>
      </w:pPr>
      <w:r>
        <w:rPr>
          <w:b/>
          <w:bCs/>
          <w:color w:val="1A1714"/>
          <w:sz w:val="24"/>
          <w:szCs w:val="24"/>
          <w:highlight w:val="yellow"/>
        </w:rPr>
        <w:t xml:space="preserve">51.3  Verification and licensing</w:t>
      </w:r>
    </w:p>
    <w:p>
      <w:pPr>
        <w:spacing w:after="170" w:line="300"/>
      </w:pPr>
      <w:r>
        <w:rPr>
          <w:b w:val="false"/>
          <w:bCs w:val="false"/>
          <w:color w:val="1A1714"/>
          <w:sz w:val="22"/>
          <w:szCs w:val="22"/>
          <w:highlight w:val="yellow"/>
        </w:rPr>
        <w:t xml:space="preserve">Verification reads the chain directly: whether the token exists, who holds it, the content hash it certifies, whether it has been revoked or superseded, and whether supplied content matches the certified hash. A licence may be expressed as holding a current, unrevoked token, and is checked the same way.</w:t>
      </w:r>
    </w:p>
    <w:p>
      <w:pPr>
        <w:pStyle w:val="Heading2"/>
        <w:spacing w:after="140" w:before="300"/>
      </w:pPr>
      <w:r>
        <w:rPr>
          <w:b/>
          <w:bCs/>
          <w:color w:val="1A1714"/>
          <w:sz w:val="24"/>
          <w:szCs w:val="24"/>
          <w:highlight w:val="yellow"/>
        </w:rPr>
        <w:t xml:space="preserve">51.4  What a certificate does not establish</w:t>
      </w:r>
    </w:p>
    <w:p>
      <w:pPr>
        <w:spacing w:after="170" w:line="300"/>
      </w:pPr>
      <w:r>
        <w:rPr>
          <w:b w:val="false"/>
          <w:bCs w:val="false"/>
          <w:color w:val="1A1714"/>
          <w:sz w:val="22"/>
          <w:szCs w:val="22"/>
          <w:highlight w:val="yellow"/>
        </w:rPr>
        <w:t xml:space="preserve">A certificate establishes that a stated content hash was certified by this deployment at a recorded time, and who now holds the token. It establishes nothing about the truth of the certified content, and does not make citable a record that was not citable before. The distinction is the one stated for the provenance ledger in Section 6.</w:t>
      </w:r>
    </w:p>
    <w:p>
      <w:pPr>
        <w:pStyle w:val="Heading1"/>
        <w:spacing w:after="140" w:before="300"/>
      </w:pPr>
      <w:r>
        <w:rPr>
          <w:b/>
          <w:bCs/>
          <w:color w:val="1A1714"/>
          <w:sz w:val="28"/>
          <w:szCs w:val="28"/>
          <w:highlight w:val="yellow"/>
        </w:rPr>
        <w:t xml:space="preserve">52.  Agent Protection and Deception Layer</w:t>
      </w:r>
    </w:p>
    <w:p>
      <w:pPr>
        <w:spacing w:after="170" w:line="300"/>
      </w:pPr>
      <w:r>
        <w:rPr>
          <w:b w:val="false"/>
          <w:bCs w:val="false"/>
          <w:color w:val="1A1714"/>
          <w:sz w:val="22"/>
          <w:szCs w:val="22"/>
          <w:highlight w:val="yellow"/>
        </w:rPr>
        <w:t xml:space="preserve">Autonomous AI systems that can probe, exploit and repurpose software agents present a threat that perimeter controls alone do not meet, because such a system may arrive with valid credentials or through a legitimate agent it has subverted. The protection layer implemented in the v9.64 prototype combines conventional access control with deception: assets with no legitimate use are planted, so that any interaction with them is evidence of hostility. Six layers are coordinated.</w:t>
      </w:r>
    </w:p>
    <w:p>
      <w:pPr>
        <w:spacing w:after="170" w:line="300"/>
      </w:pPr>
      <w:r>
        <w:rPr>
          <w:b/>
          <w:bCs/>
          <w:color w:val="1A1714"/>
          <w:sz w:val="22"/>
          <w:szCs w:val="22"/>
          <w:highlight w:val="yellow"/>
        </w:rPr>
        <w:t xml:space="preserve">Agent Gateway. </w:t>
      </w:r>
      <w:r>
        <w:rPr>
          <w:b w:val="false"/>
          <w:bCs w:val="false"/>
          <w:color w:val="1A1714"/>
          <w:sz w:val="22"/>
          <w:szCs w:val="22"/>
          <w:highlight w:val="yellow"/>
        </w:rPr>
        <w:t xml:space="preserve">Every agent call passes through one gateway carrying the agent identifier, caller identifier, session, command and timestamp. The caller proves its identity with a derived secret token; its role and the agent's registered allow-list are applied; requests outside a replay window are refused; and an allow-list enlarges only when an operator edits the deployment's policy.</w:t>
      </w:r>
    </w:p>
    <w:p>
      <w:pPr>
        <w:spacing w:after="170" w:line="300"/>
      </w:pPr>
      <w:r>
        <w:rPr>
          <w:b/>
          <w:bCs/>
          <w:color w:val="1A1714"/>
          <w:sz w:val="22"/>
          <w:szCs w:val="22"/>
          <w:highlight w:val="yellow"/>
        </w:rPr>
        <w:t xml:space="preserve">Deception. </w:t>
      </w:r>
      <w:r>
        <w:rPr>
          <w:b w:val="false"/>
          <w:bCs w:val="false"/>
          <w:color w:val="1A1714"/>
          <w:sz w:val="22"/>
          <w:szCs w:val="22"/>
          <w:highlight w:val="yellow"/>
        </w:rPr>
        <w:t xml:space="preserve">Fake privileged commands — for example an apparent export of the entire store, a root override, or a key dump — are reserved and never used by legitimate code (honeycode). Fake credentials, keys, tokens and agent identifiers unique to each deployment (honeytokens) are planted in decoy files and pages where an intruder would look. Any invocation of honeycode, or any use of a honeytoken, is treated as confirmed hostility.</w:t>
      </w:r>
    </w:p>
    <w:p>
      <w:pPr>
        <w:spacing w:after="170" w:line="300"/>
      </w:pPr>
      <w:r>
        <w:rPr>
          <w:b/>
          <w:bCs/>
          <w:color w:val="1A1714"/>
          <w:sz w:val="22"/>
          <w:szCs w:val="22"/>
          <w:highlight w:val="yellow"/>
        </w:rPr>
        <w:t xml:space="preserve">Tripwires and honeypots. </w:t>
      </w:r>
      <w:r>
        <w:rPr>
          <w:b w:val="false"/>
          <w:bCs w:val="false"/>
          <w:color w:val="1A1714"/>
          <w:sz w:val="22"/>
          <w:szCs w:val="22"/>
          <w:highlight w:val="yellow"/>
        </w:rPr>
        <w:t xml:space="preserve">Code paths and addresses that no legitimate operation reaches — a debug dump, a vault, a record purge, the locations automated scanners try first — and honeypot agents presenting apparently powerful capabilities serve only synthetic data and trigger containment when touched.</w:t>
      </w:r>
    </w:p>
    <w:p>
      <w:pPr>
        <w:spacing w:after="170" w:line="300"/>
      </w:pPr>
      <w:r>
        <w:rPr>
          <w:b/>
          <w:bCs/>
          <w:color w:val="1A1714"/>
          <w:sz w:val="22"/>
          <w:szCs w:val="22"/>
          <w:highlight w:val="yellow"/>
        </w:rPr>
        <w:t xml:space="preserve">AI-aware firewall and anomaly detection. </w:t>
      </w:r>
      <w:r>
        <w:rPr>
          <w:b w:val="false"/>
          <w:bCs w:val="false"/>
          <w:color w:val="1A1714"/>
          <w:sz w:val="22"/>
          <w:szCs w:val="22"/>
          <w:highlight w:val="yellow"/>
        </w:rPr>
        <w:t xml:space="preserve">Requests and payloads are screened for prompt injection, attempts to reveal secrets or assume privileged roles, counterfeit system markers, injected tool calls, requests that an agent modify its own instructions, and text concealed by invisible or tag characters; size, nesting and rate are bounded per caller. A sliding window per session detects command enumeration, repeated refusals and the machine-regular timing characteristic of autonomous scanning.</w:t>
      </w:r>
    </w:p>
    <w:p>
      <w:pPr>
        <w:spacing w:after="170" w:line="300"/>
      </w:pPr>
      <w:r>
        <w:rPr>
          <w:b/>
          <w:bCs/>
          <w:color w:val="1A1714"/>
          <w:sz w:val="22"/>
          <w:szCs w:val="22"/>
          <w:highlight w:val="yellow"/>
        </w:rPr>
        <w:t xml:space="preserve">Containment and engagement. </w:t>
      </w:r>
      <w:r>
        <w:rPr>
          <w:b w:val="false"/>
          <w:bCs w:val="false"/>
          <w:color w:val="1A1714"/>
          <w:sz w:val="22"/>
          <w:szCs w:val="22"/>
          <w:highlight w:val="yellow"/>
        </w:rPr>
        <w:t xml:space="preserve">On a trigger, the session, the client and — where it proved its identity — the caller are isolated, so an intruder cannot lock out a legitimate agent merely by using its name. Every later request is answered by a decoy environment that returns responses of the same form as production but synthetic in content, while the system records the commands, programs and tools observed. The decoy environment has no code path to production data, which is checked automatically. Isolation is released only by the operator at the machine, never through an interface an intruder could reach. The system observes and records; it takes no action against any external system.</w:t>
      </w:r>
    </w:p>
    <w:p>
      <w:pPr>
        <w:spacing w:after="170" w:line="300"/>
      </w:pPr>
      <w:r>
        <w:rPr>
          <w:b/>
          <w:bCs/>
          <w:color w:val="1A1714"/>
          <w:sz w:val="22"/>
          <w:szCs w:val="22"/>
          <w:highlight w:val="yellow"/>
        </w:rPr>
        <w:t xml:space="preserve">Immutable record. </w:t>
      </w:r>
      <w:r>
        <w:rPr>
          <w:b w:val="false"/>
          <w:bCs w:val="false"/>
          <w:color w:val="1A1714"/>
          <w:sz w:val="22"/>
          <w:szCs w:val="22"/>
          <w:highlight w:val="yellow"/>
        </w:rPr>
        <w:t xml:space="preserve">Every decision of every layer is appended to the tamper-evident security record of Section 53.</w:t>
      </w:r>
    </w:p>
    <w:p>
      <w:pPr>
        <w:spacing w:after="170" w:line="300"/>
      </w:pPr>
      <w:r>
        <w:rPr>
          <w:b w:val="false"/>
          <w:bCs w:val="false"/>
          <w:color w:val="1A1714"/>
          <w:sz w:val="22"/>
          <w:szCs w:val="22"/>
          <w:highlight w:val="yellow"/>
        </w:rPr>
        <w:t xml:space="preserve">In a live trial against the prototype, a scanner probing for credential files, the reuse of a planted credential, the invocation of honeycode, the enumeration of commands, an attempt to purge the record and a prompt injection delivered through an agent were each detected and contained, while the operator's own session continued unaffected. The layer reduces the likelihood and the consequence of exploitation; it does not make a deployment invulnerable, and an intruder holding administrative control of the host remains outside what it can prevent.</w:t>
      </w:r>
    </w:p>
    <w:p>
      <w:pPr>
        <w:pStyle w:val="Heading1"/>
        <w:spacing w:after="140" w:before="300"/>
      </w:pPr>
      <w:r>
        <w:rPr>
          <w:b/>
          <w:bCs/>
          <w:color w:val="1A1714"/>
          <w:sz w:val="28"/>
          <w:szCs w:val="28"/>
          <w:highlight w:val="yellow"/>
        </w:rPr>
        <w:t xml:space="preserve">53.  Tamper-Evident Security Record</w:t>
      </w:r>
    </w:p>
    <w:p>
      <w:pPr>
        <w:spacing w:after="170" w:line="300"/>
      </w:pPr>
      <w:r>
        <w:rPr>
          <w:b w:val="false"/>
          <w:bCs w:val="false"/>
          <w:color w:val="1A1714"/>
          <w:sz w:val="22"/>
          <w:szCs w:val="22"/>
          <w:highlight w:val="yellow"/>
        </w:rPr>
        <w:t xml:space="preserve">Security decisions are recorded in an append-only record distinct from the provenance ledger of Section 6. Each entry carries the agent, caller, session, command, a hash of the parameters, the decision and any deception or containment flags, and its hash commits to that of its predecessor. At intervals, and on demand, a Merkle root over the new entries is sealed into a checkpoint that is written once and never overwritten, signed under a deployment key, and chained to the previous checkpoint.</w:t>
      </w:r>
    </w:p>
    <w:p>
      <w:pPr>
        <w:spacing w:after="170" w:line="300"/>
      </w:pPr>
      <w:r>
        <w:rPr>
          <w:b w:val="false"/>
          <w:bCs w:val="false"/>
          <w:color w:val="1A1714"/>
          <w:sz w:val="22"/>
          <w:szCs w:val="22"/>
          <w:highlight w:val="yellow"/>
        </w:rPr>
        <w:t xml:space="preserve">No interface modifies or deletes an entry, and a request to purge the record is itself a tripwire. Verification recomputes every entry and checkpoint from content rather than trusting stored hashes, and returns, for any entry, a Merkle inclusion proof against its checkpoint. In trial, an edited entry, a deleted entry, and a forgery that recomputed the entire hash chain were each detected.</w:t>
      </w:r>
    </w:p>
    <w:p>
      <w:pPr>
        <w:spacing w:after="170" w:line="300"/>
      </w:pPr>
      <w:r>
        <w:rPr>
          <w:b w:val="false"/>
          <w:bCs w:val="false"/>
          <w:color w:val="1A1714"/>
          <w:sz w:val="22"/>
          <w:szCs w:val="22"/>
          <w:highlight w:val="yellow"/>
        </w:rPr>
        <w:t xml:space="preserve">Within a single machine, a party holding complete control of the files and keys could construct a consistent false record. Two measures place evidence beyond that party's reach: replication of the record to a second location, and anchoring of checkpoint roots on a public blockchain through the certificate contract of Section 51. Verification reports which of these protections a given record possesses, so that its assurance is stated rather than assumed.</w:t>
      </w:r>
    </w:p>
    <w:p>
      <w:pPr>
        <w:pStyle w:val="Heading1"/>
        <w:spacing w:after="140" w:before="300"/>
      </w:pPr>
      <w:r>
        <w:rPr>
          <w:b/>
          <w:bCs/>
          <w:color w:val="1A1714"/>
          <w:sz w:val="28"/>
          <w:szCs w:val="28"/>
          <w:highlight w:val="yellow"/>
        </w:rPr>
        <w:t xml:space="preserve">54.  Agent Interoperability: The Model Context Protocol and OpenClaw</w:t>
      </w:r>
    </w:p>
    <w:p>
      <w:pPr>
        <w:spacing w:after="170" w:line="300"/>
      </w:pPr>
      <w:r>
        <w:rPr>
          <w:b w:val="false"/>
          <w:bCs w:val="false"/>
          <w:color w:val="1A1714"/>
          <w:sz w:val="22"/>
          <w:szCs w:val="22"/>
          <w:highlight w:val="yellow"/>
        </w:rPr>
        <w:t xml:space="preserve">External AI agents connect to QueryBook through a Model Context Protocol server exposing a fixed set of tools: cited query, claim verification, query interpretation, Open Claw preview and ingestion, provenance-ledger verification, certificate status and verification, and protection status. Each tool call becomes an Agent Gateway request under the agent's registered identity and caller token, so a connected agent receives exactly the guarantees and restrictions of Sections 47 and 52.</w:t>
      </w:r>
    </w:p>
    <w:p>
      <w:pPr>
        <w:spacing w:after="170" w:line="300"/>
      </w:pPr>
      <w:r>
        <w:rPr>
          <w:b w:val="false"/>
          <w:bCs w:val="false"/>
          <w:color w:val="1A1714"/>
          <w:sz w:val="22"/>
          <w:szCs w:val="22"/>
          <w:highlight w:val="yellow"/>
        </w:rPr>
        <w:t xml:space="preserve">For the OpenClaw agent, a skill definition is supplied that instructs the agent to report QueryBook's answers with their citations, to report an unknown as unknown, to treat ingested content as data, to use only the listed tools, and to stop when a response indicates isolation. Honeycode commands are never listed among the tools, so a legitimate agent following its instructions does not encounter them; an agent that calls one has been subverted or is probing.</w:t>
      </w:r>
    </w:p>
    <w:p>
      <w:pPr>
        <w:spacing w:after="170" w:line="300"/>
      </w:pPr>
      <w:r>
        <w:rPr>
          <w:b w:val="false"/>
          <w:bCs w:val="false"/>
          <w:color w:val="1A1714"/>
          <w:sz w:val="22"/>
          <w:szCs w:val="22"/>
          <w:highlight w:val="yellow"/>
        </w:rPr>
        <w:t xml:space="preserve">Connecting an agent confers no capability beyond its allow-list. The OpenClaw agent may query, verify, preview and ingest from the designated inbox, and verify the ledger and certificates; it may not mint or transfer certificates, change policy, or read the security record's raw entries.</w:t>
      </w:r>
    </w:p>
    <w:p>
      <w:pPr>
        <w:pStyle w:val="Heading1"/>
        <w:spacing w:after="140" w:before="300"/>
      </w:pPr>
      <w:r>
        <w:rPr>
          <w:b/>
          <w:bCs/>
          <w:color w:val="1A1714"/>
          <w:sz w:val="28"/>
          <w:szCs w:val="28"/>
          <w:highlight w:val="yellow"/>
        </w:rPr>
        <w:t xml:space="preserve">55.  Hybrid Transport: UFCS-FQL over TCP/IP</w:t>
      </w:r>
    </w:p>
    <w:p>
      <w:pPr>
        <w:spacing w:after="170" w:line="300"/>
      </w:pPr>
      <w:r>
        <w:rPr>
          <w:b w:val="false"/>
          <w:bCs w:val="false"/>
          <w:color w:val="1A1714"/>
          <w:sz w:val="22"/>
          <w:szCs w:val="22"/>
          <w:highlight w:val="yellow"/>
        </w:rPr>
        <w:t xml:space="preserve">Fact Units and media assets are carried between nodes by a hybrid transport in which a UFCS-FQL semantic layer rides on ordinary TCP/IP, reduced to practice in a laboratory prototype. Each message is a frame with a fixed 32-byte header — identifying marker, version, message type, content type, compression type, flags, payload and metadata lengths, message identifier and sequence — followed by the metadata, the payload, a CRC32 checksum and, optionally, an Ed25519 signature. A receiver that encounters a corrupt frame discards that frame and resynchronises at the next frame boundary, so corruption costs one frame rather than the stream.</w:t>
      </w:r>
    </w:p>
    <w:p>
      <w:pPr>
        <w:spacing w:after="170" w:line="300"/>
      </w:pPr>
      <w:r>
        <w:rPr>
          <w:b w:val="false"/>
          <w:bCs w:val="false"/>
          <w:color w:val="1A1714"/>
          <w:sz w:val="22"/>
          <w:szCs w:val="22"/>
          <w:highlight w:val="yellow"/>
        </w:rPr>
        <w:t xml:space="preserve">Content is compressed according to its type before framing: fact batches by a dictionary primed with the Fact Unit field vocabulary or by a general-purpose lossless compressor, and media by standard codecs, as Section 44.1 provides. Control, normal and bulk traffic travel on separate connections with per-class rate limits and receipt windows, so a bulk transfer cannot hold a control message or a live stream behind it. Streams packaged for HLS and MPEG-DASH, and live streams received over RTMP, are carried, rebuilt on the receiving node and verified against their manifests.</w:t>
      </w:r>
    </w:p>
    <w:p>
      <w:pPr>
        <w:spacing w:after="170" w:line="300"/>
      </w:pPr>
      <w:r>
        <w:rPr>
          <w:b w:val="false"/>
          <w:bCs w:val="false"/>
          <w:color w:val="1A1714"/>
          <w:sz w:val="22"/>
          <w:szCs w:val="22"/>
          <w:highlight w:val="yellow"/>
        </w:rPr>
        <w:t xml:space="preserve">The transport is a delivery mechanism, not a codec. In trial it delivered every asset bit-identical to its source, and kept live video moving where a single shared connection would have queued it behind bulk traffic; it did not make media smaller than the codec elected, and plain HTTP delivery remained somewhat faster for a single large file. Figures are reported per trial in the laboratory's reports, consistent with Section 44.1.</w:t>
      </w:r>
    </w:p>
    <w:p>
      <w:pPr>
        <w:pStyle w:val="Heading1"/>
        <w:spacing w:after="140" w:before="300"/>
      </w:pPr>
      <w:r>
        <w:rPr>
          <w:b/>
          <w:bCs/>
          <w:color w:val="1A1714"/>
          <w:sz w:val="28"/>
          <w:szCs w:val="28"/>
          <w:highlight w:val="green"/>
        </w:rPr>
        <w:t>56.  The Self-Knowledge Layer (SKL)</w:t>
      </w:r>
    </w:p>
    <w:p>
      <w:pPr>
        <w:spacing w:after="170" w:line="300"/>
      </w:pPr>
      <w:r>
        <w:rPr>
          <w:b w:val="false"/>
          <w:bCs w:val="false"/>
          <w:color w:val="1A1714"/>
          <w:sz w:val="22"/>
          <w:szCs w:val="22"/>
          <w:highlight w:val="green"/>
        </w:rPr>
        <w:t>The Self-Knowledge Layer (SKL) is the part of QueryBook that describes QueryBook. Asked what it is, how it reasons, whether it is neuromorphic, whether it predicts, or whether it improves itself, the system answers from three verified layers and from nothing else: the specification (the numbered sections of this Overview), the implementation (the module and symbol that carry out each section, checked against the program's own source files at the moment of asking), and the evidence (the host application's own self-tests, diagnostics and measured scores). The layer never generates its self-description with a language model, and it never repeats a claim its own code does not support.</w:t>
      </w:r>
    </w:p>
    <w:p>
      <w:pPr>
        <w:spacing w:after="170" w:line="300"/>
      </w:pPr>
      <w:r>
        <w:rPr>
          <w:b w:val="false"/>
          <w:bCs w:val="false"/>
          <w:color w:val="1A1714"/>
          <w:sz w:val="22"/>
          <w:szCs w:val="22"/>
          <w:highlight w:val="green"/>
        </w:rPr>
        <w:t>The SKL follows from the Prime Directive (§10): a system that refuses to state an unsupported fact about the world must not state an unsupported fact about itself. It is the self-referential application of the Fact Unit discipline (§1) — every statement QueryBook makes about itself carries a status and its sources, exactly as a Fact Unit carries provenance.</w:t>
      </w:r>
    </w:p>
    <w:p>
      <w:pPr>
        <w:pStyle w:val="Heading2"/>
        <w:spacing w:after="140" w:before="300"/>
      </w:pPr>
      <w:r>
        <w:rPr>
          <w:b/>
          <w:bCs/>
          <w:color w:val="1A1714"/>
          <w:sz w:val="24"/>
          <w:szCs w:val="24"/>
          <w:highlight w:val="green"/>
        </w:rPr>
        <w:t>56.1 Three layers of self-knowledge</w:t>
      </w:r>
    </w:p>
    <w:p>
      <w:pPr>
        <w:spacing w:after="170" w:line="300"/>
      </w:pPr>
      <w:r>
        <w:rPr>
          <w:b w:val="false"/>
          <w:bCs w:val="false"/>
          <w:color w:val="1A1714"/>
          <w:sz w:val="22"/>
          <w:szCs w:val="22"/>
          <w:highlight w:val="green"/>
        </w:rPr>
        <w:t>Specification. Every numbered section of the Core Technology Overview (§1 through §56) is indexed by number and title. A self-question that names a capability is resolved to the sections that specify it.</w:t>
      </w:r>
    </w:p>
    <w:p>
      <w:pPr>
        <w:spacing w:after="170" w:line="300"/>
      </w:pPr>
      <w:r>
        <w:rPr>
          <w:b w:val="false"/>
          <w:bCs w:val="false"/>
          <w:color w:val="1A1714"/>
          <w:sz w:val="22"/>
          <w:szCs w:val="22"/>
          <w:highlight w:val="green"/>
        </w:rPr>
        <w:t>Implementation. For each section and each reasoning aspect, the layer holds evidence pairs — a source file and a symbol that must appear in it (for example, the function that computes Fact Unit identifiers). The pairs are checked against the running program's files every time they are used. The layer reads source files as text and imports nothing it describes, so the check is fast, deterministic and safe.</w:t>
      </w:r>
    </w:p>
    <w:p>
      <w:pPr>
        <w:spacing w:after="170" w:line="300"/>
      </w:pPr>
      <w:r>
        <w:rPr>
          <w:b w:val="false"/>
          <w:bCs w:val="false"/>
          <w:color w:val="1A1714"/>
          <w:sz w:val="22"/>
          <w:szCs w:val="22"/>
          <w:highlight w:val="green"/>
        </w:rPr>
        <w:t>Evidence. The host application may pass in its own check results (self-test, diagnostics, quality measurements); the layer reports them beside the code evidence.</w:t>
      </w:r>
    </w:p>
    <w:p>
      <w:pPr>
        <w:pStyle w:val="Heading2"/>
        <w:spacing w:after="140" w:before="300"/>
      </w:pPr>
      <w:r>
        <w:rPr>
          <w:b/>
          <w:bCs/>
          <w:color w:val="1A1714"/>
          <w:sz w:val="24"/>
          <w:szCs w:val="24"/>
          <w:highlight w:val="green"/>
        </w:rPr>
        <w:t>56.2 Capability status labels</w:t>
      </w:r>
    </w:p>
    <w:p>
      <w:pPr>
        <w:spacing w:after="170" w:line="300"/>
      </w:pPr>
      <w:r>
        <w:rPr>
          <w:b w:val="false"/>
          <w:bCs w:val="false"/>
          <w:color w:val="1A1714"/>
          <w:sz w:val="22"/>
          <w:szCs w:val="22"/>
          <w:highlight w:val="green"/>
        </w:rPr>
        <w:t>Every statement carries exactly one of five labels: built and tested; partly built; specified, not yet built; not planned (by design); not in this application. A sixth marker, description, not a capability, is used for sections that describe rather than define behaviour (for example §42, Comparison With Human Cognition). A capability is labelled built only when all of its evidence is present; a specified capability is never described as built.</w:t>
      </w:r>
    </w:p>
    <w:p>
      <w:pPr>
        <w:pStyle w:val="Heading2"/>
        <w:spacing w:after="140" w:before="300"/>
      </w:pPr>
      <w:r>
        <w:rPr>
          <w:b/>
          <w:bCs/>
          <w:color w:val="1A1714"/>
          <w:sz w:val="24"/>
          <w:szCs w:val="24"/>
          <w:highlight w:val="green"/>
        </w:rPr>
        <w:t>56.3 The reasoning aspects</w:t>
      </w:r>
    </w:p>
    <w:p>
      <w:pPr>
        <w:spacing w:after="170" w:line="300"/>
      </w:pPr>
      <w:r>
        <w:rPr>
          <w:b w:val="false"/>
          <w:bCs w:val="false"/>
          <w:color w:val="1A1714"/>
          <w:sz w:val="22"/>
          <w:szCs w:val="22"/>
          <w:highlight w:val="green"/>
        </w:rPr>
        <w:t>Twelve aspects of QueryBook reasoning are described at three levels of detail (brief, user, engineer), each with its status and sources: deterministic reasoning (§6, §1); atomic knowledge, the Fact Unit (§1, §12); the World-View Model (§11); predictive cognition (§21, §27); the neuromorphic layer (§3, §35); hypothesis generation and simulation (§23, §29); deduction, induction and abduction (§23); feedback loops (§26, §27); supervised self-improvement (§26); recursive self-improvement (§10); and self-knowledge itself (§56).</w:t>
      </w:r>
    </w:p>
    <w:p>
      <w:pPr>
        <w:spacing w:after="170" w:line="300"/>
      </w:pPr>
      <w:r>
        <w:rPr>
          <w:b w:val="false"/>
          <w:bCs w:val="false"/>
          <w:color w:val="1A1714"/>
          <w:sz w:val="22"/>
          <w:szCs w:val="22"/>
          <w:highlight w:val="green"/>
        </w:rPr>
        <w:t>In the present prototypes deterministic reasoning, deduction over verified premises, hypothesis and simulation agents (proposing only, kept apart at low trust), measured feedback loops and supervised self-improvement are built; the Fact Unit is partly built; the World-View Model, the Predictive Cognitive Architecture and the Neuromorphic Cognitive Layer are specified and not yet built. Recursive self-improvement — a change to the program without a person's approval — is not planned, by design: every calibration and every code change proposed by the Engineer is tested on a copy and applied only with the administrator's approval.</w:t>
      </w:r>
    </w:p>
    <w:p>
      <w:pPr>
        <w:pStyle w:val="Heading2"/>
        <w:spacing w:after="140" w:before="300"/>
      </w:pPr>
      <w:r>
        <w:rPr>
          <w:b/>
          <w:bCs/>
          <w:color w:val="1A1714"/>
          <w:sz w:val="24"/>
          <w:szCs w:val="24"/>
          <w:highlight w:val="green"/>
        </w:rPr>
        <w:t>56.4 The process model</w:t>
      </w:r>
    </w:p>
    <w:p>
      <w:pPr>
        <w:spacing w:after="170" w:line="300"/>
      </w:pPr>
      <w:r>
        <w:rPr>
          <w:b w:val="false"/>
          <w:bCs w:val="false"/>
          <w:color w:val="1A1714"/>
          <w:sz w:val="22"/>
          <w:szCs w:val="22"/>
          <w:highlight w:val="green"/>
        </w:rPr>
        <w:t>The layer describes QueryBook's own process in eight steps, each tied to its sections: ingest (§7, §43, §50); atomise into Fact Units (§1); verify against the store, keeping AI-proposed content apart (§4, §10, §40); store immutably with a hash-chained record (§6, §53); reason, where only deduction asserts (§23, §29); answer with citations or refuse (§10, §31); measure against references (§26, §56); improve with approval (§26).</w:t>
      </w:r>
    </w:p>
    <w:p>
      <w:pPr>
        <w:pStyle w:val="Heading2"/>
        <w:spacing w:after="140" w:before="300"/>
      </w:pPr>
      <w:r>
        <w:rPr>
          <w:b/>
          <w:bCs/>
          <w:color w:val="1A1714"/>
          <w:sz w:val="24"/>
          <w:szCs w:val="24"/>
          <w:highlight w:val="green"/>
        </w:rPr>
        <w:t>56.5 Self-consistency check</w:t>
      </w:r>
    </w:p>
    <w:p>
      <w:pPr>
        <w:spacing w:after="170" w:line="300"/>
      </w:pPr>
      <w:r>
        <w:rPr>
          <w:b w:val="false"/>
          <w:bCs w:val="false"/>
          <w:color w:val="1A1714"/>
          <w:sz w:val="22"/>
          <w:szCs w:val="22"/>
          <w:highlight w:val="green"/>
        </w:rPr>
        <w:t>Before it speaks, the layer checks itself. A claim labelled built or partly built whose evidence is missing from the program is reported as a contradiction and is not repeated. A capability labelled specified whose implementation names (for example, an attractor or world-view class) appear in the program is also reported, so the description is updated when the code moves ahead of it. The check is part of every self-test.</w:t>
      </w:r>
    </w:p>
    <w:p>
      <w:pPr>
        <w:pStyle w:val="Heading2"/>
        <w:spacing w:after="140" w:before="300"/>
      </w:pPr>
      <w:r>
        <w:rPr>
          <w:b/>
          <w:bCs/>
          <w:color w:val="1A1714"/>
          <w:sz w:val="24"/>
          <w:szCs w:val="24"/>
          <w:highlight w:val="green"/>
        </w:rPr>
        <w:t>56.6 Gap agenda</w:t>
      </w:r>
    </w:p>
    <w:p>
      <w:pPr>
        <w:spacing w:after="170" w:line="300"/>
      </w:pPr>
      <w:r>
        <w:rPr>
          <w:b w:val="false"/>
          <w:bCs w:val="false"/>
          <w:color w:val="1A1714"/>
          <w:sz w:val="22"/>
          <w:szCs w:val="22"/>
          <w:highlight w:val="green"/>
        </w:rPr>
        <w:t>Every section that is specified but not built, or only partly built, is listed with its number, title and nearest built component. The list is the system's development agenda: it says what QueryBook does not yet do, in the system's own words, and it is never presented as capability.</w:t>
      </w:r>
    </w:p>
    <w:p>
      <w:pPr>
        <w:pStyle w:val="Heading2"/>
        <w:spacing w:after="140" w:before="300"/>
      </w:pPr>
      <w:r>
        <w:rPr>
          <w:b/>
          <w:bCs/>
          <w:color w:val="1A1714"/>
          <w:sz w:val="24"/>
          <w:szCs w:val="24"/>
          <w:highlight w:val="green"/>
        </w:rPr>
        <w:t>56.7 Answering questions about itself</w:t>
      </w:r>
    </w:p>
    <w:p>
      <w:pPr>
        <w:spacing w:after="170" w:line="300"/>
      </w:pPr>
      <w:r>
        <w:rPr>
          <w:b w:val="false"/>
          <w:bCs w:val="false"/>
          <w:color w:val="1A1714"/>
          <w:sz w:val="22"/>
          <w:szCs w:val="22"/>
          <w:highlight w:val="green"/>
        </w:rPr>
        <w:t>Self-questions ("Are you neuromorphic?", "Do you improve yourself?", "What is §21?") are matched by rule to an aspect or a section number and answered with the label and the sources: the section numbers and the file and symbol evidence. Answers are deterministic: the same question about the same program gives the same answer. A disclosure filter removes anything in an answer that resembles a key or credential, and the layer never reads settings or keys.</w:t>
      </w:r>
    </w:p>
    <w:p>
      <w:pPr>
        <w:pStyle w:val="Heading2"/>
        <w:spacing w:after="140" w:before="300"/>
      </w:pPr>
      <w:r>
        <w:rPr>
          <w:b/>
          <w:bCs/>
          <w:color w:val="1A1714"/>
          <w:sz w:val="24"/>
          <w:szCs w:val="24"/>
          <w:highlight w:val="green"/>
        </w:rPr>
        <w:t>56.8 Interfaces</w:t>
      </w:r>
    </w:p>
    <w:p>
      <w:pPr>
        <w:spacing w:after="170" w:line="300"/>
      </w:pPr>
      <w:r>
        <w:rPr>
          <w:b w:val="false"/>
          <w:bCs w:val="false"/>
          <w:color w:val="1A1714"/>
          <w:sz w:val="22"/>
          <w:szCs w:val="22"/>
          <w:highlight w:val="green"/>
        </w:rPr>
        <w:t>The layer is available in prototype v9.64 and in each application (Language, STEM, History and News, Control Panel) as GET /api/self (summary, label counts, aspects, process, sections, contradictions, gaps) and GET /api/self/ask?q=…&amp;level=… (one answer with its sources); as the Self-knowledge page in v9.64 and the Self-knowledge tab of the Control Panel; and as a rule of the Control Panel assistant.</w:t>
      </w:r>
    </w:p>
    <w:p>
      <w:pPr>
        <w:pStyle w:val="Heading2"/>
        <w:spacing w:after="140" w:before="300"/>
      </w:pPr>
      <w:r>
        <w:rPr>
          <w:b/>
          <w:bCs/>
          <w:color w:val="1A1714"/>
          <w:sz w:val="24"/>
          <w:szCs w:val="24"/>
          <w:highlight w:val="green"/>
        </w:rPr>
        <w:t>56.9 Status</w:t>
      </w:r>
    </w:p>
    <w:p>
      <w:pPr>
        <w:spacing w:after="170" w:line="300"/>
      </w:pPr>
      <w:r>
        <w:rPr>
          <w:b w:val="false"/>
          <w:bCs w:val="false"/>
          <w:color w:val="1A1714"/>
          <w:sz w:val="22"/>
          <w:szCs w:val="22"/>
          <w:highlight w:val="green"/>
        </w:rPr>
        <w:t>The Self-Knowledge Layer is built and tested in prototype v9.64 (qb_selfknow.py, 1.0.0) and in the shared core of the applications (qbselfknow.py, 1.0.0). Its self-test (28 checks) runs inside every application's self-test; at release it reported no contradictions in either codebase.</w:t>
      </w:r>
    </w:p>
    <w:p>
      <w:pPr>
        <w:spacing w:before="300"/>
      </w:pPr>
      <w:r>
        <w:rPr>
          <w:i/>
          <w:iCs/>
          <w:color w:val="5F5952"/>
          <w:sz w:val="19"/>
          <w:szCs w:val="19"/>
          <w:highlight w:val="yellow"/>
        </w:rPr>
        <w:t xml:space="preserve">Additions of October 8, 2026, highlighted in yellow: Sections 50–55 and the paragraphs headed “Implementation update”, reflecting QueryBook prototype v9.64 and the UFCS-FQL laboratory prototype. No existing text was changed.</w:t>
      </w:r>
    </w:p>
    <w:p>
      <w:pPr>
        <w:spacing w:before="300"/>
      </w:pPr>
      <w:r>
        <w:rPr>
          <w:i/>
          <w:iCs/>
          <w:color w:val="5F5952"/>
          <w:sz w:val="19"/>
          <w:szCs w:val="19"/>
          <w:highlight w:val="green"/>
        </w:rPr>
        <w:t>Additions of October 22, 2026, highlighted in green: Section 56, The Self-Knowledge Layer (SKL), built in prototype v9.64 (qb_selfknow.py) and the applications' shared core (qbselfknow.py); Composite Feature Registry v70 features 383–391; provisional FIG. 57 and claims 358–362. No existing text was changed.</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2026-09-06T03:39:59.779Z</dcterms:created>
  <dcterms:modified xsi:type="dcterms:W3CDTF">2026-09-06T03:39:59.779Z</dcterms:modified>
</cp:coreProperties>
</file>

<file path=docProps/custom.xml><?xml version="1.0" encoding="utf-8"?>
<Properties xmlns="http://schemas.openxmlformats.org/officeDocument/2006/custom-properties" xmlns:vt="http://schemas.openxmlformats.org/officeDocument/2006/docPropsVTypes"/>
</file>