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rPr>
        <w:t xml:space="preserve">   g. Support for external agent-wrapper services — Verified Agent Transport and similar relays that check an AI agent's messages and actions in transit — through a read-only claim verification interface, reserved frame extensions, append access to the security record, a session certificate type, and Agent Gateway and tool-server hooks (FIG. 56). The wrapper services themselves are described separately.</w:t>
      </w:r>
    </w:p>
    <w:p>
      <w:pPr>
        <w:pStyle w:val="Normal"/>
        <w:rPr>
          <w:rFonts w:hint="eastAsia"/>
        </w:rPr>
      </w:pPr>
      <w:r>
        <w:rPr>
          <w:rFonts w:ascii="Times New Roman" w:hAnsi="Times New Roman"/>
        </w:rPr>
        <w:t xml:space="preserve">   h. A self-knowledge layer by which the system describes its own capabilities accurately and with sources: each statement about itself is resolved against the numbered specification, checked against the system's own program files and self-tests at the moment of asking, labelled built, partly built, specified, not planned or not present, and withheld as a contradiction when its evidence is missing (FIG. 57).</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rPr>
        <w:t xml:space="preserve">FIG. 1 </w:t>
      </w:r>
      <w:r>
        <w:rPr>
          <w:rFonts w:ascii="Times New Roman" w:hAnsi="Times New Roman"/>
          <w:sz w:val="24"/>
          <w:szCs w:val="24"/>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rPr>
        <w:t xml:space="preserve">FIG. 2 </w:t>
      </w:r>
      <w:r>
        <w:rPr>
          <w:rFonts w:ascii="Times New Roman" w:hAnsi="Times New Roman"/>
          <w:sz w:val="24"/>
          <w:szCs w:val="24"/>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rPr>
        <w:t xml:space="preserve">FIG. 3 </w:t>
      </w:r>
      <w:r>
        <w:rPr>
          <w:rFonts w:ascii="Times New Roman" w:hAnsi="Times New Roman"/>
          <w:sz w:val="24"/>
          <w:szCs w:val="24"/>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rPr>
        <w:t xml:space="preserve">FIG. 4 </w:t>
      </w:r>
      <w:r>
        <w:rPr>
          <w:rFonts w:ascii="Times New Roman" w:hAnsi="Times New Roman"/>
          <w:sz w:val="24"/>
          <w:szCs w:val="24"/>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rPr>
        <w:t xml:space="preserve">FIG. 5 </w:t>
      </w:r>
      <w:r>
        <w:rPr>
          <w:rFonts w:ascii="Times New Roman" w:hAnsi="Times New Roman"/>
          <w:sz w:val="24"/>
          <w:szCs w:val="24"/>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rPr>
        <w:t xml:space="preserve">FIG. 6 </w:t>
      </w:r>
      <w:r>
        <w:rPr>
          <w:rFonts w:ascii="Times New Roman" w:hAnsi="Times New Roman"/>
          <w:sz w:val="24"/>
          <w:szCs w:val="24"/>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rPr>
        <w:t xml:space="preserve">FIG. 7 </w:t>
      </w:r>
      <w:r>
        <w:rPr>
          <w:rFonts w:ascii="Times New Roman" w:hAnsi="Times New Roman"/>
          <w:sz w:val="24"/>
          <w:szCs w:val="24"/>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rPr>
        <w:t xml:space="preserve">FIG. 8 </w:t>
      </w:r>
      <w:r>
        <w:rPr>
          <w:rFonts w:ascii="Times New Roman" w:hAnsi="Times New Roman"/>
          <w:sz w:val="24"/>
          <w:szCs w:val="24"/>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rPr>
        <w:t xml:space="preserve">FIG. 9 </w:t>
      </w:r>
      <w:r>
        <w:rPr>
          <w:rFonts w:ascii="Times New Roman" w:hAnsi="Times New Roman"/>
          <w:sz w:val="24"/>
          <w:szCs w:val="24"/>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rPr>
        <w:t xml:space="preserve">FIG. 10 </w:t>
      </w:r>
      <w:r>
        <w:rPr>
          <w:rFonts w:ascii="Times New Roman" w:hAnsi="Times New Roman"/>
          <w:sz w:val="24"/>
          <w:szCs w:val="24"/>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rPr>
        <w:t xml:space="preserve">FIG. 11 </w:t>
      </w:r>
      <w:r>
        <w:rPr>
          <w:rFonts w:ascii="Times New Roman" w:hAnsi="Times New Roman"/>
          <w:sz w:val="24"/>
          <w:szCs w:val="24"/>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rPr>
        <w:t xml:space="preserve">FIG. 12 </w:t>
      </w:r>
      <w:r>
        <w:rPr>
          <w:rFonts w:ascii="Times New Roman" w:hAnsi="Times New Roman"/>
          <w:sz w:val="24"/>
          <w:szCs w:val="24"/>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rPr>
        <w:t xml:space="preserve">FIG. 13 </w:t>
      </w:r>
      <w:r>
        <w:rPr>
          <w:rFonts w:ascii="Times New Roman" w:hAnsi="Times New Roman"/>
          <w:sz w:val="24"/>
          <w:szCs w:val="24"/>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rPr>
        <w:t xml:space="preserve">FIG. 14 </w:t>
      </w:r>
      <w:r>
        <w:rPr>
          <w:rFonts w:ascii="Times New Roman" w:hAnsi="Times New Roman"/>
          <w:sz w:val="24"/>
          <w:szCs w:val="24"/>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rPr>
        <w:t xml:space="preserve">FIG. 15 </w:t>
      </w:r>
      <w:r>
        <w:rPr>
          <w:rFonts w:ascii="Times New Roman" w:hAnsi="Times New Roman"/>
          <w:sz w:val="24"/>
          <w:szCs w:val="24"/>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rPr>
        <w:t xml:space="preserve">FIG. 16 </w:t>
      </w:r>
      <w:r>
        <w:rPr>
          <w:rFonts w:ascii="Times New Roman" w:hAnsi="Times New Roman"/>
          <w:sz w:val="24"/>
          <w:szCs w:val="24"/>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rPr>
        <w:t xml:space="preserve">FIG. 17 </w:t>
      </w:r>
      <w:r>
        <w:rPr>
          <w:rFonts w:ascii="Times New Roman" w:hAnsi="Times New Roman"/>
          <w:sz w:val="24"/>
          <w:szCs w:val="24"/>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rPr>
        <w:t xml:space="preserve">FIG. 18 </w:t>
      </w:r>
      <w:r>
        <w:rPr>
          <w:rFonts w:ascii="Times New Roman" w:hAnsi="Times New Roman"/>
          <w:sz w:val="24"/>
          <w:szCs w:val="24"/>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rPr>
        <w:t xml:space="preserve">FIG. 19 </w:t>
      </w:r>
      <w:r>
        <w:rPr>
          <w:rFonts w:ascii="Times New Roman" w:hAnsi="Times New Roman"/>
          <w:sz w:val="24"/>
          <w:szCs w:val="24"/>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rPr>
        <w:t xml:space="preserve">FIG. 20 </w:t>
      </w:r>
      <w:r>
        <w:rPr>
          <w:rFonts w:ascii="Times New Roman" w:hAnsi="Times New Roman"/>
          <w:sz w:val="24"/>
          <w:szCs w:val="24"/>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rPr>
        <w:t xml:space="preserve">FIG. 21 </w:t>
      </w:r>
      <w:r>
        <w:rPr>
          <w:rFonts w:ascii="Times New Roman" w:hAnsi="Times New Roman"/>
          <w:sz w:val="24"/>
          <w:szCs w:val="24"/>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rPr>
        <w:t xml:space="preserve">FIG. 22 </w:t>
      </w:r>
      <w:r>
        <w:rPr>
          <w:rFonts w:ascii="Times New Roman" w:hAnsi="Times New Roman"/>
          <w:sz w:val="24"/>
          <w:szCs w:val="24"/>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rPr>
        <w:t xml:space="preserve">FIG. 23 </w:t>
      </w:r>
      <w:r>
        <w:rPr>
          <w:rFonts w:ascii="Times New Roman" w:hAnsi="Times New Roman"/>
          <w:sz w:val="24"/>
          <w:szCs w:val="24"/>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rPr>
        <w:t xml:space="preserve">FIG. 24 </w:t>
      </w:r>
      <w:r>
        <w:rPr>
          <w:rFonts w:ascii="Times New Roman" w:hAnsi="Times New Roman"/>
          <w:sz w:val="24"/>
          <w:szCs w:val="24"/>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rPr>
        <w:t xml:space="preserve">FIG. 25 </w:t>
      </w:r>
      <w:r>
        <w:rPr>
          <w:rFonts w:ascii="Times New Roman" w:hAnsi="Times New Roman"/>
          <w:sz w:val="24"/>
          <w:szCs w:val="24"/>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rPr>
        <w:t xml:space="preserve">FIG. 26 </w:t>
      </w:r>
      <w:r>
        <w:rPr>
          <w:rFonts w:ascii="Times New Roman" w:hAnsi="Times New Roman"/>
          <w:sz w:val="24"/>
          <w:szCs w:val="24"/>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rPr>
        <w:t xml:space="preserve">FIG. 27 </w:t>
      </w:r>
      <w:r>
        <w:rPr>
          <w:rFonts w:ascii="Times New Roman" w:hAnsi="Times New Roman"/>
          <w:sz w:val="24"/>
          <w:szCs w:val="24"/>
        </w:rPr>
        <w:t xml:space="preserve">is a block diagram of the seven-stage Speech Output Pipeline.</w:t>
      </w:r>
    </w:p>
    <w:p>
      <w:pPr>
        <w:pStyle w:val="Normal"/>
        <w:spacing w:before="0" w:after="120"/>
        <w:ind w:firstLine="432"/>
        <w:jc w:val="both"/>
      </w:pPr>
      <w:r>
        <w:rPr>
          <w:rFonts w:ascii="Times New Roman" w:hAnsi="Times New Roman"/>
          <w:b/>
          <w:sz w:val="24"/>
          <w:szCs w:val="24"/>
        </w:rPr>
        <w:t xml:space="preserve">FIG. 28 </w:t>
      </w:r>
      <w:r>
        <w:rPr>
          <w:rFonts w:ascii="Times New Roman" w:hAnsi="Times New Roman"/>
          <w:sz w:val="24"/>
          <w:szCs w:val="24"/>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rPr>
        <w:t xml:space="preserve">FIG. 29 </w:t>
      </w:r>
      <w:r>
        <w:rPr>
          <w:rFonts w:ascii="Times New Roman" w:hAnsi="Times New Roman"/>
          <w:sz w:val="24"/>
          <w:szCs w:val="24"/>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rPr>
        <w:t xml:space="preserve">FIG. 30 </w:t>
      </w:r>
      <w:r>
        <w:rPr>
          <w:rFonts w:ascii="Times New Roman" w:hAnsi="Times New Roman"/>
          <w:sz w:val="24"/>
          <w:szCs w:val="24"/>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rPr>
        <w:t xml:space="preserve">FIG. 31 </w:t>
      </w:r>
      <w:r>
        <w:rPr>
          <w:rFonts w:ascii="Times New Roman" w:hAnsi="Times New Roman"/>
          <w:sz w:val="24"/>
          <w:szCs w:val="24"/>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rPr>
        <w:t xml:space="preserve">FIG. 32 </w:t>
      </w:r>
      <w:r>
        <w:rPr>
          <w:rFonts w:ascii="Times New Roman" w:hAnsi="Times New Roman"/>
          <w:sz w:val="24"/>
          <w:szCs w:val="24"/>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rPr>
        <w:t xml:space="preserve">FIG. 33 </w:t>
      </w:r>
      <w:r>
        <w:rPr>
          <w:rFonts w:ascii="Times New Roman" w:hAnsi="Times New Roman"/>
          <w:sz w:val="24"/>
          <w:szCs w:val="24"/>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rPr>
        <w:t xml:space="preserve">FIG. 34 </w:t>
      </w:r>
      <w:r>
        <w:rPr>
          <w:rFonts w:ascii="Times New Roman" w:hAnsi="Times New Roman"/>
          <w:sz w:val="24"/>
          <w:szCs w:val="24"/>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rPr>
        <w:t xml:space="preserve">FIG. 35 </w:t>
      </w:r>
      <w:r>
        <w:rPr>
          <w:rFonts w:ascii="Times New Roman" w:hAnsi="Times New Roman"/>
          <w:sz w:val="24"/>
          <w:szCs w:val="24"/>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rPr>
        <w:t xml:space="preserve">FIG. 36 </w:t>
      </w:r>
      <w:r>
        <w:rPr>
          <w:rFonts w:ascii="Times New Roman" w:hAnsi="Times New Roman"/>
          <w:sz w:val="24"/>
          <w:szCs w:val="24"/>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rPr>
        <w:t xml:space="preserve">FIG. 37 </w:t>
      </w:r>
      <w:r>
        <w:rPr>
          <w:rFonts w:ascii="Times New Roman" w:hAnsi="Times New Roman"/>
          <w:sz w:val="24"/>
          <w:szCs w:val="24"/>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rPr>
        <w:t xml:space="preserve">FIG. 38 </w:t>
      </w:r>
      <w:r>
        <w:rPr>
          <w:rFonts w:ascii="Times New Roman" w:hAnsi="Times New Roman"/>
          <w:sz w:val="24"/>
          <w:szCs w:val="24"/>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rPr>
        <w:t xml:space="preserve">FIG. 39 </w:t>
      </w:r>
      <w:r>
        <w:rPr>
          <w:rFonts w:ascii="Times New Roman" w:hAnsi="Times New Roman"/>
          <w:sz w:val="24"/>
          <w:szCs w:val="24"/>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rPr>
        <w:t xml:space="preserve">FIG. 40 </w:t>
      </w:r>
      <w:r>
        <w:rPr>
          <w:rFonts w:ascii="Times New Roman" w:hAnsi="Times New Roman"/>
          <w:sz w:val="24"/>
          <w:szCs w:val="24"/>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rPr>
        <w:t xml:space="preserve">FIG. 41 </w:t>
      </w:r>
      <w:r>
        <w:rPr>
          <w:rFonts w:ascii="Times New Roman" w:hAnsi="Times New Roman"/>
          <w:sz w:val="24"/>
          <w:szCs w:val="24"/>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rPr>
        <w:t xml:space="preserve">FIG. 42 </w:t>
      </w:r>
      <w:r>
        <w:rPr>
          <w:rFonts w:ascii="Times New Roman" w:hAnsi="Times New Roman"/>
          <w:sz w:val="24"/>
          <w:szCs w:val="24"/>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rPr>
        <w:t xml:space="preserve">FIG. 43 </w:t>
      </w:r>
      <w:r>
        <w:rPr>
          <w:rFonts w:ascii="Times New Roman" w:hAnsi="Times New Roman"/>
          <w:sz w:val="24"/>
          <w:szCs w:val="24"/>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rPr>
        <w:t xml:space="preserve">FIG. 44 </w:t>
      </w:r>
      <w:r>
        <w:rPr>
          <w:rFonts w:ascii="Times New Roman" w:hAnsi="Times New Roman"/>
          <w:sz w:val="24"/>
          <w:szCs w:val="24"/>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rPr>
        <w:t xml:space="preserve">FIG. 45 </w:t>
      </w:r>
      <w:r>
        <w:rPr>
          <w:rFonts w:ascii="Times New Roman" w:hAnsi="Times New Roman"/>
          <w:sz w:val="24"/>
          <w:szCs w:val="24"/>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rPr>
        <w:t xml:space="preserve">FIG. 46 </w:t>
      </w:r>
      <w:r>
        <w:rPr>
          <w:rFonts w:ascii="Times New Roman" w:hAnsi="Times New Roman"/>
          <w:sz w:val="24"/>
          <w:szCs w:val="24"/>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rPr>
        <w:t xml:space="preserve">FIG. 47 </w:t>
      </w:r>
      <w:r>
        <w:rPr>
          <w:rFonts w:ascii="Times New Roman" w:hAnsi="Times New Roman"/>
          <w:sz w:val="24"/>
          <w:szCs w:val="24"/>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rPr>
        <w:t xml:space="preserve">FIG. 48 </w:t>
      </w:r>
      <w:r>
        <w:rPr>
          <w:rFonts w:ascii="Times New Roman" w:hAnsi="Times New Roman"/>
          <w:sz w:val="24"/>
          <w:szCs w:val="24"/>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rPr>
        <w:t xml:space="preserve">FIG. 49 </w:t>
      </w:r>
      <w:r>
        <w:rPr>
          <w:rFonts w:ascii="Times New Roman" w:hAnsi="Times New Roman"/>
          <w:sz w:val="24"/>
          <w:szCs w:val="24"/>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rPr>
        <w:t xml:space="preserve">FIG. 50 </w:t>
      </w:r>
      <w:r>
        <w:rPr>
          <w:rFonts w:ascii="Times New Roman" w:hAnsi="Times New Roman"/>
          <w:sz w:val="24"/>
          <w:szCs w:val="24"/>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rPr>
        <w:t xml:space="preserve">FIG. 51 </w:t>
      </w:r>
      <w:r>
        <w:rPr>
          <w:rFonts w:ascii="Times New Roman" w:hAnsi="Times New Roman"/>
          <w:sz w:val="24"/>
          <w:szCs w:val="24"/>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rPr>
        <w:t xml:space="preserve">FIG. 52 </w:t>
      </w:r>
      <w:r>
        <w:rPr>
          <w:rFonts w:ascii="Times New Roman" w:hAnsi="Times New Roman"/>
          <w:sz w:val="24"/>
          <w:szCs w:val="24"/>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rPr>
        <w:t xml:space="preserve">FIG. 53 </w:t>
      </w:r>
      <w:r>
        <w:rPr>
          <w:rFonts w:ascii="Times New Roman" w:hAnsi="Times New Roman"/>
          <w:sz w:val="24"/>
          <w:szCs w:val="24"/>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rPr>
        <w:t xml:space="preserve">FIG. 54 </w:t>
      </w:r>
      <w:r>
        <w:rPr>
          <w:rFonts w:ascii="Times New Roman" w:hAnsi="Times New Roman"/>
          <w:sz w:val="24"/>
          <w:szCs w:val="24"/>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rPr>
        <w:t xml:space="preserve">FIG. 55 </w:t>
      </w:r>
      <w:r>
        <w:rPr>
          <w:rFonts w:ascii="Times New Roman" w:hAnsi="Times New Roman"/>
          <w:sz w:val="24"/>
          <w:szCs w:val="24"/>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rPr>
        <w:t xml:space="preserve">FIG. 56 </w:t>
      </w:r>
      <w:r>
        <w:rPr>
          <w:rFonts w:ascii="Times New Roman" w:hAnsi="Times New Roman"/>
          <w:sz w:val="24"/>
          <w:szCs w:val="24"/>
        </w:rPr>
        <w:t xml:space="preserve">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pPr>
        <w:pStyle w:val="Normal"/>
        <w:spacing w:before="0" w:after="120"/>
        <w:jc w:val="both"/>
      </w:pPr>
      <w:r>
        <w:rPr>
          <w:rFonts w:ascii="Times New Roman" w:hAnsi="Times New Roman"/>
          <w:i/>
          <w:sz w:val="24"/>
          <w:szCs w:val="24"/>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rPr>
        <w:t xml:space="preserve">[Drafting note: FIG. 56 is added to the drawing set, which now comprises FIG. 1–56, one figure per sheet.]</w:t>
      </w:r>
    </w:p>
    <w:p>
      <w:pPr>
        <w:pStyle w:val="Normal"/>
        <w:spacing w:before="0" w:after="120"/>
        <w:ind w:firstLine="432"/>
        <w:jc w:val="both"/>
      </w:pPr>
      <w:r>
        <w:rPr>
          <w:rFonts w:ascii="Times New Roman" w:hAnsi="Times New Roman"/>
          <w:b/>
          <w:sz w:val="24"/>
          <w:szCs w:val="24"/>
        </w:rPr>
        <w:t xml:space="preserve">FIG. 57 </w:t>
      </w:r>
      <w:r>
        <w:rPr>
          <w:rFonts w:ascii="Times New Roman" w:hAnsi="Times New Roman"/>
          <w:sz w:val="24"/>
          <w:szCs w:val="24"/>
        </w:rPr>
        <w:t xml:space="preserve">is a block diagram of the self-knowledge layer, showing a self-question resolved through a specification index, an evidence-checked implementation map over the program's own source files and self-test results, a status labeller, an aspect describer, a consistency checker and gap agenda, a rule-based answerer with a disclosure filter, and the interfaces through which the answer, with its label and sources, is returned.</w:t>
      </w:r>
    </w:p>
    <w:p>
      <w:pPr>
        <w:pStyle w:val="Normal"/>
        <w:spacing w:before="0" w:after="120"/>
        <w:jc w:val="both"/>
      </w:pPr>
      <w:r>
        <w:rPr>
          <w:rFonts w:ascii="Times New Roman" w:hAnsi="Times New Roman"/>
          <w:i/>
          <w:sz w:val="24"/>
          <w:szCs w:val="24"/>
        </w:rPr>
        <w:t xml:space="preserve">[Drafting note: FIG. 57 is added to the drawing set, which now comprises FIG. 1–57, one figure per sheet. FIG. 57 of this application is the self-knowledge layer and supersedes the earlier draft figure of that number.]</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rPr>
        <w:t xml:space="preserve">7. Support for agent-wrapper services. Services that sit beside an AI agent and check what it says and does — Verified Agent Transport is one — can use QueryBook to check facts, record results and issue session certificates, without ever writing to the knowledge store. See FIG. 56.</w:t>
      </w:r>
    </w:p>
    <w:p>
      <w:pPr>
        <w:pStyle w:val="Normal"/>
        <w:rPr>
          <w:rFonts w:hint="eastAsia"/>
        </w:rPr>
      </w:pPr>
      <w:r>
        <w:rPr>
          <w:rFonts w:ascii="Times New Roman" w:hAnsi="Times New Roman"/>
          <w:color w:val="222222"/>
        </w:rPr>
        <w:t xml:space="preserve">8. Accurate self-knowledge. Asked about itself — what it is, how it reasons, whether it predicts or improves itself — QueryBook answers only from its specification, its own program and its own tests, says for each capability whether it is built or only specified, and names its sources. See FIG. 57.</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rPr>
        <w:t xml:space="preserve">10. Support interfaces for agent-wrapper services (FIG. 56). </w:t>
      </w:r>
      <w:r>
        <w:rPr>
          <w:rFonts w:ascii="Times New Roman" w:hAnsi="Times New Roman"/>
        </w:rPr>
        <w:t xml:space="preserve">An external agent-wrapper service (5690), such as Verified Agent Transport, sits between an AI agent (5695) and its destination (5697) and calls QueryBook support interfaces (5600) under a registered identity. Verification interfaces (5610) comprise a read-only claim verification endpoint (5612) that returns verified, contradicted or unknown with a citation; a contradiction query template (5614) matching the same subject and predicate with a conflicting value; a fingerprint-only mode (5616) in which claim text never leaves the caller; and triple extraction with assertion-type labels (5618) distinguishing fact from opinion, plan and prediction. Transport interfaces (5620) reserve frame message types 16–31 for extensions (5622), reserve a header flag and define the reserved field as a session number and hop count (5624), and add a Python frame codec with QUIC lanes and TLS fallback (5626) and have/want fingerprint reconciliation (5628). Record and certificate interfaces (5630) sign verdicts with a published key (5632), accept appends from registered services to the security log (5634), compute a Merkle root and proofs over one session's entries (5636), and provide a third-party session certificate type (5638). Governance interfaces (5640) register wrapper services (5642), export signed policy bundles (5644), expose pre-call and post-call hooks and a hash of each tool result record in the tool server (5646), and keep an evidence pair per agent as a reputation (5648). These interfaces rest on the Fact Unit store and FQL (5650), the security log (5660), certificates (5670), the Agent Gateway and MCP server (5680) and the framed hybrid transport (5685). Verification is read-only and records are append-only: a wrapper service never writes Fact Units.</w:t>
      </w:r>
    </w:p>
    <w:p>
      <w:pPr>
        <w:pStyle w:val="Normal"/>
        <w:spacing w:before="0" w:after="60"/>
        <w:rPr>
          <w:rFonts w:ascii="Times New Roman" w:hAnsi="Times New Roman"/>
        </w:rPr>
      </w:pPr>
      <w:r>
        <w:rPr>
          <w:rFonts w:ascii="Times New Roman" w:hAnsi="Times New Roman"/>
          <w:b/>
        </w:rPr>
        <w:t xml:space="preserve">11. Status. </w:t>
      </w:r>
      <w:r>
        <w:rPr>
          <w:rFonts w:ascii="Times New Roman" w:hAnsi="Times New Roman"/>
        </w:rPr>
        <w:t xml:space="preserve">The support interfaces of FIG. 56 are specified in this application and are not yet implemented; no performance figures are asserted for them.</w:t>
      </w:r>
    </w:p>
    <w:p>
      <w:pPr>
        <w:pStyle w:val="Normal"/>
        <w:spacing w:before="0" w:after="60"/>
        <w:rPr>
          <w:rFonts w:ascii="Times New Roman" w:hAnsi="Times New Roman"/>
        </w:rPr>
      </w:pPr>
      <w:r>
        <w:rPr>
          <w:rFonts w:ascii="Times New Roman" w:hAnsi="Times New Roman"/>
          <w:b/>
        </w:rPr>
        <w:t xml:space="preserve">12. Self-Knowledge Layer (FIG. 57). </w:t>
      </w:r>
      <w:r>
        <w:rPr>
          <w:rFonts w:ascii="Times New Roman" w:hAnsi="Times New Roman"/>
        </w:rPr>
        <w:t xml:space="preserve">A self-question (5700) from a user, the assistant or an application is received by the self-knowledge layer (5705). A specification index (5710) holds the numbered sections of the specification and resolves the question to the sections that specify the capability asked about. An implementation map (5720) holds, for each section and each reasoning aspect, evidence pairs consisting of a source file and a symbol that must appear in it; the pairs are checked against the program's own source files (5795) at the moment of use, the files being read as text and not executed, and the host application's self-test and measurement results (5797) are attached as further evidence. A status labeller (5730) assigns exactly one of the labels built and tested, partly built, specified and not yet built, not planned by design, and not in this application; a capability is labelled built only when all of its evidence is present. An aspect describer (5740) describes reasoning aspects — deterministic reasoning, atomic Fact Units, world model, predictive cognition, neuromorphic layer, hypothesis generation, simulation, deduction, feedback loops, supervised self-improvement, recursive self-improvement and self-knowledge — at selectable levels of detail. A consistency checker (5750) reports as a contradiction any claim labelled built whose evidence is missing, and any capability labelled specified whose implementation names are found in the program; a contradicted claim is withheld. A gap agenda (5760) lists the specified and partly built sections with their nearest built components. A rule-based answerer (5770) composes the answer with its label, section numbers and file-and-symbol sources, and a disclosure filter (5780) removes anything resembling a key or credential. Interfaces (5790) expose the summary and single answers to applications, a self-knowledge page and an administrative panel. No language model is used: the same question about the same program gives the same answer.</w:t>
      </w:r>
    </w:p>
    <w:p>
      <w:pPr>
        <w:pStyle w:val="Normal"/>
        <w:spacing w:before="0" w:after="60"/>
        <w:rPr>
          <w:rFonts w:ascii="Times New Roman" w:hAnsi="Times New Roman"/>
        </w:rPr>
      </w:pPr>
      <w:r>
        <w:rPr>
          <w:rFonts w:ascii="Times New Roman" w:hAnsi="Times New Roman"/>
          <w:b/>
        </w:rPr>
        <w:t xml:space="preserve">13. Status. </w:t>
      </w:r>
      <w:r>
        <w:rPr>
          <w:rFonts w:ascii="Times New Roman" w:hAnsi="Times New Roman"/>
        </w:rPr>
        <w:t xml:space="preserve">The self-knowledge layer of FIG. 57 is implemented in prototype v9.64 and in the shared core of the Language, STEM, History and News and Control Panel applications, and is exercised by their self-tests.</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t xml:space="preserve">Referring to FIG. 56: the support interfaces extend the governance domain's boundary services. An external agent-wrapper service is a registered caller of the system, never a domain of it; it reads through the verification interfaces and appends to the security record under its own identity.</w:t>
      </w:r>
    </w:p>
    <w:p>
      <w:pPr>
        <w:pStyle w:val="Normal"/>
        <w:jc w:val="both"/>
        <w:rPr/>
      </w:pPr>
      <w:r>
        <w:rPr/>
        <w:t xml:space="preserve">Referring to FIG. 57: the self-knowledge layer is a read-only governance service. It reads the specification index, the program's own source files and the self-test results, and it never changes the program, the store or any setting; improvements it identifies pass through the existing approval gates.</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rPr>
        <w:t xml:space="preserve">355.  </w:t>
      </w:r>
      <w:r>
        <w:rPr/>
        <w:t xml:space="preserve">The method of claim 1, further comprising providing, to an external service interposed between an artificial-intelligence agent and a network, a read-only verification interface that receives a candidate knowledge record or its semantic fingerprint and returns a signed verdict of verified, contradicted or unknown, said verdict being determined by fingerprint lookup among certified records and, absent a match, by a query for certified records having the same subject and predicate and a conflicting value.</w:t>
      </w:r>
    </w:p>
    <w:p>
      <w:pPr>
        <w:pStyle w:val="Normal"/>
        <w:spacing w:before="0" w:after="100"/>
        <w:ind w:firstLine="432"/>
        <w:jc w:val="both"/>
        <w:rPr>
          <w:rFonts w:hint="eastAsia"/>
        </w:rPr>
      </w:pPr>
      <w:r>
        <w:rPr>
          <w:b/>
        </w:rPr>
        <w:t xml:space="preserve">356.  </w:t>
      </w:r>
      <w:r>
        <w:rPr/>
        <w:t xml:space="preserve">The method of claim 355, further comprising reserving a range of frame message types and a header flag of the framed transport for said external service, and accepting from said service, under a registered identity, appends to the hash-chained security record, from which a Merkle root over the entries of one session is computed and sealed as a session certificate verifiable by any party.</w:t>
      </w:r>
    </w:p>
    <w:p>
      <w:pPr>
        <w:pStyle w:val="Normal"/>
        <w:spacing w:before="0" w:after="100"/>
        <w:ind w:firstLine="432"/>
        <w:jc w:val="both"/>
        <w:rPr>
          <w:rFonts w:hint="eastAsia"/>
        </w:rPr>
      </w:pPr>
      <w:r>
        <w:rPr>
          <w:b/>
        </w:rPr>
        <w:t xml:space="preserve">357.  </w:t>
      </w:r>
      <w:r>
        <w:rPr/>
        <w:t xml:space="preserve">The method of claim 355, wherein said external service is registered through the agent gateway with read-only verification rights and append-only record rights, receives signed policy bundles, and observes tool calls and hashed tool result records through hooks of the tool server, and wherein said service is never permitted to write knowledge records.</w:t>
      </w:r>
    </w:p>
    <w:p>
      <w:pPr>
        <w:pStyle w:val="Normal"/>
        <w:spacing w:before="0" w:after="120"/>
        <w:jc w:val="both"/>
      </w:pPr>
      <w:r>
        <w:rPr>
          <w:rFonts w:ascii="Times New Roman" w:hAnsi="Times New Roman"/>
          <w:i/>
          <w:sz w:val="24"/>
          <w:szCs w:val="24"/>
        </w:rPr>
        <w:t xml:space="preserve">[Drafting note: claims 355–357 are added for support of external agent-wrapper services (FIG. 56); the claim count in the Claim Set heading is to be read as 357.]</w:t>
      </w:r>
    </w:p>
    <w:p>
      <w:pPr>
        <w:pStyle w:val="Normal"/>
        <w:spacing w:before="0" w:after="100"/>
        <w:ind w:firstLine="432"/>
        <w:jc w:val="both"/>
        <w:rPr>
          <w:rFonts w:hint="eastAsia"/>
        </w:rPr>
      </w:pPr>
      <w:r>
        <w:rPr>
          <w:b/>
        </w:rPr>
        <w:t xml:space="preserve">358.  </w:t>
      </w:r>
      <w:r>
        <w:rPr/>
        <w:t xml:space="preserve">The method of claim 1, further comprising receiving a question about a capability of the system itself; resolving the question to one or more numbered sections of a specification of the system; retrieving, for said capability, evidence pairs each comprising a source file of the system and a symbol required to appear therein; checking each evidence pair against the source files of the running system at the time of the question; and returning an answer comprising a status label selected from built, partly built, specified and not yet built, not planned, and not present, together with the section numbers and the evidence pairs as sources.</w:t>
      </w:r>
    </w:p>
    <w:p>
      <w:pPr>
        <w:pStyle w:val="Normal"/>
        <w:spacing w:before="0" w:after="100"/>
        <w:ind w:firstLine="432"/>
        <w:jc w:val="both"/>
        <w:rPr>
          <w:rFonts w:hint="eastAsia"/>
        </w:rPr>
      </w:pPr>
      <w:r>
        <w:rPr>
          <w:b/>
        </w:rPr>
        <w:t xml:space="preserve">359.  </w:t>
      </w:r>
      <w:r>
        <w:rPr/>
        <w:t xml:space="preserve">The method of claim 358, wherein a capability is labelled built only when every evidence pair for it is present, and wherein a capability declared built or partly built for which an evidence pair is absent is reported as a contradiction and its description is withheld from the answer.</w:t>
      </w:r>
    </w:p>
    <w:p>
      <w:pPr>
        <w:pStyle w:val="Normal"/>
        <w:spacing w:before="0" w:after="100"/>
        <w:ind w:firstLine="432"/>
        <w:jc w:val="both"/>
        <w:rPr>
          <w:rFonts w:hint="eastAsia"/>
        </w:rPr>
      </w:pPr>
      <w:r>
        <w:rPr>
          <w:b/>
        </w:rPr>
        <w:t xml:space="preserve">360.  </w:t>
      </w:r>
      <w:r>
        <w:rPr/>
        <w:t xml:space="preserve">The method of claim 358, further comprising searching the source files for implementation names of each capability declared specified and not yet built, and reporting a contradiction when such a name is found, whereby the self-description is corrected when the implementation advances beyond it.</w:t>
      </w:r>
    </w:p>
    <w:p>
      <w:pPr>
        <w:pStyle w:val="Normal"/>
        <w:spacing w:before="0" w:after="100"/>
        <w:ind w:firstLine="432"/>
        <w:jc w:val="both"/>
        <w:rPr>
          <w:rFonts w:hint="eastAsia"/>
        </w:rPr>
      </w:pPr>
      <w:r>
        <w:rPr>
          <w:b/>
        </w:rPr>
        <w:t xml:space="preserve">361.  </w:t>
      </w:r>
      <w:r>
        <w:rPr/>
        <w:t xml:space="preserve">The method of claim 358, wherein the answer is composed by fixed rules without a language model such that the same question about the same program yields the same answer; wherein the source files are read as text without being executed; and wherein any portion of the answer resembling a key or credential is removed before the answer is returned.</w:t>
      </w:r>
    </w:p>
    <w:p>
      <w:pPr>
        <w:pStyle w:val="Normal"/>
        <w:spacing w:before="0" w:after="100"/>
        <w:ind w:firstLine="432"/>
        <w:jc w:val="both"/>
        <w:rPr>
          <w:rFonts w:hint="eastAsia"/>
        </w:rPr>
      </w:pPr>
      <w:r>
        <w:rPr>
          <w:b/>
        </w:rPr>
        <w:t xml:space="preserve">362.  </w:t>
      </w:r>
      <w:r>
        <w:rPr/>
        <w:t xml:space="preserve">The method of claim 358, further comprising describing reasoning aspects of the system, including deterministic reasoning, atomic knowledge records, a world model, predictive cognition, a neuromorphic layer, hypothesis generation, simulation, deduction, feedback loops and self-improvement, each with its status label and sources; listing the sections specified but not built as a development agenda; and reporting any self-modification of the system without an administrator's approval as not provided.</w:t>
      </w:r>
    </w:p>
    <w:p>
      <w:pPr>
        <w:pStyle w:val="Normal"/>
        <w:spacing w:before="0" w:after="120"/>
        <w:jc w:val="both"/>
      </w:pPr>
      <w:r>
        <w:rPr>
          <w:rFonts w:ascii="Times New Roman" w:hAnsi="Times New Roman"/>
          <w:i/>
          <w:sz w:val="24"/>
          <w:szCs w:val="24"/>
        </w:rPr>
        <w:t xml:space="preserve">[Drafting note: claims 358–362 are added for the self-knowledge layer (FIG. 57); the claim count in the Claim Set heading is to be read as 362.]</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