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60"/>
      </w:pPr>
      <w:r>
        <w:t xml:space="preserve">QueryBook — Prototype ↔ Bible/Registry Synchronization Report</w:t>
      </w:r>
    </w:p>
    <w:p>
      <w:pPr>
        <w:spacing w:after="120"/>
      </w:pPr>
      <w:r>
        <w:t xml:space="preserve">Prototype </w:t>
      </w:r>
      <w:r>
        <w:rPr>
          <w:b/>
          <w:bCs/>
        </w:rPr>
        <w:t xml:space="preserve">v9.56</w:t>
      </w:r>
      <w:r>
        <w:t xml:space="preserve"> · 2026-10-02 · generated from the live feature manifest (</w:t>
      </w:r>
      <w:r>
        <w:rPr>
          <w:rFonts w:ascii="Consolas" w:cs="Consolas" w:eastAsia="Consolas" w:hAnsi="Consolas"/>
          <w:sz w:val="20"/>
          <w:szCs w:val="20"/>
        </w:rPr>
        <w:t xml:space="preserve">qb_features</w:t>
      </w:r>
      <w:r>
        <w:t xml:space="preserve">).</w:t>
      </w:r>
    </w:p>
    <w:p>
      <w:pPr>
        <w:pStyle w:val="Heading1"/>
        <w:spacing w:after="90" w:before="220"/>
      </w:pPr>
      <w:r>
        <w:t xml:space="preserve">Result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34 subsystems</w:t>
      </w:r>
      <w:r>
        <w:t xml:space="preserve"> cataloged; </w:t>
      </w:r>
      <w:r>
        <w:rPr>
          <w:b/>
          <w:bCs/>
        </w:rPr>
        <w:t xml:space="preserve">34 live</w:t>
      </w:r>
      <w:r>
        <w:t xml:space="preserve"> — 100% in sync.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Editions: light 4 · medium 19 · full 30 features.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Registry coverage (enumerated [001]–[226]): </w:t>
      </w:r>
      <w:r>
        <w:rPr>
          <w:b/>
          <w:bCs/>
        </w:rPr>
        <w:t xml:space="preserve">100 Included · 30 Partial · 96 Missing</w:t>
      </w:r>
      <w:r>
        <w:t xml:space="preserve"> (up from 75/31/120).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This pass built the Education UI subsystems (Learner, Educator, Collaboration) and the multi-tenant SaaS admin console — the audit's largest former Missing block.</w:t>
      </w:r>
    </w:p>
    <w:p>
      <w:pPr>
        <w:pStyle w:val="Heading1"/>
        <w:spacing w:after="90" w:before="220"/>
      </w:pPr>
      <w:r>
        <w:t xml:space="preserve">Traceability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8"/>
      </w:tblGrid>
      <w:tr>
        <w:trPr>
          <w:tblHeader/>
        </w:trPr>
        <w:tc>
          <w:tcPr>
            <w:tcW w:type="dxa" w:w="1337"/>
            <w:shd w:fill="E7F1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Subsystem</w:t>
            </w:r>
          </w:p>
        </w:tc>
        <w:tc>
          <w:tcPr>
            <w:tcW w:type="dxa" w:w="1337"/>
            <w:shd w:fill="E7F1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System</w:t>
            </w:r>
          </w:p>
        </w:tc>
        <w:tc>
          <w:tcPr>
            <w:tcW w:type="dxa" w:w="1337"/>
            <w:shd w:fill="E7F1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Registry</w:t>
            </w:r>
          </w:p>
        </w:tc>
        <w:tc>
          <w:tcPr>
            <w:tcW w:type="dxa" w:w="1337"/>
            <w:shd w:fill="E7F1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Module(s)</w:t>
            </w:r>
          </w:p>
        </w:tc>
        <w:tc>
          <w:tcPr>
            <w:tcW w:type="dxa" w:w="1337"/>
            <w:shd w:fill="E7F1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Endpoint</w:t>
            </w:r>
          </w:p>
        </w:tc>
        <w:tc>
          <w:tcPr>
            <w:tcW w:type="dxa" w:w="1337"/>
            <w:shd w:fill="E7F1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Page</w:t>
            </w:r>
          </w:p>
        </w:tc>
        <w:tc>
          <w:tcPr>
            <w:tcW w:type="dxa" w:w="1338"/>
            <w:shd w:fill="E7F1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Live</w:t>
            </w:r>
          </w:p>
        </w:tc>
      </w:tr>
      <w:t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Q&amp;A / direct Fact-Unit ingestion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ingestion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1 (ingestion)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ufcs_store,qb_language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/api/language/ingest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—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Web harvester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ingestion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qb_web_harvest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/api/harvest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/ingest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Language ingestion (SLPL/LEL Phases 1–4)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ingestion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[178]-[198]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qb_language,qb_agents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/api/language/teach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/language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Deterministic domains (math/geometry/arithmetic)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ingestion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domains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ufcs_store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/api/harvest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/ingest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History domain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ingestion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23 (ingest ladder)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ufcs_store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/api/ingest/strategy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/ingest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News domain (sample seed; web-driven)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ingestion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23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ufcs_store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/api/ingest/strategy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/ingest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Culture domain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ingestion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23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ufcs_store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/api/ingest/strategy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/ingest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Art domain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ingestion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23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ufcs_store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/api/ingest/strategy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/ingest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Staged, automated ingestion ladder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ingestion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Two-System Arch.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qb_ingest_strategy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/api/ingest/strategy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/ingest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Cited chat (grounded or UNKNOWN)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query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[156]-[165]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qb_chat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/api/chat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/chat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FQL query + Fact-Unit lookup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query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[062]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ufcs_store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/api/fql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/chat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Query understanding (entities/predicate/intent/expansion)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query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[059]-[067]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qb_query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/api/query/understand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—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Language: translate, detect, pronounce, speak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query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[193]-[197]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qb_language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/api/language/translate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/language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Scene Director (QueryBook→Gemini adapter)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query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Scene Director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qb_gemini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/api/director/render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/director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Scene Reconstructor (prose→director-controlled clip)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query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[220]-[226]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qb_scene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/api/scene/render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/reconstructor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Voice Lab (two-way voice, tone, matching)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query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LIL/PIL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qb_lil,qb_pil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/api/pil/analyze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/voice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Dialect Parameter Clusters (6 dialects)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language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Dialect Support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qb_dialect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/api/language/dialects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/language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Cloud neural voices (Google/ElevenLabs) + cloning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language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[195]-[196]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qb_language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/api/language/voices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/language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LIL voiceprint (enroll/match/authenticate, consent-gated)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identity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[199]-[203]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qb_lil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/api/lil/enroll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/voice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PIL paralinguistics + pragmatic interpretation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identity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[210]-[214]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qb_pil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/api/pil/analyze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/voice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Learner / Reader experience (lessons, quiz, mastery)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education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[081]-[096],[119]-[130]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qb_education,qb_assess,qb_ontology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/api/edu/lesson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/learn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Educator analytics dashboard (class/cohort mastery)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education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[131]-[145]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qb_education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/api/edu/class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/educator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Collaboration workspace (annotations/threads/resources)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education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[146]-[155]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qb_collab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/api/collab/resource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/collab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Ontology / concept graph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knowledge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[068]-[080]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qb_ontology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/api/ontology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—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Assessment + study-guide generator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knowledge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[081]-[096]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qb_assess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/api/assess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—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Licensing &amp; rights gate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integrity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[097]-[108]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qb_rights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/api/rights/grant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—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Provenance ledger + UIAS (seal/similarity/proof)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integrity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[109]-[118],[204]-[209]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qb_integrity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/api/integrity/seal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—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Middleware provenance firewall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integrity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AI embodiment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qb_middleware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/api/middleware/verify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—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Webhook registry (deployment)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integrity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[177]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qb_api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/api/webhooks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—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Reasoning / hypothesis / simulation / planner agents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reasoning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[186]-[189]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qb_agents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/api/agents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/dashboard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Editions (light/medium/full)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platform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Two-System Arch.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qb_editions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/api/edition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Embodiments (chatbot/engine/CLI/library/MCP/middleware/SDK)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platform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Two-System Arch.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qb_embodiment,qb_mcp,qb-client.js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/api/embodiments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Two-system home (Ingestion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Query)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platform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Two-System Arch.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qb_api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/api/system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</w:t>
            </w:r>
          </w:p>
        </w:tc>
      </w:tr>
      <w:tr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Multi-tenant SaaS admin (tenants/users/roles/usage/plans)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platform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[097]-[108],[173]-[177] (SaaS)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qb_saas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/api/saas/tenant</w:t>
            </w:r>
          </w:p>
        </w:tc>
        <w:tc>
          <w:tcPr>
            <w:tcW w:type="dxa" w:w="133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/admin</w:t>
            </w:r>
          </w:p>
        </w:tc>
        <w:tc>
          <w:tcPr>
            <w:tcW w:type="dxa" w:w="13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t xml:space="preserve">✅</w:t>
            </w:r>
          </w:p>
        </w:tc>
      </w:tr>
    </w:tbl>
    <w:p>
      <w:pPr>
        <w:spacing w:after="120"/>
      </w:pPr>
    </w:p>
    <w:p>
      <w:pPr>
        <w:pStyle w:val="Heading1"/>
        <w:spacing w:after="90" w:before="220"/>
      </w:pPr>
      <w:r>
        <w:t xml:space="preserve">Canon in sync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Registry: docs/QueryBook-Registry-Updated.txt + .docx — through [231], count 235.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Bible: docs/QueryBook-Bible-Updated.html + .docx — amendment Education &amp; Multi-Tenant SaaS (2026-10-02).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Audit: QueryBook-Prototype-Registry-Audit.xlsx + ...-Checklist.docx (v9.56, Included 100/226).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Live manifest: qb_features.py @ /api/features; Home capability catalog.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2026-10-02T12:38:59.325Z</dcterms:created>
  <dcterms:modified xsi:type="dcterms:W3CDTF">2026-10-02T12:38:59.326Z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