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System Overview</w:t>
      </w:r>
    </w:p>
    <w:p>
      <w:pPr>
        <w:spacing w:after="320"/>
      </w:pPr>
      <w:r>
        <w:rPr>
          <w:i/>
          <w:iCs/>
          <w:color w:val="5F5952"/>
          <w:sz w:val="20"/>
          <w:szCs w:val="20"/>
        </w:rPr>
        <w:t xml:space="preserve">Generated from the Expanded Core Technology Section, revision 2, August 26, 2026 · Companion review draft · Not yet adopted into the provisional patent application</w:t>
      </w:r>
    </w:p>
    <w:p>
      <w:pPr>
        <w:pStyle w:val="Heading1"/>
        <w:spacing w:after="180" w:before="360"/>
      </w:pPr>
      <w:r>
        <w:rPr>
          <w:b/>
          <w:bCs/>
          <w:color w:val="1A1714"/>
          <w:sz w:val="30"/>
          <w:szCs w:val="30"/>
        </w:rPr>
        <w:t xml:space="preserve">1.  Purpose and Character of the System</w:t>
      </w:r>
    </w:p>
    <w:p>
      <w:pPr>
        <w:spacing w:after="180" w:line="300"/>
      </w:pPr>
      <w:r>
        <w:rPr>
          <w:color w:val="1A1714"/>
          <w:sz w:val="22"/>
          <w:szCs w:val="22"/>
        </w:rPr>
        <w:t xml:space="preserve">QueryBook is a deterministic world-model cognitive engine: a fact-grounded knowledge system that transforms any book, document, video, manual, or digital resource into a living, interactive intelligence operating entirely within the content its user already owns. It is not a large language model, not a chatbot, not a retrieval-augmented generation pipeline, not an agent framework, and not a probabilistic question-and-answer engine. Its answers are not produced by token prediction or statistical next-token generation. Where a language model generates text by predicting the next word and has no native mechanism to distinguish a well-supported answer from a plausible-sounding one, QueryBook converts input into structured knowledge records and constrains generation to vocabulary traceable to those records, so that an ungrounded assertion is structurally unavailable to the generation process rather than merely statistically discouraged. Every output the system produces is grounded in cryptographically verifiable records carrying provenance, confidence, temporal anchoring, and safety classification, and every answer can be traced, record by record, to the source content that supports it.</w:t>
      </w:r>
    </w:p>
    <w:p>
      <w:pPr>
        <w:spacing w:after="180" w:line="300"/>
      </w:pPr>
      <w:r>
        <w:rPr>
          <w:color w:val="1A1714"/>
          <w:sz w:val="22"/>
          <w:szCs w:val="22"/>
        </w:rPr>
        <w:t xml:space="preserve">The system is organized as four progressive capability levels, each built on the level beneath it. Level One is the core technology: Fact Unit deterministic reasoning, the substrate on which everything else stands. Level Two is Conceptual AI: the World-View perspective, in which the system forms concepts from experience rather than storing examples. Level Three is Integrative Intelligence: human-like reasoning, prediction, and cross-domain synthesis. Level Four is Autonomous Cognitive Evolution: governed self-improvement under a non-bypassable human gate. The sections below walk through the architecture in that order, then through the flow of information, the safety and governance structure, rights and security, and deployment.</w:t>
      </w:r>
    </w:p>
    <w:p>
      <w:pPr>
        <w:pStyle w:val="Heading1"/>
        <w:spacing w:after="180" w:before="360"/>
      </w:pPr>
      <w:r>
        <w:rPr>
          <w:b/>
          <w:bCs/>
          <w:color w:val="1A1714"/>
          <w:sz w:val="30"/>
          <w:szCs w:val="30"/>
        </w:rPr>
        <w:t xml:space="preserve">2.  The Knowledge Substrate — Level One</w:t>
      </w:r>
    </w:p>
    <w:p>
      <w:pPr>
        <w:spacing w:after="180" w:line="300"/>
      </w:pPr>
      <w:r>
        <w:rPr>
          <w:color w:val="1A1714"/>
          <w:sz w:val="22"/>
          <w:szCs w:val="22"/>
        </w:rPr>
        <w:t xml:space="preserve">The fundamental data primitive of the system is the Fact Unit: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below the level of language, as a structured, language-agnostic semantic unit anchored to a language-independent semantic fingerprint, together with contextual metadata, exceptions, semantic lineage, multimodal attachments, temporal anchors, a safety classification, and weighted semantic edges connecting it to other units. Because meaning is stored beneath language, the same knowledge substrate serves query and response generation in any language without per-language re-ingestion, and the system stores what something is rather than how it was written.</w:t>
      </w:r>
    </w:p>
    <w:p>
      <w:pPr>
        <w:spacing w:after="180" w:line="300"/>
      </w:pPr>
      <w:r>
        <w:rPr>
          <w:color w:val="1A1714"/>
          <w:sz w:val="22"/>
          <w:szCs w:val="22"/>
        </w:rPr>
        <w:t xml:space="preserve">Confidence in the substrate is not a scalar. Each record maintains a pair of evidence parameters, one accumulating evidence supporting the assertion and one accumulating evidence contradicting it, with the reported confidence being their ratio and their sum constituting the evidential weight from which a credible interval is computed. Contributed weight is attributed across registered source classes, yielding a diversity measure that distinguishes twenty confirmations from one source from twenty spread across five. Fact Units are woven into a worldview hypergraph representing ontology, causality, temporality, spatial relationships, multimodal meaning, and cross-domain conceptual structure, and every concept and predicate in that graph is governed by the Ontology Mesh, which provides poly-hierarchical classification, a fixed upper ontology extended by federated and steward-governed domain ontologies, a governed predicate catalog with immutable identifiers, and backward-compatible versioning under which no update retroactively invalidates or silently reinterprets an existing record. Every record’s derivation is written to a provenance ledger implemented as a signed, tamper-evident chain, verifiable by a third party without access to the system that produced it.</w:t>
      </w:r>
    </w:p>
    <w:p>
      <w:pPr>
        <w:spacing w:after="180" w:line="300"/>
      </w:pPr>
      <w:r>
        <w:rPr>
          <w:color w:val="1A1714"/>
          <w:sz w:val="22"/>
          <w:szCs w:val="22"/>
        </w:rPr>
        <w:t xml:space="preserve">Reasoning over this substrate is a single deterministic convergence process. The Neuromorphic Cognitive Layer stabilizes retrieval through a continuous-valued associative memory network that iteratively updates a candidate activation set until it reaches a stable state, resolving an ambiguous query to its best-supported interpretation. Its weight updating is Hebbian, deterministic, and auditable rather than fitted by gradient descent; termination follows from energy descent; the network operates at a conservative ceiling below its named capacity boundary; and a deployment may elect a unique-equilibrium regime under which the converged state is independent of the starting configuration, with every output disclosing which regime produced it. Determinism itself is testable rather than asserted: a context key computed over eight enumerated locked dimensions accompanies every output, identical keys requiring identical outputs, so that any difference under an identical key is a defect and any difference under differing keys is a difference of context.</w:t>
      </w:r>
    </w:p>
    <w:p>
      <w:pPr>
        <w:pStyle w:val="Heading1"/>
        <w:spacing w:after="180" w:before="360"/>
      </w:pPr>
      <w:r>
        <w:rPr>
          <w:b/>
          <w:bCs/>
          <w:color w:val="1A1714"/>
          <w:sz w:val="30"/>
          <w:szCs w:val="30"/>
        </w:rPr>
        <w:t xml:space="preserve">3.  The Conceptual Layer — Level Two</w:t>
      </w:r>
    </w:p>
    <w:p>
      <w:pPr>
        <w:spacing w:after="180" w:line="300"/>
      </w:pPr>
      <w:r>
        <w:rPr>
          <w:color w:val="1A1714"/>
          <w:sz w:val="22"/>
          <w:szCs w:val="22"/>
        </w:rPr>
        <w:t xml:space="preserve">Above the substrate, the World-View Model provides the system’s understanding of how the world works. It is a repository for hypergraph concept models of objects, states, transitions, physics, and tasks, storing the rules, schemas, and dynamics of reality while erasing the specific episodes from which the concepts were learned. Fact Units are the facts; the World-View Model is the understanding of how those facts behave. It comprises an ontological hierarchy, a causal graph, a temporal model, a semantic consistency engine validating non-contradiction and temporal alignment across the knowledge graph, and versioning of the world model itself. A physics-aligned constraint layer registers governing physical constraints with closed-form residual expressions, tolerances, and applicability predicates, and a candidate completion that violates an applicable constraint is excluded at any score, a gap being preferred to an impossible completion.</w:t>
      </w:r>
    </w:p>
    <w:p>
      <w:pPr>
        <w:spacing w:after="180" w:line="300"/>
      </w:pPr>
      <w:r>
        <w:rPr>
          <w:color w:val="1A1714"/>
          <w:sz w:val="22"/>
          <w:szCs w:val="22"/>
        </w:rPr>
        <w:t xml:space="preserve">The conceptual layer learns the way people do: perception first, language later. Sensory input across the system’s eight ingestion modalities builds experiences of objects and events before any language label attaches, and noise-elimination processes distill repeated episodes into stable abstractions, so the system learns concepts rather than examples. Procedural knowledge, how to perform tasks, manipulate objects, and execute multi-step operations, is held in the Skill Inventory Layer, and skills in mathematics, chemistry, physics, and engineering are acquired through perceptual and procedural experience, including experience ingested from video. Abstract conceptual memory forms as World Brain concept nodes, extracting invariant properties across many examples and consolidating on a count, within the dual architecture that separates the work-specific, language-anchored Semantic Brain from the domain-general, language-agnostic World Brain.</w:t>
      </w:r>
    </w:p>
    <w:p>
      <w:pPr>
        <w:pStyle w:val="Heading1"/>
        <w:spacing w:after="180" w:before="360"/>
      </w:pPr>
      <w:r>
        <w:rPr>
          <w:b/>
          <w:bCs/>
          <w:color w:val="1A1714"/>
          <w:sz w:val="30"/>
          <w:szCs w:val="30"/>
        </w:rPr>
        <w:t xml:space="preserve">4.  Integrative Intelligence — Level Three</w:t>
      </w:r>
    </w:p>
    <w:p>
      <w:pPr>
        <w:spacing w:after="180" w:line="300"/>
      </w:pPr>
      <w:r>
        <w:rPr>
          <w:color w:val="1A1714"/>
          <w:sz w:val="22"/>
          <w:szCs w:val="22"/>
        </w:rPr>
        <w:t xml:space="preserve">The third level adds human-like reasoning. A Predictive Cognitive Architecture organizes fifteen coordinated prediction mechanisms, eight arising in existing subsystems, four additions, and three amplifications, into a structural correspondence with the neuroscience frameworks of Predictive Coding and the Thousand Brains Theory of Intelligence, predicting at the level of semantic meaning, the next needed knowledge record, rather than linguistic surface form. Forward simulation reasons through causal and logical chains; counterfactual simulation represents hypotheticals as deltas over the base knowledge state; anticipatory pre-retrieval stages the records a reader is likely to need next; and competitive candidate resolution activates mutually inconsistent interpretations together and suppresses them in proportion to their competitors’ support until the best-supported interpretation survives, an unresolved tie producing a clarification request rather than an arbitrary selection.</w:t>
      </w:r>
    </w:p>
    <w:p>
      <w:pPr>
        <w:spacing w:after="180" w:line="300"/>
      </w:pPr>
      <w:r>
        <w:rPr>
          <w:color w:val="1A1714"/>
          <w:sz w:val="22"/>
          <w:szCs w:val="22"/>
        </w:rPr>
        <w:t xml:space="preserve">Around that predictive core, a perspective-modeling layer models other minds and intent, enabling empathy and social reasoning; a self-model layer tracks the system’s own knowledge, limits, and internal state, enabling introspection and self-correction; an analogy engine maps structure across domains, enabling creativity and generalization; and emotional-context modeling interprets user intent, social cues, ergonomic comfort, and contextual appropriateness within strict consent boundaries, with affect carried as a declared parameter and never inferred from behavior. The Neuro-Symbolic Integration Layer merges neural-style perception with symbolic reasoning; the Hypergraph Reasoning Layer connects multi-domain concepts for cross-domain synthesis; the Concept Compression Layer performs noise elimination and abstraction; and Baconian reasoning joins the system’s Aristotelian logic through a feedback loop that admits real-world outcomes as attributed evidence, governed by a formal gate under which deduction may write to the knowledge store while induction and abduction may only adjust confidence or emit proposals. Long-term concept consolidation operates as the system’s equivalent of sleep, compressing concepts, strengthening stable relationships, and resolving contradictions during consolidation cycles.</w:t>
      </w:r>
    </w:p>
    <w:p>
      <w:pPr>
        <w:pStyle w:val="Heading1"/>
        <w:spacing w:after="180" w:before="360"/>
      </w:pPr>
      <w:r>
        <w:rPr>
          <w:b/>
          <w:bCs/>
          <w:color w:val="1A1714"/>
          <w:sz w:val="30"/>
          <w:szCs w:val="30"/>
        </w:rPr>
        <w:t xml:space="preserve">5.  Autonomous Cognitive Evolution — Level Four</w:t>
      </w:r>
    </w:p>
    <w:p>
      <w:pPr>
        <w:spacing w:after="180" w:line="300"/>
      </w:pPr>
      <w:r>
        <w:rPr>
          <w:color w:val="1A1714"/>
          <w:sz w:val="22"/>
          <w:szCs w:val="22"/>
        </w:rPr>
        <w:t xml:space="preserve">The fourth level makes the system self-improving without making it self-modifying. A Meta-Learning Layer learns how to learn; a Memory Consolidation Cycle refines and compresses concepts for long-term stability; and an Adaptive Schema Engine evolves new reasoning patterns. Conceptual growth within the knowledge substrate is continuous and autonomous, but every change to the system itself passes a non-bypassable human gate: a finding of the improvement process becomes a proposal requiring approval by a named, accountable human, nothing applies automatically, and a fixed set of subsystems, including the Prime Directive, the transfer matrix, the path-separation invariant, the scheduling priority ordering, and the context-lock enumeration, is permanently excluded from modification regardless of the evidence offered in support. This is the property that makes autonomous evolution deployable in regulated and safety-sensitive environments.</w:t>
      </w:r>
    </w:p>
    <w:p>
      <w:pPr>
        <w:pStyle w:val="Heading1"/>
        <w:spacing w:after="180" w:before="360"/>
      </w:pPr>
      <w:r>
        <w:rPr>
          <w:b/>
          <w:bCs/>
          <w:color w:val="1A1714"/>
          <w:sz w:val="30"/>
          <w:szCs w:val="30"/>
        </w:rPr>
        <w:t xml:space="preserve">6.  The Flow of Information</w:t>
      </w:r>
    </w:p>
    <w:p>
      <w:pPr>
        <w:spacing w:after="180" w:line="300"/>
      </w:pPr>
      <w:r>
        <w:rPr>
          <w:color w:val="1A1714"/>
          <w:sz w:val="22"/>
          <w:szCs w:val="22"/>
        </w:rPr>
        <w:t xml:space="preserve">Content enters the system through ingestion: independent, per-modality extraction processors convert text, audio, video, diagrams, tables, structured data, sensor streams, and volumetric scenes, eight defined modalities in all, into Fact Units on a common schema, with a stated fallback for content resolving to none of them and two further pathways admitting the registered output of an external computational substrate and the elicited replies of external machine-learning engines, the latter permanently marked with their engine derivation and bounded in confidence by the engine’s registered reliability. Nothing enters the store without safety evaluation, type validation, and calibration. At upload, authors may attach supplemental information as its own registered source class, and the system pre-computes the probable questions about the work together with fully-cited answers, each invalidated automatically upon revision of any contributing record.</w:t>
      </w:r>
    </w:p>
    <w:p>
      <w:pPr>
        <w:spacing w:after="180" w:line="300"/>
      </w:pPr>
      <w:r>
        <w:rPr>
          <w:color w:val="1A1714"/>
          <w:sz w:val="22"/>
          <w:szCs w:val="22"/>
        </w:rPr>
        <w:t xml:space="preserve">A query travels a separate path that intersects ingestion only at governance and storage, so a bulk ingestion never blocks an interactive answer. The requesting identity’s entitlement scope is constructed first and enforced at the query-execution layer itself, an excluded record being untraversable rather than filtered from results. Retrieval then stabilizes through the Neuromorphic Cognitive Layer’s convergence; inference mechanisms contribute where the query requires them; and grounded generation composes the answer under the vocabulary constraint, with exactly one expressive register, realization operations that cannot promote weakly-supported propositions, and citations resolving to the specific records that support each assertion. The multimodal transformation engine can regenerate the same underlying records as text, diagrams, tables, images, volumetric scenes, or three-dimensional environments, and an accessible equivalent is generated alongside every reader deliverable. Delivered responses close the loop: outcome reports are admitted as attributed evidence, feedback being evidence rather than correction.</w:t>
      </w:r>
    </w:p>
    <w:p>
      <w:pPr>
        <w:pStyle w:val="Heading1"/>
        <w:spacing w:after="180" w:before="360"/>
      </w:pPr>
      <w:r>
        <w:rPr>
          <w:b/>
          <w:bCs/>
          <w:color w:val="1A1714"/>
          <w:sz w:val="30"/>
          <w:szCs w:val="30"/>
        </w:rPr>
        <w:t xml:space="preserve">7.  Safety and Governance</w:t>
      </w:r>
    </w:p>
    <w:p>
      <w:pPr>
        <w:spacing w:after="180" w:line="300"/>
      </w:pPr>
      <w:r>
        <w:rPr>
          <w:color w:val="1A1714"/>
          <w:sz w:val="22"/>
          <w:szCs w:val="22"/>
        </w:rPr>
        <w:t xml:space="preserve">One constraint governs every subsystem uniformly. The Prime Directive provides that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and its companion, the Without-Information Rule, prohibits resolving a difficult case by silently omitting the answer. The Prime Directive is architecturally placed as Domain 0, a vertical governance domain penetrating every horizontal domain, owning the safety enforcement plane, the transfer matrix that governs every permitted movement between domains, the path-separation invariant, and the scheduling priority ordering, each permanently excluded from modification; the mechanism that changes the system cannot change the Prime Directive. Safety is also measured rather than assumed: an isolated trial architecture evaluates determinism, refusal integrity, and coverage against enumerated trial spaces, reporting uncovered cases individually, with any determinism value below unity treated as a defect.</w:t>
      </w:r>
    </w:p>
    <w:p>
      <w:pPr>
        <w:pStyle w:val="Heading1"/>
        <w:spacing w:after="180" w:before="360"/>
      </w:pPr>
      <w:r>
        <w:rPr>
          <w:b/>
          <w:bCs/>
          <w:color w:val="1A1714"/>
          <w:sz w:val="30"/>
          <w:szCs w:val="30"/>
        </w:rPr>
        <w:t xml:space="preserve">8.  Rights, Security, and Privacy</w:t>
      </w:r>
    </w:p>
    <w:p>
      <w:pPr>
        <w:spacing w:after="180" w:line="300"/>
      </w:pPr>
      <w:r>
        <w:rPr>
          <w:color w:val="1A1714"/>
          <w:sz w:val="22"/>
          <w:szCs w:val="22"/>
        </w:rPr>
        <w:t xml:space="preserve">Digital rights are enforced structurally. Every query is bounded by the requester’s actual licensed scope before execution; a shared session is bounded by the intersection of its participants’ entitlements; access is governed by role-scoped portals with time-bounded capability grants; and any identity may export the records, annotations, and history it holds rights to in an open format with provenance preserved. Encryption protects the user against every party including the operator: an opt-in, passphrase-derived, zero-knowledge mechanism renders a user’s history undecryptable by the platform itself, account erasure is cryptographic and therefore exact and provable, keys are scoped per tenant so a compromise is structurally contained, key material may reside behind a hardware custody boundary, and the provenance ledger’s signed chain gives every audit third-party verifiability. Moderation actions are appealable to a human reviewer distinct from the original moderator, and an optional, operator-elected commerce layer is structurally incapable of influencing answers, receiving only the resolved concept identifier after the grounded answer is final and holding no write path into retrieval, ranking, or generation.</w:t>
      </w:r>
    </w:p>
    <w:p>
      <w:pPr>
        <w:pStyle w:val="Heading1"/>
        <w:spacing w:after="180" w:before="360"/>
      </w:pPr>
      <w:r>
        <w:rPr>
          <w:b/>
          <w:bCs/>
          <w:color w:val="1A1714"/>
          <w:sz w:val="30"/>
          <w:szCs w:val="30"/>
        </w:rPr>
        <w:t xml:space="preserve">9.  Deployment and External Integration</w:t>
      </w:r>
    </w:p>
    <w:p>
      <w:pPr>
        <w:spacing w:after="180" w:line="300"/>
      </w:pPr>
      <w:r>
        <w:rPr>
          <w:color w:val="1A1714"/>
          <w:sz w:val="22"/>
          <w:szCs w:val="22"/>
        </w:rPr>
        <w:t xml:space="preserve">The same logical system operates across five topologies, multi-tenant hosted, single-tenant local, single-device, hybrid, and edge, with no dependency on hosted inference endpoints; it runs offline on a smartphone or tablet with query execution, provenance verification, and access control fully functional against a locally-held Fact Graph, and reconciles divergent states deterministically upon reconnection. External integration is directed delegation: connected platforms receive only specific, declared actions and confer none of their own authority on the system. Robotics draws on the World-View Model for causal, spatial, and physical understanding and on the Skill Inventory Layer for procedural memory, learns skills through sensory experience and ingested video, and operates under hard boundaries, with direct command emission limited to registered capture-and-inspection equipment, every command evaluated against physical constraints and human proximity before emission, assistive physical contact under a separate consent-based authorization class, and a standing prohibition on any control interface to a vehicle system. Deterministic multilingual regeneration, semantic compression and expansion, and immersive three-dimensional presentation extend the same substrate outward, with their projected advantages stated, and labeled as projections, in the Expanded Core Technology Section this overview accompanies.</w:t>
      </w:r>
    </w:p>
    <w:p>
      <w:pPr>
        <w:pStyle w:val="Heading1"/>
        <w:spacing w:after="180" w:before="360"/>
      </w:pPr>
      <w:r>
        <w:rPr>
          <w:b/>
          <w:bCs/>
          <w:color w:val="1A1714"/>
          <w:sz w:val="30"/>
          <w:szCs w:val="30"/>
        </w:rPr>
        <w:t xml:space="preserve">10.  Summary</w:t>
      </w:r>
    </w:p>
    <w:p>
      <w:pPr>
        <w:spacing w:after="180" w:line="300"/>
      </w:pPr>
      <w:r>
        <w:rPr>
          <w:color w:val="1A1714"/>
          <w:sz w:val="22"/>
          <w:szCs w:val="22"/>
        </w:rPr>
        <w:t xml:space="preserve">Taken together, the system is a single coherent architecture rather than a collection of features: an immutable, evidence-weighted knowledge substrate; a deterministic convergence process for retrieval; a conceptual layer that learns from perception the way people do; a predictive architecture that reasons at the level of meaning; a governed evolution process that grows without self-modifying; and a governance spine, the Prime Directive as Domain 0, that no configuration, subsystem, or future change can bypass. Its distinguishing property is accountability: every answer is deterministic under a disclosed context key, grounded in records that can be independently verified, bounded by the requester’s actual rights, and safe by architecture rather than by policy, which is the combination the applications described in the accompanying materials depend upon.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2026-08-26T18:08:04.340Z</dcterms:created>
  <dcterms:modified xsi:type="dcterms:W3CDTF">2026-08-26T18:08:04.362Z</dcterms:modified>
</cp:coreProperties>
</file>

<file path=docProps/custom.xml><?xml version="1.0" encoding="utf-8"?>
<Properties xmlns="http://schemas.openxmlformats.org/officeDocument/2006/custom-properties" xmlns:vt="http://schemas.openxmlformats.org/officeDocument/2006/docPropsVTypes"/>
</file>