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19).</w:t>
      </w:r>
    </w:p>
    <w:p>
      <w:pPr>
        <w:pStyle w:val="Normal"/>
        <w:rPr>
          <w:rFonts w:hint="eastAsia"/>
        </w:rPr>
      </w:pPr>
      <w:r>
        <w:rPr>
          <w:rFonts w:ascii="Times New Roman" w:hAnsi="Times New Roman"/>
          <w:highlight w:val="yellow"/>
        </w:rPr>
        <w:t xml:space="preserve">   </w:t>
      </w:r>
      <w:r>
        <w:rPr>
          <w:rFonts w:ascii="Times New Roman" w:hAnsi="Times New Roman"/>
          <w:highlight w:val="yellow"/>
        </w:rPr>
        <w:t>b. On-chain certification, in which a sealed Fact Unit, book, or response may optionally be certified as a non-fungible token on a public blockchain carrying its content hash, lineage, and revocation state, verifiable by any party without access to QueryBook (FIG. 20).</w:t>
      </w:r>
    </w:p>
    <w:p>
      <w:pPr>
        <w:pStyle w:val="Normal"/>
        <w:rPr>
          <w:rFonts w:hint="eastAsia"/>
        </w:rPr>
      </w:pPr>
      <w:r>
        <w:rPr>
          <w:rFonts w:ascii="Times New Roman" w:hAnsi="Times New Roman"/>
          <w:highlight w:val="yellow"/>
        </w:rPr>
        <w:t xml:space="preserve">   </w:t>
      </w:r>
      <w:r>
        <w:rPr>
          <w:rFonts w:ascii="Times New Roman" w:hAnsi="Times New Roman"/>
          <w:highlight w:val="yellow"/>
        </w:rPr>
        <w:t>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21).</w:t>
      </w:r>
    </w:p>
    <w:p>
      <w:pPr>
        <w:pStyle w:val="Normal"/>
        <w:rPr>
          <w:rFonts w:hint="eastAsia"/>
        </w:rPr>
      </w:pPr>
      <w:r>
        <w:rPr>
          <w:rFonts w:ascii="Times New Roman" w:hAnsi="Times New Roman"/>
          <w:highlight w:val="yellow"/>
        </w:rPr>
        <w:t xml:space="preserve">   </w:t>
      </w:r>
      <w:r>
        <w:rPr>
          <w:rFonts w:ascii="Times New Roman" w:hAnsi="Times New Roman"/>
          <w:highlight w:val="yellow"/>
        </w:rPr>
        <w:t>d. A tamper-evident security record of hash-chained entries sealed by write-once, signed Merkle checkpoints, mirrored and optionally anchored on a public blockchain, and verified by recomputation from content (FIG. 22).</w:t>
      </w:r>
    </w:p>
    <w:p>
      <w:pPr>
        <w:pStyle w:val="Normal"/>
        <w:rPr>
          <w:rFonts w:hint="eastAsia"/>
        </w:rPr>
      </w:pPr>
      <w:r>
        <w:rPr>
          <w:rFonts w:ascii="Times New Roman" w:hAnsi="Times New Roman"/>
          <w:highlight w:val="yellow"/>
        </w:rPr>
        <w:t xml:space="preserve">   </w:t>
      </w:r>
      <w:r>
        <w:rPr>
          <w:rFonts w:ascii="Times New Roman" w:hAnsi="Times New Roman"/>
          <w:highlight w:val="yellow"/>
        </w:rPr>
        <w:t>e. Agent interoperability through a Model Context Protocol tool server and an OpenClaw skill, every external agent call passing the Agent Gateway under that agent’s allow-list (FIG. 23).</w:t>
      </w:r>
    </w:p>
    <w:p>
      <w:pPr>
        <w:pStyle w:val="Normal"/>
        <w:rPr>
          <w:rFonts w:hint="eastAsia"/>
        </w:rPr>
      </w:pPr>
      <w:r>
        <w:rPr>
          <w:rFonts w:ascii="Times New Roman" w:hAnsi="Times New Roman"/>
          <w:highlight w:val="yellow"/>
        </w:rPr>
        <w:t xml:space="preserve">   </w:t>
      </w:r>
      <w:r>
        <w:rPr>
          <w:rFonts w:ascii="Times New Roman" w:hAnsi="Times New Roman"/>
          <w:highlight w:val="yellow"/>
        </w:rPr>
        <w:t>f. A framed hybrid transport extending the QueryBook-enhanced TCP/IP protocol, carrying Fact Units and media in checksummed, optionally signed frames on separate priority lanes and rebuilding media into standard HLS, MPEG-DASH, or RTMP streams (FIG. 24).</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jc w:val="both"/>
        <w:rPr>
          <w:rFonts w:ascii="Times New Roman" w:hAnsi="Times New Roman"/>
          <w:b w:val="false"/>
          <w:bCs w:val="false"/>
          <w:i/>
          <w:color w:val="555555"/>
          <w:sz w:val="24"/>
          <w:szCs w:val="24"/>
        </w:rPr>
      </w:pPr>
      <w:r>
        <w:rPr>
          <w:rStyle w:val="Strong"/>
          <w:rFonts w:hint="eastAsia" w:ascii="Times New Roman" w:hAnsi="Times New Roman"/>
          <w:b w:val="false"/>
          <w:bCs w:val="false"/>
          <w:i/>
          <w:color w:val="555555"/>
          <w:sz w:val="24"/>
          <w:szCs w:val="24"/>
          <w:shd w:fill="FFFF00" w:val="clear"/>
        </w:rPr>
        <w:t>Insert Descriptions Here</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19).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20).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21).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22). </w:t>
      </w:r>
      <w:r>
        <w:rPr>
          <w:rFonts w:ascii="Times New Roman" w:hAnsi="Times New Roman"/>
          <w:highlight w:val="yellow"/>
        </w:rPr>
        <w:t>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20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23).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24).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The features of FIG. 19–24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p>
    <w:p>
      <w:pPr>
        <w:pStyle w:val="Normal"/>
        <w:rPr>
          <w:bCs/>
          <w:highlight w:val="yellow"/>
        </w:rPr>
      </w:pPr>
      <w:r>
        <w:rPr>
          <w:bCs/>
          <w:highlight w:val="yellow"/>
        </w:rPr>
        <w:t>2. Lecture Query, PIL, and LIL operate across the ingestion, grounded-expression, and identity domains</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