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pStyle w:val="Heading2"/>
      </w:pPr>
      <w:r>
        <w:t xml:space="preserve">3.8 The Enhanced Record: Uncertainty Decomposition, Polarity, Arity, Scope, History, Integrity, and Encoding</w:t>
      </w:r>
    </w:p>
    <w:p>
      <w:r>
        <w:t xml:space="preserve">This section extends the record defined by §3.1 and organized by §3.6 with seven additional field families, adopted as a single enhancement pass. Nothing here replaces or narrows any existing field, layer, or behaviour: every field of the §3.1 schema and every layer of §3.6 remains in force exactly as specified, the Baconian feedback loop of §3.7 remains the record’s engine of convergence, and each family below is an additive enrichment of the assertion record itself. Concepts continue to belong to the World-View Model; the fields of this section describe the assertion record only. The master definition of §3.6 is accordingly read as enriched by the seven families of this section: uncertainty decomposed, polarity explicit, arity native, scope stated, history journaled, integrity hash-chained, and encoding canonical.</w:t>
      </w:r>
    </w:p>
    <w:p>
      <w:pPr>
        <w:pStyle w:val="Heading3"/>
      </w:pPr>
      <w:r>
        <w:t xml:space="preserve">3.8.1 Uncertainty Decomposition</w:t>
      </w:r>
    </w:p>
    <w:p>
      <w:r>
        <w:t xml:space="preserve">The evidence pair of Layer 7 is extended with a deterministic classification of residual uncertainty into an epistemic component, reducible in principle by further observation, and an aleatory component, the irreducible variability of the observed world itself. The classification is computed, not asserted: where successive observations from distinct source classes continue to narrow the credible interval, residual uncertainty is classified epistemic; where observations accumulate without narrowing it — the interval stabilizing around persistent dispersion — the residue is classified aleatory. Alongside the classification the record carries decomposed sub-parameters already implicit in the update machinery, made explicit and queryable: the fractional source-reliability weighting in effect, the measurement precision of the contributing observations, and the breadth of consensus measured as effective source classes. The decomposition gives the Baconian loop a principled stopping condition: iteration continues while residual uncertainty is predominantly epistemic and further observation is expected to narrow the interval, and stands down, without discarding any evidence, when the residue is aleatory and further sampling can only re-measure the world’s own variance.</w:t>
      </w:r>
    </w:p>
    <w:p>
      <w:pPr>
        <w:pStyle w:val="Heading3"/>
      </w:pPr>
      <w:r>
        <w:t xml:space="preserve">3.8.2 Assertion Polarity</w:t>
      </w:r>
    </w:p>
    <w:p>
      <w:r>
        <w:t xml:space="preserve">Every Fact Unit carries an explicit polarity field marking the assertion as affirmative or negative, so that a negative finding — that a relation does not hold, that an event did not occur — is a first-class record rather than an inference left to interpretation of assertion content. Polarity participates in the semantic fingerprint, and contradiction detection thereby gains a structural fast path: two records whose fingerprints agree on the same assertion core but differ in polarity are a contradiction by field comparison, before any semantic analysis runs. Polarity also sharpens the Without-Information Rule: the absence of any record, which obliges refusal under the Prime Directive’s without-information behaviour, is now formally distinct from the presence of a negated assertion, which is an answer — the system can say that a thing is known not to be so, rather than merely that nothing is known.</w:t>
      </w:r>
    </w:p>
    <w:p>
      <w:pPr>
        <w:pStyle w:val="Heading3"/>
      </w:pPr>
      <w:r>
        <w:t xml:space="preserve">3.8.3 Native N-ary Assertion Structure</w:t>
      </w:r>
    </w:p>
    <w:p>
      <w:r>
        <w:t xml:space="preserve">A single Fact Unit may carry one assertion with multiple typed argument slots — subject, value, unit, instrument, method, condition, observer, and further roles as the catalogue of its domain defines — while remaining one atomic assertion with one FUID, one fingerprint, and one evidence pair. A measurement made with a named instrument under stated conditions is one fact, and the record holds it as one fact, rather than shattering it into a constellation of binary statements joined by synthetic nodes as reification-based representations must. The semantic fingerprint is computed over the complete argument structure, so two realizations of the same n-ary assertion in different languages or notations resolve to the same record, and the typed, weighted adjacency of Layer 2 continues to bind the record to its neighbours exactly as before.</w:t>
      </w:r>
    </w:p>
    <w:p>
      <w:pPr>
        <w:pStyle w:val="Heading3"/>
      </w:pPr>
      <w:r>
        <w:t xml:space="preserve">3.8.4 Applicability Scope</w:t>
      </w:r>
    </w:p>
    <w:p>
      <w:r>
        <w:t xml:space="preserve">The record carries an explicit applicability-scope field stating the conditions under which the assertion holds: a temporal interval, a jurisdiction, an edition, an environmental or parameter range, a population, or a conjunction of these. Scope is the record-side complement of the context lock: the lock fixes the eight dimensions under which a query is answered, and the scope field states, in the record itself, the region of those dimensions within which the assertion is warranted, so validity is stored rather than re-derived at query time. Scope participates in retrieval matching, and it disciplines contradiction detection: two records asserting differently under disjoint scopes are not in conflict, and the system reports under which conditions each holds rather than reporting a contradiction that is not there.</w:t>
      </w:r>
    </w:p>
    <w:p>
      <w:pPr>
        <w:pStyle w:val="Heading3"/>
      </w:pPr>
      <w:r>
        <w:t xml:space="preserve">3.8.5 Baconian Adjustment History</w:t>
      </w:r>
    </w:p>
    <w:p>
      <w:r>
        <w:t xml:space="preserve">Each pass of the feedback loop of §3.7 appends an immutable entry to an adjustment-history layer within the record’s metadata: the observation that arrived, its source class, the fractional reliability weighting applied under the incrementing rule, and the resulting movement of the evidence pair and credible interval. The history layer is metadata in the strict sense of §3.7 — the semantic identity of Layer 1 is never touched — and it makes the record self-auditing: the current confidence of any Fact Unit can be replayed, entry by entry, from its first observation to its present state, and the replay is deterministic, reproducing the stored values exactly. The record thereby carries not only its conclusion but its own revision trajectory, and an audit of any answer can descend from the answer to the records to the observations that made them.</w:t>
      </w:r>
    </w:p>
    <w:p>
      <w:pPr>
        <w:pStyle w:val="Heading3"/>
      </w:pPr>
      <w:r>
        <w:t xml:space="preserve">3.8.6 Cryptographic Integrity Chain</w:t>
      </w:r>
    </w:p>
    <w:p>
      <w:r>
        <w:t xml:space="preserve">Every record carries a cryptographic hash computed over its immutable core, and every supersession link includes the hash of the record it supersedes, so that each version chain is tamper-evident end to end by standard hashing alone: any alteration of a superseded record breaks the chain at the point of alteration and is detected by recomputation. This is integrity machinery internal to the Fact Graph, and nothing more: there is no distributed ledger, no token, and no ownership identity node — the declined blockchain ownership layer remains declined — and rights and entitlement continue to be carried exactly as Layer 8 specifies. What the chain adds is proof: the provenance and supersession structure the record has always carried becomes independently verifiable by any party holding the records.</w:t>
      </w:r>
    </w:p>
    <w:p>
      <w:pPr>
        <w:pStyle w:val="Heading3"/>
      </w:pPr>
      <w:r>
        <w:t xml:space="preserve">3.8.7 Canonical Compact Encoding</w:t>
      </w:r>
    </w:p>
    <w:p>
      <w:r>
        <w:t xml:space="preserve">The Fact Unit has a defined canonical binary serialization in which the required fields of §3.1 occupy fixed positions and optional fields are carried as tagged extensions. The encoding is lossless and bidirectional — a record round-trips between its full and compact forms without change, and the semantic fingerprint and FUID are identical in either form — so the compact form is the same record, not a summary of it. The encoding is what makes the micro-embedded deployments concrete: an offline reader or handset carries its Fact Units in canonical form at a fraction of the footprint of the source media, and the semantic compression of audio, video, and volumetric media rests on a specified record-level mechanism rather than a projection.</w:t>
      </w:r>
    </w:p>
    <w:p>
      <w:pPr>
        <w:pStyle w:val="Heading3"/>
      </w:pPr>
      <w:r>
        <w:t xml:space="preserve">3.8.8 Architectural Integration</w:t>
      </w:r>
    </w:p>
    <w:p>
      <w:r>
        <w:t xml:space="preserve">The enhanced fields are consumed across the architecture rather than sitting inert in the record. Precision-weighted error propagation under §41.6.4 reads the uncertainty decomposition, the propagation gain drawing on the explicit measurement-precision sub-parameter, and the Baconian loop consults the epistemic–aleatory classification as its stopping condition while writing the adjustment history of §3.8.5 on every pass. Contradiction detection under §41.4.6 reads polarity and applicability scope, surfacing structural contradictions by field comparison and dissolving apparent conflicts whose scopes are disjoint. Competitive Candidate Resolution under §41.5.3 carries polarity and scope on every candidate, so competing candidates of opposite polarity or disjoint scope are distinguished at the candidate level before resolution. The ingestion pipeline computes fingerprints over the complete n-ary argument structure at admission; the supersession machinery maintains the integrity chain as versions are created; and the deployment layer serializes records in canonical compact form for edge and offline operation. Every field of this section is a deterministic function of record content and the observation stream, so the determinism guarantee — identical conditions under an identical context key producing identical results — is preserved without qualification. (Drafting record, Pass 115, September 2, 2026: added upon the inventor’s direction to update the Fact Unit definition and the architectural features and functions associated with it. All seven field families are additive; no field of §3.1, no layer of §3.6, and no behaviour of §3.7 is removed or altered.)</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r>
        <w:t xml:space="preserve">With the enhanced record of §3.8, contradiction detection gains two structural inputs ahead of the prediction-error machinery of this section: explicit assertion polarity, under which records agreeing on the same assertion core with opposite polarity are contradictory by field comparison, and applicability scope, under which records asserting differently within disjoint scopes are recognized as non-conflicting and reported by condition rather than as error. (Added Pass 115, September 2, 2026.)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r>
        <w:t xml:space="preserve">Under the enhanced record of §3.8, every candidate entering resolution carries its assertion polarity and applicability scope, so candidates of opposite polarity or disjoint scope are distinguished structurally at the candidate level, and resolution operates only over candidates genuinely competing for the same assertion under the same conditions. (Added Pass 115, September 2, 2026.)</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r>
        <w:t xml:space="preserve">The uncertainty decomposition of §3.8.1 supplies this mechanism’s inputs in explicit form: the measurement-precision sub-parameter is the precision this section already stores and uses, the epistemic–aleatory classification determines whether a persistent error warrants continued precision-weighted revision or reflects irreducible dispersion, and every gain application is journaled in the adjustment-history layer of §3.8.5, making each revision replayable. (Added Pass 115, September 2, 2026.)</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