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caps/>
          <w:color w:val="5F5952"/>
          <w:sz w:val="18"/>
          <w:szCs w:val="18"/>
        </w:rPr>
        <w:t xml:space="preserve">QueryBook — Confidential — Advisory Memo</w:t>
      </w:r>
    </w:p>
    <w:p>
      <w:pPr>
        <w:spacing w:after="40"/>
      </w:pPr>
      <w:r>
        <w:rPr>
          <w:b/>
          <w:bCs/>
          <w:color w:val="1A1714"/>
          <w:sz w:val="38"/>
          <w:szCs w:val="38"/>
        </w:rPr>
        <w:t xml:space="preserve">FQL — Improvement Directions</w:t>
      </w:r>
    </w:p>
    <w:p>
      <w:pPr>
        <w:spacing w:after="180" w:line="300"/>
      </w:pPr>
      <w:r>
        <w:rPr>
          <w:i/>
          <w:iCs/>
          <w:color w:val="5F5952"/>
          <w:sz w:val="20"/>
          <w:szCs w:val="20"/>
        </w:rPr>
        <w:t xml:space="preserve">September 6, 2026. Directions for strengthening the fact-query language. Advisory only — nothing here changes the specification.</w:t>
      </w:r>
    </w:p>
    <w:p>
      <w:pPr>
        <w:spacing w:after="170" w:line="300"/>
      </w:pPr>
      <w:r>
        <w:rPr>
          <w:b/>
          <w:bCs/>
          <w:color w:val="1A1714"/>
          <w:sz w:val="22"/>
          <w:szCs w:val="22"/>
        </w:rPr>
        <w:t xml:space="preserve">Scope. </w:t>
      </w:r>
      <w:r>
        <w:rPr>
          <w:color w:val="1A1714"/>
          <w:sz w:val="22"/>
          <w:szCs w:val="22"/>
        </w:rPr>
        <w:t xml:space="preserve">“FQL” here means QueryBook’s native internal fact query (§3.9.3), not an external standard — UFCS/FQL as a mandatory external transport/query standard remains declined and is not reintroduced by anything below. The improvements group into four aims: say more, run faster, stay correct, and be usable.</w:t>
      </w:r>
    </w:p>
    <w:p>
      <w:pPr>
        <w:pStyle w:val="Heading1"/>
        <w:spacing w:after="110" w:before="260"/>
      </w:pPr>
      <w:r>
        <w:rPr>
          <w:b/>
          <w:bCs/>
          <w:color w:val="1A1714"/>
          <w:sz w:val="26"/>
          <w:szCs w:val="26"/>
        </w:rPr>
        <w:t xml:space="preserve">1 · Expressiveness — what only FQL can do</w:t>
      </w:r>
    </w:p>
    <w:p>
      <w:pPr>
        <w:spacing w:after="100" w:line="300"/>
      </w:pPr>
      <w:r>
        <w:rPr>
          <w:b/>
          <w:bCs/>
          <w:color w:val="2F5347"/>
          <w:sz w:val="22"/>
          <w:szCs w:val="22"/>
        </w:rPr>
        <w:t xml:space="preserve">•  First-class fact-native operators. </w:t>
      </w:r>
      <w:r>
        <w:rPr>
          <w:color w:val="1A1714"/>
          <w:sz w:val="22"/>
          <w:szCs w:val="22"/>
        </w:rPr>
        <w:t xml:space="preserve">Filter and rank by confidence / evidence weight (α/β), require a diversity floor of effective source classes, select a temporal posture (as-of attested time, live, or projected), filter by provenance or source class, match polarity, scope to applicability scope, and choose supersession/version. These are the queries SQL cannot phrase, and they are FQL’s reason to exist.</w:t>
      </w:r>
    </w:p>
    <w:p>
      <w:pPr>
        <w:spacing w:after="100" w:line="300"/>
      </w:pPr>
      <w:r>
        <w:rPr>
          <w:b/>
          <w:bCs/>
          <w:color w:val="2F5347"/>
          <w:sz w:val="22"/>
          <w:szCs w:val="22"/>
        </w:rPr>
        <w:t xml:space="preserve">•  Native hyperedge and traversal syntax. </w:t>
      </w:r>
      <w:r>
        <w:rPr>
          <w:color w:val="1A1714"/>
          <w:sz w:val="22"/>
          <w:szCs w:val="22"/>
        </w:rPr>
        <w:t xml:space="preserve">First-class n-ary relations and graph traversal (reach, path, hyperedge completion) rather than joins bolted on, so the language matches the data model.</w:t>
      </w:r>
    </w:p>
    <w:p>
      <w:pPr>
        <w:spacing w:after="100" w:line="300"/>
      </w:pPr>
      <w:r>
        <w:rPr>
          <w:b/>
          <w:bCs/>
          <w:color w:val="2F5347"/>
          <w:sz w:val="22"/>
          <w:szCs w:val="22"/>
        </w:rPr>
        <w:t xml:space="preserve">•  Composability. </w:t>
      </w:r>
      <w:r>
        <w:rPr>
          <w:color w:val="1A1714"/>
          <w:sz w:val="22"/>
          <w:szCs w:val="22"/>
        </w:rPr>
        <w:t xml:space="preserve">Named sub-queries, registered derived predicates (catalogue-checked), and views, so complex fact patterns are written once and reused.</w:t>
      </w:r>
    </w:p>
    <w:p>
      <w:pPr>
        <w:pStyle w:val="Heading1"/>
        <w:spacing w:after="110" w:before="260"/>
      </w:pPr>
      <w:r>
        <w:rPr>
          <w:b/>
          <w:bCs/>
          <w:color w:val="1A1714"/>
          <w:sz w:val="26"/>
          <w:szCs w:val="26"/>
        </w:rPr>
        <w:t xml:space="preserve">2 · Performance — close the plan-quality gap</w:t>
      </w:r>
    </w:p>
    <w:p>
      <w:pPr>
        <w:spacing w:after="100" w:line="300"/>
      </w:pPr>
      <w:r>
        <w:rPr>
          <w:b/>
          <w:bCs/>
          <w:color w:val="2F5347"/>
          <w:sz w:val="22"/>
          <w:szCs w:val="22"/>
        </w:rPr>
        <w:t xml:space="preserve">•  A cost-based query planner. </w:t>
      </w:r>
      <w:r>
        <w:rPr>
          <w:color w:val="1A1714"/>
          <w:sz w:val="22"/>
          <w:szCs w:val="22"/>
        </w:rPr>
        <w:t xml:space="preserve">The largest runtime lever: optimize plans using fact-graph statistics (fingerprint-index selectivity, edge-class traversal cost, cardinality) with rewrite rules — predicate push-down, traversal reordering, and hyperedge completion in place of N separate traversals. Keep planning deterministic (same query + corpus state + context key → same plan).</w:t>
      </w:r>
    </w:p>
    <w:p>
      <w:pPr>
        <w:spacing w:after="100" w:line="300"/>
      </w:pPr>
      <w:r>
        <w:rPr>
          <w:b/>
          <w:bCs/>
          <w:color w:val="2F5347"/>
          <w:sz w:val="22"/>
          <w:szCs w:val="22"/>
        </w:rPr>
        <w:t xml:space="preserve">•  Prepared / parameterized queries. </w:t>
      </w:r>
      <w:r>
        <w:rPr>
          <w:color w:val="1A1714"/>
          <w:sz w:val="22"/>
          <w:szCs w:val="22"/>
        </w:rPr>
        <w:t xml:space="preserve">Plan once, execute many — amortizes cost to near zero for repeated queries and closes the injection hole in one stroke.</w:t>
      </w:r>
    </w:p>
    <w:p>
      <w:pPr>
        <w:spacing w:after="100" w:line="300"/>
      </w:pPr>
      <w:r>
        <w:rPr>
          <w:b/>
          <w:bCs/>
          <w:color w:val="2F5347"/>
          <w:sz w:val="22"/>
          <w:szCs w:val="22"/>
        </w:rPr>
        <w:t xml:space="preserve">•  Indexing and vectorized execution. </w:t>
      </w:r>
      <w:r>
        <w:rPr>
          <w:color w:val="1A1714"/>
          <w:sz w:val="22"/>
          <w:szCs w:val="22"/>
        </w:rPr>
        <w:t xml:space="preserve">Indexes on fingerprint, FUID, source-class and temporal anchor; bitmap indexes on polarity and scope; hyperedge indexes; columnar evaluation over record sets.</w:t>
      </w:r>
    </w:p>
    <w:p>
      <w:pPr>
        <w:spacing w:after="100" w:line="300"/>
      </w:pPr>
      <w:r>
        <w:rPr>
          <w:b/>
          <w:bCs/>
          <w:color w:val="2F5347"/>
          <w:sz w:val="22"/>
          <w:szCs w:val="22"/>
        </w:rPr>
        <w:t xml:space="preserve">•  Continuous queries and materialization. </w:t>
      </w:r>
      <w:r>
        <w:rPr>
          <w:color w:val="1A1714"/>
          <w:sz w:val="22"/>
          <w:szCs w:val="22"/>
        </w:rPr>
        <w:t xml:space="preserve">Register a standing FQL query once and re-evaluate incrementally on relevant updates (§48) rather than rescan; materialized views of hot patterns; result caching keyed by (query, corpus version, context key).</w:t>
      </w:r>
    </w:p>
    <w:p>
      <w:pPr>
        <w:spacing w:after="100" w:line="300"/>
      </w:pPr>
      <w:r>
        <w:rPr>
          <w:b/>
          <w:bCs/>
          <w:color w:val="2F5347"/>
          <w:sz w:val="22"/>
          <w:szCs w:val="22"/>
        </w:rPr>
        <w:t xml:space="preserve">•  Predicate push-down through the adapter. </w:t>
      </w:r>
      <w:r>
        <w:rPr>
          <w:color w:val="1A1714"/>
          <w:sz w:val="22"/>
          <w:szCs w:val="22"/>
        </w:rPr>
        <w:t xml:space="preserve">When facts live in an external store, translate the filter down through the §3.9.3 adapter rather than fetch-all-then-filter — data movement is usually the dominant cost.</w:t>
      </w:r>
    </w:p>
    <w:p>
      <w:pPr>
        <w:pStyle w:val="Heading1"/>
        <w:spacing w:after="110" w:before="260"/>
      </w:pPr>
      <w:r>
        <w:rPr>
          <w:b/>
          <w:bCs/>
          <w:color w:val="1A1714"/>
          <w:sz w:val="26"/>
          <w:szCs w:val="26"/>
        </w:rPr>
        <w:t xml:space="preserve">3 · Correctness &amp; safety — make bad queries impossible, not just slow</w:t>
      </w:r>
    </w:p>
    <w:p>
      <w:pPr>
        <w:spacing w:after="100" w:line="300"/>
      </w:pPr>
      <w:r>
        <w:rPr>
          <w:b/>
          <w:bCs/>
          <w:color w:val="2F5347"/>
          <w:sz w:val="22"/>
          <w:szCs w:val="22"/>
        </w:rPr>
        <w:t xml:space="preserve">•  Static typing against the governed catalogue. </w:t>
      </w:r>
      <w:r>
        <w:rPr>
          <w:color w:val="1A1714"/>
          <w:sz w:val="22"/>
          <w:szCs w:val="22"/>
        </w:rPr>
        <w:t xml:space="preserve">A query naming a predicate or type not in the catalogue is a compile-time error, not a runtime surprise — safety and optimizability at once.</w:t>
      </w:r>
    </w:p>
    <w:p>
      <w:pPr>
        <w:spacing w:after="100" w:line="300"/>
      </w:pPr>
      <w:r>
        <w:rPr>
          <w:b/>
          <w:bCs/>
          <w:color w:val="2F5347"/>
          <w:sz w:val="22"/>
          <w:szCs w:val="22"/>
        </w:rPr>
        <w:t xml:space="preserve">•  Bounded, non-Turing-complete by design. </w:t>
      </w:r>
      <w:r>
        <w:rPr>
          <w:color w:val="1A1714"/>
          <w:sz w:val="22"/>
          <w:szCs w:val="22"/>
        </w:rPr>
        <w:t xml:space="preserve">Bounded traversal budgets, complexity limits, and timeouts, so no query can run away; an unbounded query is refused rather than throttled.</w:t>
      </w:r>
    </w:p>
    <w:p>
      <w:pPr>
        <w:spacing w:after="100" w:line="300"/>
      </w:pPr>
      <w:r>
        <w:rPr>
          <w:b/>
          <w:bCs/>
          <w:color w:val="2F5347"/>
          <w:sz w:val="22"/>
          <w:szCs w:val="22"/>
        </w:rPr>
        <w:t xml:space="preserve">•  Entitlement resolved at plan time. </w:t>
      </w:r>
      <w:r>
        <w:rPr>
          <w:color w:val="1A1714"/>
          <w:sz w:val="22"/>
          <w:szCs w:val="22"/>
        </w:rPr>
        <w:t xml:space="preserve">Scope resolves before traversal; an unauthorized record is non-traversable in the plan, not filtered from results afterward.</w:t>
      </w:r>
    </w:p>
    <w:p>
      <w:pPr>
        <w:spacing w:after="100" w:line="300"/>
      </w:pPr>
      <w:r>
        <w:rPr>
          <w:b/>
          <w:bCs/>
          <w:color w:val="2F5347"/>
          <w:sz w:val="22"/>
          <w:szCs w:val="22"/>
        </w:rPr>
        <w:t xml:space="preserve">•  EXPLAIN and reproducibility. </w:t>
      </w:r>
      <w:r>
        <w:rPr>
          <w:color w:val="1A1714"/>
          <w:sz w:val="22"/>
          <w:szCs w:val="22"/>
        </w:rPr>
        <w:t xml:space="preserve">Every result carries its context key and an inspectable plan/trace — which records, which edges, which thresholds — so answers are reproducible and auditable, and slow queries are findable.</w:t>
      </w:r>
    </w:p>
    <w:p>
      <w:pPr>
        <w:spacing w:after="100" w:line="300"/>
      </w:pPr>
      <w:r>
        <w:rPr>
          <w:b/>
          <w:bCs/>
          <w:color w:val="2F5347"/>
          <w:sz w:val="22"/>
          <w:szCs w:val="22"/>
        </w:rPr>
        <w:t xml:space="preserve">•  Formally verify the executor. </w:t>
      </w:r>
      <w:r>
        <w:rPr>
          <w:color w:val="1A1714"/>
          <w:sz w:val="22"/>
          <w:szCs w:val="22"/>
        </w:rPr>
        <w:t xml:space="preserve">Prove that evaluation preserves grounding, determinism, and scope — the strongest assurance.</w:t>
      </w:r>
    </w:p>
    <w:p>
      <w:pPr>
        <w:pStyle w:val="Heading1"/>
        <w:spacing w:after="110" w:before="260"/>
      </w:pPr>
      <w:r>
        <w:rPr>
          <w:b/>
          <w:bCs/>
          <w:color w:val="1A1714"/>
          <w:sz w:val="26"/>
          <w:szCs w:val="26"/>
        </w:rPr>
        <w:t xml:space="preserve">4 · Usability &amp; interop — adoption is an efficiency too</w:t>
      </w:r>
    </w:p>
    <w:p>
      <w:pPr>
        <w:spacing w:after="100" w:line="300"/>
      </w:pPr>
      <w:r>
        <w:rPr>
          <w:b/>
          <w:bCs/>
          <w:color w:val="2F5347"/>
          <w:sz w:val="22"/>
          <w:szCs w:val="22"/>
        </w:rPr>
        <w:t xml:space="preserve">•  A SQL-compatible surface. </w:t>
      </w:r>
      <w:r>
        <w:rPr>
          <w:color w:val="1A1714"/>
          <w:sz w:val="22"/>
          <w:szCs w:val="22"/>
        </w:rPr>
        <w:t xml:space="preserve">For analysts and BI tools, alongside the graph-native syntax for power users — meet people where they are.</w:t>
      </w:r>
    </w:p>
    <w:p>
      <w:pPr>
        <w:spacing w:after="100" w:line="300"/>
      </w:pPr>
      <w:r>
        <w:rPr>
          <w:b/>
          <w:bCs/>
          <w:color w:val="2F5347"/>
          <w:sz w:val="22"/>
          <w:szCs w:val="22"/>
        </w:rPr>
        <w:t xml:space="preserve">•  Tooling and error messages. </w:t>
      </w:r>
      <w:r>
        <w:rPr>
          <w:color w:val="1A1714"/>
          <w:sz w:val="22"/>
          <w:szCs w:val="22"/>
        </w:rPr>
        <w:t xml:space="preserve">Errors that name the offending predicate/type and suggest the catalogue entry; a REPL; the EXPLAIN viewer.</w:t>
      </w:r>
    </w:p>
    <w:p>
      <w:pPr>
        <w:spacing w:after="100" w:line="300"/>
      </w:pPr>
      <w:r>
        <w:rPr>
          <w:b/>
          <w:bCs/>
          <w:color w:val="2F5347"/>
          <w:sz w:val="22"/>
          <w:szCs w:val="22"/>
        </w:rPr>
        <w:t xml:space="preserve">•  Progressive / approximate results, clearly marked. </w:t>
      </w:r>
      <w:r>
        <w:rPr>
          <w:color w:val="1A1714"/>
          <w:sz w:val="22"/>
          <w:szCs w:val="22"/>
        </w:rPr>
        <w:t xml:space="preserve">Optional bounded-error aggregates with a stated confidence and streaming partials for very large scans — flagged distinctly as estimates so they never masquerade as exact, deterministic answers.</w:t>
      </w:r>
    </w:p>
    <w:p>
      <w:pPr>
        <w:pStyle w:val="Heading1"/>
        <w:spacing w:after="110" w:before="260"/>
      </w:pPr>
      <w:r>
        <w:rPr>
          <w:b/>
          <w:bCs/>
          <w:color w:val="1A1714"/>
          <w:sz w:val="26"/>
          <w:szCs w:val="26"/>
        </w:rPr>
        <w:t xml:space="preserve">The three highest-leverage moves</w:t>
      </w:r>
    </w:p>
    <w:p>
      <w:pPr>
        <w:spacing w:after="130" w:line="300"/>
      </w:pPr>
      <w:r>
        <w:rPr>
          <w:color w:val="1A1714"/>
          <w:sz w:val="22"/>
          <w:szCs w:val="22"/>
        </w:rPr>
        <w:t xml:space="preserve">If only three are pursued: </w:t>
      </w:r>
      <w:r>
        <w:rPr>
          <w:b/>
          <w:bCs/>
          <w:color w:val="1A1714"/>
          <w:sz w:val="22"/>
          <w:szCs w:val="22"/>
        </w:rPr>
        <w:t xml:space="preserve">(1) a cost-based planner</w:t>
      </w:r>
      <w:r>
        <w:rPr>
          <w:color w:val="1A1714"/>
          <w:sz w:val="22"/>
          <w:szCs w:val="22"/>
        </w:rPr>
        <w:t xml:space="preserve"> — fixes the plan-quality gap that dominates real latency; </w:t>
      </w:r>
      <w:r>
        <w:rPr>
          <w:b/>
          <w:bCs/>
          <w:color w:val="1A1714"/>
          <w:sz w:val="22"/>
          <w:szCs w:val="22"/>
        </w:rPr>
        <w:t xml:space="preserve">(2) first-class fact-native operators</w:t>
      </w:r>
      <w:r>
        <w:rPr>
          <w:color w:val="1A1714"/>
          <w:sz w:val="22"/>
          <w:szCs w:val="22"/>
        </w:rPr>
        <w:t xml:space="preserve"> — the expressiveness SQL can never match, which is FQL’s actual moat; and </w:t>
      </w:r>
      <w:r>
        <w:rPr>
          <w:b/>
          <w:bCs/>
          <w:color w:val="1A1714"/>
          <w:sz w:val="22"/>
          <w:szCs w:val="22"/>
        </w:rPr>
        <w:t xml:space="preserve">(3) prepared / parameterized queries</w:t>
      </w:r>
      <w:r>
        <w:rPr>
          <w:color w:val="1A1714"/>
          <w:sz w:val="22"/>
          <w:szCs w:val="22"/>
        </w:rPr>
        <w:t xml:space="preserve"> — amortizes cost and closes injection together. Everything else is depth on top of these.</w:t>
      </w:r>
    </w:p>
    <w:p>
      <w:pPr>
        <w:spacing w:after="130" w:line="300"/>
      </w:pPr>
      <w:r>
        <w:rPr>
          <w:b/>
          <w:bCs/>
          <w:color w:val="5F5952"/>
          <w:sz w:val="20"/>
          <w:szCs w:val="20"/>
        </w:rPr>
        <w:t xml:space="preserve">Note. </w:t>
      </w:r>
      <w:r>
        <w:rPr>
          <w:i/>
          <w:iCs/>
          <w:color w:val="5F5952"/>
          <w:sz w:val="20"/>
          <w:szCs w:val="20"/>
        </w:rPr>
        <w:t xml:space="preserve">Advisory; changes no canon. Any measured latency or throughput figures should be obtained under the trial architecture (§29), not asserted here. If adopted into the specification, the home is the internal fact-query section (§3.9.3) as a Pass proposal.</w:t>
      </w:r>
    </w:p>
    <w:p>
      <w:pPr>
        <w:spacing w:after="130" w:line="300"/>
      </w:pPr>
      <w:r>
        <w:rPr>
          <w:i/>
          <w:iCs/>
          <w:color w:val="5F5952"/>
          <w:sz w:val="18"/>
          <w:szCs w:val="18"/>
        </w:rPr>
        <w:t xml:space="preserve">QueryBook — confidential, proprietary and patent-sensitive. Section citations refer to the specification (Bible v2.1, Pass 118).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2026-09-07T17:40:12.731Z</dcterms:created>
  <dcterms:modified xsi:type="dcterms:W3CDTF">2026-09-07T17:40:12.747Z</dcterms:modified>
</cp:coreProperties>
</file>

<file path=docProps/custom.xml><?xml version="1.0" encoding="utf-8"?>
<Properties xmlns="http://schemas.openxmlformats.org/officeDocument/2006/custom-properties" xmlns:vt="http://schemas.openxmlformats.org/officeDocument/2006/docPropsVTypes"/>
</file>