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Abstract</w:t>
      </w:r>
    </w:p>
    <w:p>
      <w:pPr>
        <w:jc w:val="both"/>
      </w:pPr>
      <w:r>
        <w:t xml:space="preserve">QueryBook represents a new model of AI - a synthetic cortex and deterministic world‑model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jc w:val="both"/>
      </w:pPr>
      <w:r>
        <w:t xml:space="preserve"> 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t xml:space="preserve"> Recent additions extend this protection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jc w:val="both"/>
      </w:pPr>
      <w: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t xml:space="preserve"> Files of any format can be ingested as data, never as instructions, and external AI agents such as OpenClaw connect through a standard tool interface limited to their allow-list. </w:t>
      </w:r>
      <w:r>
        <w:t>QueryBooks Fact Unit graph architecture also reduces data storage by orders of magnitude, works on commodity server or product hardware, and in larger complex application significantly reduce power consumption, cooling costs and deployment real estate.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Abstract (updated)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