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Directions:</w:t>
        <w:br/>
        <w:t>1.  Updated Sections Appear Below – please insert the entire sections  (without changes) into Base Provisional Patent -  Note:  Base Provsionial Patent Starts Page 8</w:t>
        <w:br/>
        <w:b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TITLE OF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highlight w:val="none"/>
          <w:shd w:fill="FFFFA6" w:val="clear"/>
        </w:rPr>
      </w:pPr>
      <w:r>
        <w:rPr>
          <w:rFonts w:ascii="Liberation Serif;serif" w:hAnsi="Liberation Serif;serif"/>
          <w:b/>
          <w:i w:val="false"/>
          <w:caps w:val="false"/>
          <w:smallCaps w:val="false"/>
          <w:color w:val="222222"/>
          <w:spacing w:val="0"/>
          <w:sz w:val="24"/>
          <w:shd w:fill="FFFFA6" w:val="clear"/>
        </w:rPr>
        <w:t xml:space="preserve">Universal Fact-Unit-Centric, Deterministic, Provenance-Grounded Cognitive Engine with a Domain-Governed Knowledge Substrate  </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Inventors:</w:t>
        <w:br/>
        <w:t>Garry S. Howard, Beverly Hills, California and Christopher Caile, Bronx, New York</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Assignment: MediaGration LLC</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RELATED PATENT APPLICATIONS</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present application is one of a family of related United States patent applications directed to a common underlying technology — an atomic, provenance-tracked knowledge primitive termed the Fact Unit, and the systems and methods that create, store, relate, query, secure, and reason over such primitives. The related applications, each of which is incorporated herein by reference in its entirety, are as follows: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1.  U.S. Provisional Patent Application No. </w:t>
      </w:r>
      <w:r>
        <w:rPr>
          <w:rFonts w:ascii="Times New Roman;serif" w:hAnsi="Times New Roman;serif"/>
          <w:b/>
          <w:i w:val="false"/>
          <w:caps w:val="false"/>
          <w:smallCaps w:val="false"/>
          <w:color w:val="222222"/>
          <w:spacing w:val="0"/>
          <w:sz w:val="24"/>
        </w:rPr>
        <w:t>63/975,036</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rPr>
        <w:t>February 3, 2026</w:t>
      </w:r>
      <w:r>
        <w:rPr>
          <w:rFonts w:ascii="Times New Roman;serif" w:hAnsi="Times New Roman;serif"/>
          <w:b w:val="false"/>
          <w:i w:val="false"/>
          <w:caps w:val="false"/>
          <w:smallCaps w:val="false"/>
          <w:color w:val="222222"/>
          <w:spacing w:val="0"/>
          <w:sz w:val="24"/>
        </w:rPr>
        <w:t>, entitled “</w:t>
      </w:r>
      <w:r>
        <w:rPr>
          <w:rFonts w:ascii="Times New Roman;serif" w:hAnsi="Times New Roman;serif"/>
          <w:b/>
          <w:i w:val="false"/>
          <w:caps w:val="false"/>
          <w:smallCaps w:val="false"/>
          <w:color w:val="222222"/>
          <w:spacing w:val="0"/>
          <w:sz w:val="24"/>
        </w:rPr>
        <w:t>QUERYBOOK</w:t>
      </w:r>
      <w:r>
        <w:rPr>
          <w:b w:val="false"/>
          <w:i w:val="false"/>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(Attorney Docket No. TPP96905), directed to the fact-grounded, deterministic question-answering and knowledge engine and its associated interactive modes.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2.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TPP96906), directed to further developments of the QueryBook engine and its associated systems and methods.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3.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TPP99488), directed to the Unified Fact Cognitive Substrate and Fact Query Language (UFCS/FQL) — a content-addressed graph substrate and joint structure-and-trust query layer over Fact Units.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4.  U.S. Provisional Patent Application No. </w:t>
      </w:r>
      <w:r>
        <w:rPr>
          <w:rFonts w:ascii="Times New Roman;serif" w:hAnsi="Times New Roman;serif"/>
          <w:b/>
          <w:i w:val="false"/>
          <w:caps w:val="false"/>
          <w:smallCaps w:val="false"/>
          <w:color w:val="222222"/>
          <w:spacing w:val="0"/>
          <w:sz w:val="24"/>
          <w:shd w:fill="FFFF00" w:val="clear"/>
        </w:rPr>
        <w:t>[serial no. __________]</w:t>
      </w:r>
      <w:r>
        <w:rPr>
          <w:rFonts w:ascii="Times New Roman;serif" w:hAnsi="Times New Roman;serif"/>
          <w:b w:val="false"/>
          <w:i w:val="false"/>
          <w:caps w:val="false"/>
          <w:smallCaps w:val="false"/>
          <w:color w:val="222222"/>
          <w:spacing w:val="0"/>
          <w:sz w:val="24"/>
        </w:rPr>
        <w:t>, filed </w:t>
      </w:r>
      <w:r>
        <w:rPr>
          <w:rFonts w:ascii="Times New Roman;serif" w:hAnsi="Times New Roman;serif"/>
          <w:b/>
          <w:i w:val="false"/>
          <w:caps w:val="false"/>
          <w:smallCaps w:val="false"/>
          <w:color w:val="222222"/>
          <w:spacing w:val="0"/>
          <w:sz w:val="24"/>
          <w:shd w:fill="FFFF00" w:val="clear"/>
        </w:rPr>
        <w:t>[date __________]</w:t>
      </w:r>
      <w:r>
        <w:rPr>
          <w:b w:val="false"/>
          <w:i w:val="false"/>
          <w:caps w:val="false"/>
          <w:smallCaps w:val="false"/>
          <w:color w:val="222222"/>
          <w:spacing w:val="0"/>
        </w:rPr>
        <w:t> </w:t>
      </w:r>
      <w:r>
        <w:rPr>
          <w:rFonts w:ascii="Times New Roman;serif" w:hAnsi="Times New Roman;serif"/>
          <w:b w:val="false"/>
          <w:i w:val="false"/>
          <w:caps w:val="false"/>
          <w:smallCaps w:val="false"/>
          <w:color w:val="222222"/>
          <w:spacing w:val="0"/>
          <w:sz w:val="24"/>
        </w:rPr>
        <w:t>(Attorney Docket No. TPP99489), directed to a fact-grounded search engine and artificial-intelligence engine built upon the same Fact Unit technology.</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FIELD OF THE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The present invention relates to and applies across generally to artificial intelligence, machine cognition, and knowledge-representation systems. More particularly, the invention relates to a deterministic, explainable, graph-based artificial-intelligence engine built upon an atomic, sub-language, provenance-tracked knowledge primitives, Large Language Model (LLM) artificial-intelligence systems and their associated Agents and ChatBots, graph-based artificial-intelligence systems, retrieval-augmented generation (RAG) systems, question-and-answer (Q&amp;A) systems, multi-language and machine-translation systems, audio and visual compression and expansion systems, virtual-reality (VR) and three-dimensional (3D) systems, colorization systems,  information storage and retrieval systems, semantic search and search-engine systems, specialized, private, and self-hosted artificial-intelligence systems, multimodal and neuromorphic reasoning systems, content-addressed and deduplicated knowledge stores and world-model systems, artificial-intelligence safety and agent-governance systems, including anti-rogue and anti-worm controls, cybersecurity and intrusion-defense systems, including post-quantum provenance, network transport systems, data-storage-efficiency and systems in which structured, explainable, and verifiable machine knowledge is advantageous.</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Add New</w:t>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Descritpion Of Related Art</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Liberation Serif;serif" w:hAnsi="Liberation Serif;serif"/>
          <w:b/>
          <w:i w:val="false"/>
          <w:caps w:val="false"/>
          <w:smallCaps w:val="false"/>
          <w:color w:val="222222"/>
          <w:spacing w:val="0"/>
          <w:sz w:val="24"/>
        </w:rPr>
      </w:pPr>
      <w:r>
        <w:rPr>
          <w:rFonts w:ascii="Liberation Serif;serif" w:hAnsi="Liberation Serif;serif"/>
          <w:b/>
          <w:i w:val="false"/>
          <w:caps w:val="false"/>
          <w:smallCaps w:val="false"/>
          <w:color w:val="222222"/>
          <w:spacing w:val="0"/>
          <w:sz w:val="24"/>
        </w:rPr>
        <w:t>Ak Claude to update the following Summary</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SUMMARY OF THE INVENTION</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A.  QueryBook Summary</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a deterministic, multimodal cognitive AI engine designed to transform how digital information is represented, understood, and used. Unlike probabilistic language models and retrieval-based systems, QueryBook operates on a new primitive — atomic semantic structures called Fact Units. They store meaning below language and form the foundation for its new AI architectural model, allowing it to interpret content deterministically, regenerate meaning in any language or modality, and provide stable, traceable answers grounded in verifiable semantic units rather than statistical text patterns. Each Fact Unit carries a calibrated confidence built from evidence for and against its assertion, weighted by the diversity of its sources, together with a cryptographically verifiable provenance chain that allows any answer to be independently audited, and determinism itself is testable, with every response carrying a context key under which identical conditions must produce identical results.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built on Fact Units, and its neuromorphic multilevel reasoning architecture, with predictive and Baconian adaptive response logic and intelligence within a flexible open framework capable of operating across any device, database, or content ecosystem. Each Fact Unit is an atomic, language-independent meaning structure that stores what something is, not how it was written. Unlike language models that store patterns of text, QueryBook stores meaning below language — allowing it to regenerate knowledge in any language or modality without drift or ambiguity. Each Fact Unit carries a Bayesian confidence pair (evidence for and against) weighted by source diversity, a cryptographically verifiable provenance chain, temporal anchors, semantic lineage, multimodal attachments, exceptions, and a language-independent semantic fingerprint. The confidence model is not a scalar: it accumulates evidence for and against separately, so that a settled assertion resists revision from a single contradicting source by arithmetic rather than by rule, while a provisional assertion revises substantially under the same challenge. Fact Units also carry a confidence trend field (ascending, stable, declining, or contested) that tracks whether the evidence base for a claim is growing or weakening over a configurable time window — enabling adaptive response logic tuned to the current state of knowledge, not merely its current level.</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Underlying QueryBook is a novel foundation layer for graph computing formed by the Fact Unit together with UFCS and FQL. The Fact Unit is the record; the Unified Fact Cognitive Substrate (UFCS) is the substrate that stores, relates, and governs those records; and the Fact Query Language (FQL) is the language that queries them. Each Fact Unit is content-addressed by an identifier derived from its own meaning, so that identical assertions from different sources converge on a single record and strengthen it through corroboration rather than multiplying it. On UFCS the records relate through a graph of pairwise edges, a hypergraph of relations binding three or more records as a single multi-entity assertion, and directed reasoning chains that are traversed to explain a conclusion, while contradictions are detected and clustered structurally. FQL operates directly on this substrate and, in a single query, filters records jointly on their semantic structure and on their certification trust, freshness, and status, executing by a trust-native model in which trust is derived from authority, corroboration, and contradiction state, propagated along reasoning chains, and used to prune and rank rather than applied as a filter after the fact. This Fact Unit, UFCS, and FQL combination is what makes QueryBook a foundation layer for graph computing rather than an application built upon one: it unifies structured representation, authority-certified trust, and query within a single fabric, and QueryBook — like other graph and intelligent systems — is built upon it, operating with or without it and gaining its advantages wherever it is connected.</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invention introduces a neuromorphic, multi-nodal, multi-level reasoning system that mirrors core principles of human cognition. QueryBook integrates perception, conceptual understanding, temporal reasoning, analogy formation, and predictive modeling into a unified cognitive substrate capable of interpreting text, images, diagrams, audio, video, and spatial environments. Its world-view hypergraph organizes concepts, objects, states, transitions, physics, tasks, and cross-domain relationships into a coherent conceptual model that evolves over time — storing how the world works, while Fact Units store the specific facts and assertions that populate that model. This enables QueryBook to perform deterministic Q&amp;A, cross-document synthesis, contradiction detection, multimodal interpretation, and scenario modeling with high accuracy and consistency.</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combines Aristotelian deductive reasoning with Baconian empirical reasoning through a feedback loop that continuously refines its models in response to new information and real-world outcomes. This dual reasoning architecture is particularly valuable in business environments where conditions change rapidly and decisions must incorporate new evidence. Baconian reasoning in QueryBook operates through observation diversity — each evidence contribution is attributed to a registered source class, a generalization requires both a count floor and a diversity floor, and a response resting on evidence concentrated in a single source class discloses that concentration.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B. What QueryBook Does That No Other System Does</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Bayesian confidence at the knowledge-atom level.</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Fact Unit carries a Beta distribution posterior as its confidence score, updated by conjugate addition with source-reliability weighting, temporal decay with domain-specific half-lives, and diversity-weighted evidence. Confidence is mathematically principled, not a heuristic score.</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Neuromorphic retrieval with formal capacity bounds.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Retrieval uses a Hopfield-style Attractor Network with a capacity governor that prevents catastrophic interference. The system formally proves it operates below the retrieval-phase boundary α_c ≈ 0.138 at all time.</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Governed agent framework with structural authority limits.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agent’s authority is computed at each action as the intersection of its declared template and its commissioner’s current entitlements. An agent can never exceed what its commissioner can authorize at that moment. Sentinel heterogeneity is formally specified: the monitoring AI must come from a provably different model family.</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Human Approval Governance with Default-on-Deny.</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Every human-approval request has a configured timeout. When that timeout expires, the answer is always denial — never approval. No configuration can reverse this. Self-learning processes are subject to operation-count triggers and three-consecutive-timeout suspension.</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Procedural skill knowledge from sensory input.</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Path 2 (the Skill Acquisition Path) converts demonstrations of skills into Schema Nodes that record not just what to do but what correct execution feels like — force profiles, kinematic trajectories, auditory signatures, visual postures, and transition cues — from tactile, haptic, proprioceptive, and kinesthetic sensors.</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caps w:val="false"/>
          <w:smallCaps w:val="false"/>
          <w:color w:val="222222"/>
          <w:spacing w:val="0"/>
          <w:sz w:val="24"/>
        </w:rPr>
        <w:t>QueryBook’s Novel Mechanisms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disclosed system introduces at least the following independently novel mechanisms: (1) the Fact Unit as an atomic semantic knowledge record with a diversity-weighted Bayesian evidence pair, a domain-specific temporal decay function, a 90-day confidence trend field, and a cryptographically-verifiable provenance reference, novel over prior-art vector embeddings, RDF triples, and sparse distributed representations individually and in combination; (2) a three-tier confidence initialization function assigning Beta prior parameters based on source reliability class and Fact Type; (3) a World-View Model storing hypergraph concept models of how the world works, structurally distinct from the Fact Units that supply its inputs; (4) a four-path ingestion architecture comprising a Declarative Knowledge Path, a Skill Acquisition Path with SensorySignature capture across six sensory modalities, a World Model Formation Path with an episodic flush mechanism, and a Live Data Path; (5) a Human Approval Governance Framework with structurally-enforced Default-on-Deny timeout behavior; (6) an AI Agent Passport System providing zero-trust cryptographic identity with unconditional propagation blocks; (7) a seven-layer AI Worm Defense Architecture with a sixty-second automated kill switch; (8) a Universal 7 Layer Security Architecture (Postures, Proactive, Reactive, Pre-emptive, Counter, Offensive &amp; Deceptive) with an AI Attack Prediction Engine and Universal Honeypot Saturation including a configurable infinite-apparent-volume Data Firehose; (9) a QueryBook-enhanced TCP/IP hybrid protocol carrying Fact Unit identifiers and provenance references alongside network data; and (10) a Fact Unit, UFCS, and FQL foundation layer for graph computing, in which content-addressed Fact Units are carried within certified, trust-scored envelopes on a graph, hypergraph, and reasoning-chain substrate and are queried by a language that filters jointly on structure and certification trust and executes by trust-native propagation and pruning, novel over prior-art graph and content-addressed systems in its unification of decomposed assertion structure, per-assertion authority certification, computed trust, and joint structure-and-trust query within a single fabric.</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C.  Architecture, Module Optimization, and Deployment Modes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architecture is organized into fifteen operationally distinct domains, each owning a specific set of decisions and communicating with other domains through a formally governed Domain Transfer Matrix. The modular partition enables QueryBook to optimize its module utilization dynamically. Knowledge-layer domains are corpus-proportional and batch-tolerant; Reasoning-layer domains are query-proportional and latency-sensitive; Platform-layer domains are independently omittable. QueryBook operates across five formally specified deployment topologies: cloud SaaS, local server, hybrid, single-device (fully offline on smartphone or tablet), and edge. The Domain Transfer Matrix is invariant across all five topologies — the same safety, governance, and provenance guarantees hold identically whether QueryBook is running on a datacenter or a smartphone. The Fact Unit, UFCS, and FQL foundation layer is likewise invariant across these topologies: the same content-addressed substrate and joint structure-and-trust query semantics operate identically at every scale, so the foundation-layer advantages travel with the deployment.</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 is governed and operated by a large population of internal agents — bounded, declared, formally chartered QBPL programs with formally verified termination, declared capability sets, and operation-count triggers that automatically submit outputs for human review. Internal agents monitor knowledge health, calibrate source reliability, enforce consistency, compute confidence trends, maintain provenance ledger integrity, manage HAGF queues, monitor DTP performance, track biosafety staleness, and assess World Brain concept formation quality. Every internal agent operates under the Agent Charter, the HAGF Default-on-Deny governance, and the Prime Directive without exception.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D.  Additional Capabilities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Bayesian confidence architecture, three primary ingestion paths, Domain Template Pair Registry, Human Approval Governance Framework, Citation Management system, post-quantum provenance ledger, Knowledge Momentum Analysis, External Agent Observatory, and Biosafety Screening Corpus represent the platform’s extended capabilities, each described in the Detailed Description of the Invention. These capabilities are expressed over, and governed through, the Fact Unit, UFCS, and FQL foundation layer, which provides their common content-addressed representation, certified-trust model, and query semantics.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E.  QueryBook Applications and Advantages</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1.  Breadth of Application</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cognitive, neuromorphic AI engine is not a purpose-built tool for a single application category. Its Fact Unit architecture, deterministic reasoning, and multimodal grounding apply across virtually the entire current breadth of AI, Agent, RAG, LLM, and intelligent-system applications — bringing to each a distinct and measurable set of advantages: grounded outputs, calibrated confidence, cryptographically verifiable provenance, language-agnostic storage, structural elimination of potential for hallucination, and limitations and controls over adverse and/or rogue behaviors. Because these advantages derive from the underlying Fact Unit, UFCS, and FQL foundation layer for graph computing rather than from any single application, they carry across all of the categories below.</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caps w:val="false"/>
          <w:smallCaps w:val="false"/>
          <w:color w:val="222222"/>
          <w:spacing w:val="0"/>
          <w:sz w:val="24"/>
        </w:rPr>
      </w:pPr>
      <w:r>
        <w:rPr>
          <w:rFonts w:ascii="Times New Roman;serif" w:hAnsi="Times New Roman;serif"/>
          <w:b/>
          <w:i/>
          <w:caps w:val="false"/>
          <w:smallCaps w:val="false"/>
          <w:color w:val="222222"/>
          <w:spacing w:val="0"/>
          <w:sz w:val="24"/>
        </w:rPr>
        <w:t>2.  Application Categories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i w:val="false"/>
          <w:caps w:val="false"/>
          <w:smallCaps w:val="false"/>
          <w:color w:val="222222"/>
          <w:spacing w:val="0"/>
          <w:sz w:val="24"/>
        </w:rPr>
        <w:t>eBook Q&amp;A:  </w:t>
      </w:r>
      <w:r>
        <w:rPr>
          <w:rFonts w:ascii="Times New Roman;serif" w:hAnsi="Times New Roman;serif"/>
          <w:b w:val="false"/>
          <w:i w:val="false"/>
          <w:caps w:val="false"/>
          <w:smallCaps w:val="false"/>
          <w:color w:val="222222"/>
          <w:spacing w:val="0"/>
          <w:sz w:val="24"/>
        </w:rPr>
        <w:t>Readers query any Kindle or digital book directly, receiving grounded, cited answers drawn exclusively from the book’s own Fact Units — no hallucination, no external interpolation. They can receive answers, summaries, outlines or quizzes. Readers can highlight, make notes and print passages.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Document Q&amp;A:  </w:t>
      </w:r>
      <w:r>
        <w:rPr>
          <w:rFonts w:ascii="Times New Roman;serif" w:hAnsi="Times New Roman;serif"/>
          <w:b w:val="false"/>
          <w:i w:val="false"/>
          <w:caps w:val="false"/>
          <w:smallCaps w:val="false"/>
          <w:color w:val="222222"/>
          <w:spacing w:val="0"/>
          <w:sz w:val="24"/>
        </w:rPr>
        <w:t>Single-document question-and-answer over contracts, reports, filings, or technical specifications, with every answer traceable to a specific Fact Unit and its source passage.</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i w:val="false"/>
          <w:caps w:val="false"/>
          <w:smallCaps w:val="false"/>
          <w:color w:val="222222"/>
          <w:spacing w:val="0"/>
          <w:sz w:val="24"/>
        </w:rPr>
        <w:t>Advanced Chatbots and Digital User Manuals:  </w:t>
      </w:r>
      <w:r>
        <w:rPr>
          <w:rFonts w:ascii="Times New Roman;serif" w:hAnsi="Times New Roman;serif"/>
          <w:b w:val="false"/>
          <w:i w:val="false"/>
          <w:caps w:val="false"/>
          <w:smallCaps w:val="false"/>
          <w:color w:val="222222"/>
          <w:spacing w:val="0"/>
          <w:sz w:val="24"/>
        </w:rPr>
        <w:t>Customer-facing and internal assistants grounded in product or policy Fact Units, replacing probabilistic chatbot responses with deterministic, auditable answers that cannot drift from source content. QueryBook Q&amp;A, instructional capability can bring user manuals alive avoiding need of perusing complicated text, internet search and product company help lines with live in product imbeded capability or via smart device app.</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Multi-Document Q&amp;A and Interpretation:  </w:t>
      </w:r>
      <w:r>
        <w:rPr>
          <w:rFonts w:ascii="Times New Roman;serif" w:hAnsi="Times New Roman;serif"/>
          <w:b w:val="false"/>
          <w:i w:val="false"/>
          <w:caps w:val="false"/>
          <w:smallCaps w:val="false"/>
          <w:color w:val="222222"/>
          <w:spacing w:val="0"/>
          <w:sz w:val="24"/>
        </w:rPr>
        <w:t>Cross-corpus reasoning over large document sets — regulatory libraries, case law collections, research archives — with contradiction detection, confidence comparison, and provenance across sources.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Search:  </w:t>
      </w:r>
      <w:r>
        <w:rPr>
          <w:rFonts w:ascii="Times New Roman;serif" w:hAnsi="Times New Roman;serif"/>
          <w:b w:val="false"/>
          <w:i w:val="false"/>
          <w:caps w:val="false"/>
          <w:smallCaps w:val="false"/>
          <w:color w:val="222222"/>
          <w:spacing w:val="0"/>
          <w:sz w:val="24"/>
        </w:rPr>
        <w:t>QueryBook operates as a fact-grounded search engine, including over web-crawled sources, indexing content as certified, trust-scored Fact Units and answering a search query with ranked, provenance-cited facts and a confidence for each result — returning verified answers rather than an unranked list of links, and natively excluding contradicted or below-threshold material.</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Specialized Private AI Systems:  </w:t>
      </w:r>
      <w:r>
        <w:rPr>
          <w:rFonts w:ascii="Times New Roman;serif" w:hAnsi="Times New Roman;serif"/>
          <w:b w:val="false"/>
          <w:i w:val="false"/>
          <w:caps w:val="false"/>
          <w:smallCaps w:val="false"/>
          <w:color w:val="222222"/>
          <w:spacing w:val="0"/>
          <w:sz w:val="24"/>
        </w:rPr>
        <w:t>Customers compose their own private AI system by supplying their own database, their own expertise, and their own methods of analysis or computation — defining an ingestion mode, a processing workflow, and an output template over their own certified Fact Units — to develop a specialized AI capability aligned with their own needs. Such a system is distinct from standard QueryBook interaction and isolated from other tenants, while inheriting QueryBook’s grounding, provenance, calibrated confidence, and governance guarantees.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Data Analysis with Live Inputs:  </w:t>
      </w:r>
      <w:r>
        <w:rPr>
          <w:rFonts w:ascii="Times New Roman;serif" w:hAnsi="Times New Roman;serif"/>
          <w:b w:val="false"/>
          <w:i w:val="false"/>
          <w:caps w:val="false"/>
          <w:smallCaps w:val="false"/>
          <w:color w:val="222222"/>
          <w:spacing w:val="0"/>
          <w:sz w:val="24"/>
        </w:rPr>
        <w:t>Real-time ingestion of business, economic, and scientific data streams into the Fact Unit store, enabling live-updated analysis, trend detection, and confidence-weighted forecasting without retraining.</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Robotics:  </w:t>
      </w:r>
      <w:r>
        <w:rPr>
          <w:rFonts w:ascii="Times New Roman;serif" w:hAnsi="Times New Roman;serif"/>
          <w:b w:val="false"/>
          <w:i w:val="false"/>
          <w:caps w:val="false"/>
          <w:smallCaps w:val="false"/>
          <w:color w:val="222222"/>
          <w:spacing w:val="0"/>
          <w:sz w:val="24"/>
        </w:rPr>
        <w:t>On-device semantic reasoning for robotic systems requiring deterministic, low-latency knowledge access — grounded perception, spatial reasoning, and action planning from a local Fact Unit store with world model concept and model input.</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QueryBook-Controlled, Rogue-Limited Agent Capability:  </w:t>
      </w:r>
      <w:r>
        <w:rPr>
          <w:rFonts w:ascii="Times New Roman;serif" w:hAnsi="Times New Roman;serif"/>
          <w:b w:val="false"/>
          <w:i w:val="false"/>
          <w:caps w:val="false"/>
          <w:smallCaps w:val="false"/>
          <w:color w:val="222222"/>
          <w:spacing w:val="0"/>
          <w:sz w:val="24"/>
        </w:rPr>
        <w:t>Autonomous agents operating strictly within QueryBook’s constitutional governance framework — Prime Directive enforced at every action boundary — providing agent utility while structurally preventing rogue or unintended autonomous behavior.</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LLM Integration:  </w:t>
      </w:r>
      <w:r>
        <w:rPr>
          <w:rFonts w:ascii="Times New Roman;serif" w:hAnsi="Times New Roman;serif"/>
          <w:b w:val="false"/>
          <w:i w:val="false"/>
          <w:caps w:val="false"/>
          <w:smallCaps w:val="false"/>
          <w:color w:val="222222"/>
          <w:spacing w:val="0"/>
          <w:sz w:val="24"/>
        </w:rPr>
        <w:t>QueryBook can function as a structured grounding and fact-verification layer for existing large language models, constraining generation vocabulary to admitted Fact Units and replacing stochastic retrieval augmentation with deterministic semantic grounding. QueryBook can additionally substitute its own Agents capability to eliminate potential rogue activity witnessed in current LLM Agent products.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LLM Capability in Scientific, Medical, Legal, and Research Fields:  </w:t>
      </w:r>
      <w:r>
        <w:rPr>
          <w:rFonts w:ascii="Times New Roman;serif" w:hAnsi="Times New Roman;serif"/>
          <w:b w:val="false"/>
          <w:i w:val="false"/>
          <w:caps w:val="false"/>
          <w:smallCaps w:val="false"/>
          <w:color w:val="222222"/>
          <w:spacing w:val="0"/>
          <w:sz w:val="24"/>
        </w:rPr>
        <w:t>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Cybersecurity and Defense, Including for Other AI Systems:  </w:t>
      </w:r>
      <w:r>
        <w:rPr>
          <w:rFonts w:ascii="Times New Roman;serif" w:hAnsi="Times New Roman;serif"/>
          <w:b w:val="false"/>
          <w:i w:val="false"/>
          <w:caps w:val="false"/>
          <w:smallCaps w:val="false"/>
          <w:color w:val="222222"/>
          <w:spacing w:val="0"/>
          <w:sz w:val="24"/>
        </w:rPr>
        <w:t>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intrusions, credential attacks, and self-propagating AI worms.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F.  Infrastructure and Deployment Advantages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QueryBook’s semantic storage model and deterministic reasoning architecture deliver material infrastructure advantages at scale — advantages that compound as deployment size grpws.</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i w:val="false"/>
          <w:caps w:val="false"/>
          <w:smallCaps w:val="false"/>
          <w:color w:val="222222"/>
          <w:spacing w:val="0"/>
          <w:sz w:val="24"/>
        </w:rPr>
        <w:t>Reduced Storage:  </w:t>
      </w:r>
      <w:r>
        <w:rPr>
          <w:rFonts w:ascii="Times New Roman;serif" w:hAnsi="Times New Roman;serif"/>
          <w:b w:val="false"/>
          <w:i w:val="false"/>
          <w:caps w:val="false"/>
          <w:smallCaps w:val="false"/>
          <w:color w:val="222222"/>
          <w:spacing w:val="0"/>
          <w:sz w:val="24"/>
        </w:rPr>
        <w:t>Fact Units store meaning, not text. A corpus that would require terabytes of raw document or vector storage is represented as a compact set of atomic semantic records with shared ontological references — reducing storage footprints by orders of magnitude versus both document stores and vector databases.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Lower-Cost Hardware:  </w:t>
      </w:r>
      <w:r>
        <w:rPr>
          <w:rFonts w:ascii="Times New Roman;serif" w:hAnsi="Times New Roman;serif"/>
          <w:b w:val="false"/>
          <w:i w:val="false"/>
          <w:caps w:val="false"/>
          <w:smallCaps w:val="false"/>
          <w:color w:val="222222"/>
          <w:spacing w:val="0"/>
          <w:sz w:val="24"/>
        </w:rPr>
        <w:t>Deterministic semantic retrieval eliminates the need for large GPU clusters required by probabilistic LLM inference at scale. QueryBook’s query path runs efficiently on commodity server hardware and, for edge deployments, on consumer-grade devices — dramatically reducing capital expenditure.</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Reduced Power Consumption:  </w:t>
      </w:r>
      <w:r>
        <w:rPr>
          <w:rFonts w:ascii="Times New Roman;serif" w:hAnsi="Times New Roman;serif"/>
          <w:b w:val="false"/>
          <w:i w:val="false"/>
          <w:caps w:val="false"/>
          <w:smallCaps w:val="false"/>
          <w:color w:val="222222"/>
          <w:spacing w:val="0"/>
          <w:sz w:val="24"/>
        </w:rPr>
        <w:t>Replacing continuous LLM inference with structured Fact Unit retrieval and constrained generation cuts per-query power draw significantly. At data-center scale this translates to material reductions in energy cost and carbon footprint.</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Reduced Cooling Requirements:  </w:t>
      </w:r>
      <w:r>
        <w:rPr>
          <w:rFonts w:ascii="Times New Roman;serif" w:hAnsi="Times New Roman;serif"/>
          <w:b w:val="false"/>
          <w:i w:val="false"/>
          <w:caps w:val="false"/>
          <w:smallCaps w:val="false"/>
          <w:color w:val="222222"/>
          <w:spacing w:val="0"/>
          <w:sz w:val="24"/>
        </w:rPr>
        <w:t>Lower compute intensity per query directly reduces thermal load. Facilities running QueryBook at equivalent throughput to a GPU-based LLM deployment require substantially less cooling capacity — reducing both operating cost and physical plant requirements.</w:t>
      </w:r>
    </w:p>
    <w:p>
      <w:pPr>
        <w:pStyle w:val="Normal"/>
        <w:widowControl/>
        <w:bidi w:val="0"/>
        <w:ind w:hanging="0" w:start="0" w:end="0"/>
        <w:jc w:val="start"/>
        <w:rPr>
          <w:b w:val="false"/>
          <w:i w:val="false"/>
          <w:caps w:val="false"/>
          <w:smallCaps w:val="false"/>
          <w:color w:val="222222"/>
          <w:spacing w:val="0"/>
        </w:rPr>
      </w:pPr>
      <w:r>
        <w:rPr>
          <w:rFonts w:ascii="Times New Roman;serif" w:hAnsi="Times New Roman;serif"/>
          <w:b w:val="false"/>
          <w:i w:val="false"/>
          <w:caps w:val="false"/>
          <w:smallCaps w:val="false"/>
          <w:color w:val="222222"/>
          <w:spacing w:val="0"/>
          <w:sz w:val="24"/>
        </w:rPr>
        <w:t>·  </w:t>
      </w:r>
      <w:r>
        <w:rPr>
          <w:rFonts w:ascii="Times New Roman;serif" w:hAnsi="Times New Roman;serif"/>
          <w:b/>
          <w:i w:val="false"/>
          <w:caps w:val="false"/>
          <w:smallCaps w:val="false"/>
          <w:color w:val="222222"/>
          <w:spacing w:val="0"/>
          <w:sz w:val="24"/>
        </w:rPr>
        <w:t>Smaller Deployment Footprint:  </w:t>
      </w:r>
      <w:r>
        <w:rPr>
          <w:rFonts w:ascii="Times New Roman;serif" w:hAnsi="Times New Roman;serif"/>
          <w:b w:val="false"/>
          <w:i w:val="false"/>
          <w:caps w:val="false"/>
          <w:smallCaps w:val="false"/>
          <w:color w:val="222222"/>
          <w:spacing w:val="0"/>
          <w:sz w:val="24"/>
        </w:rPr>
        <w:t>The combination of reduced storage, lower-power hardware, and reduced cooling allows QueryBook deployments to occupy a fraction of the physical data-center or edge-facility space of equivalent LLM-based systems — enabling deployment in constrained environments including on-device, on-premise, and remote field installations.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p>
    <w:p>
      <w:pPr>
        <w:pStyle w:val="Normal"/>
        <w:widowControl/>
        <w:bidi w:val="0"/>
        <w:ind w:hanging="0" w:start="0" w:end="0"/>
        <w:jc w:val="start"/>
        <w:rPr>
          <w:rFonts w:ascii="Times New Roman;serif" w:hAnsi="Times New Roman;serif"/>
          <w:b/>
          <w:i w:val="false"/>
          <w:caps w:val="false"/>
          <w:smallCaps w:val="false"/>
          <w:color w:val="1A2235"/>
          <w:spacing w:val="0"/>
          <w:sz w:val="24"/>
        </w:rPr>
      </w:pPr>
      <w:r>
        <w:rPr>
          <w:rFonts w:ascii="Times New Roman;serif" w:hAnsi="Times New Roman;serif"/>
          <w:b/>
          <w:i w:val="false"/>
          <w:caps w:val="false"/>
          <w:smallCaps w:val="false"/>
          <w:color w:val="1A2235"/>
          <w:spacing w:val="0"/>
          <w:sz w:val="24"/>
        </w:rPr>
        <w:t>G.  Fact Unit Based Additional Applications</w:t>
      </w:r>
    </w:p>
    <w:p>
      <w:pPr>
        <w:pStyle w:val="Normal"/>
        <w:widowControl/>
        <w:bidi w:val="0"/>
        <w:ind w:hanging="0" w:start="0" w:end="0"/>
        <w:jc w:val="start"/>
        <w:rPr>
          <w:rFonts w:ascii="Times New Roman;serif" w:hAnsi="Times New Roman;serif"/>
          <w:b w:val="false"/>
          <w:i w:val="false"/>
          <w:caps w:val="false"/>
          <w:smallCaps w:val="false"/>
          <w:color w:val="222222"/>
          <w:spacing w:val="0"/>
          <w:sz w:val="24"/>
        </w:rPr>
      </w:pPr>
      <w:r>
        <w:rPr>
          <w:rFonts w:ascii="Times New Roman;serif" w:hAnsi="Times New Roman;serif"/>
          <w:b w:val="false"/>
          <w:i w:val="false"/>
          <w:caps w:val="false"/>
          <w:smallCaps w:val="false"/>
          <w:color w:val="222222"/>
          <w:spacing w:val="0"/>
          <w:sz w:val="24"/>
        </w:rPr>
        <w:t>The Fact Unit primitive, carried on the UFCS substrate and reached through FQL, enables a class of applications not available to any system storing knowledge at the language or pixel level:</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a. Deterministic multi-language regeneration without per-language reingestion.</w:t>
      </w:r>
    </w:p>
    <w:p>
      <w:pPr>
        <w:pStyle w:val="Normal"/>
        <w:widowControl/>
        <w:bidi w:val="0"/>
        <w:ind w:hanging="0" w:start="0" w:end="0"/>
        <w:jc w:val="start"/>
        <w:rPr>
          <w:caps w:val="false"/>
          <w:smallCaps w:val="false"/>
          <w:color w:val="222222"/>
          <w:spacing w:val="0"/>
        </w:rPr>
      </w:pPr>
      <w:r>
        <w:rPr>
          <w:caps w:val="false"/>
          <w:smallCaps w:val="false"/>
          <w:color w:val="222222"/>
          <w:spacing w:val="0"/>
        </w:rPr>
        <w:t xml:space="preserve">  </w:t>
      </w:r>
      <w:r>
        <w:rPr>
          <w:rFonts w:ascii="Times New Roman;serif" w:hAnsi="Times New Roman;serif"/>
          <w:b w:val="false"/>
          <w:i w:val="false"/>
          <w:caps w:val="false"/>
          <w:smallCaps w:val="false"/>
          <w:color w:val="222222"/>
          <w:spacing w:val="0"/>
          <w:sz w:val="24"/>
        </w:rPr>
        <w:t>b. Semantic compression and expansion of audio, video, and volumetric media with projected significant percent size reduction relative to conventional codec output.</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c. Deterministic video colorization from Fact Unit material property records.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d. Three-dimensional and VR presentation grounded in the same Fact Graph that answers text questions.</w:t>
      </w:r>
    </w:p>
    <w:p>
      <w:pPr>
        <w:pStyle w:val="Normal"/>
        <w:widowControl/>
        <w:bidi w:val="0"/>
        <w:ind w:hanging="0" w:start="0" w:end="0"/>
        <w:jc w:val="start"/>
        <w:rPr>
          <w:caps w:val="false"/>
          <w:smallCaps w:val="false"/>
          <w:color w:val="222222"/>
          <w:spacing w:val="0"/>
        </w:rPr>
      </w:pPr>
      <w:r>
        <w:rPr>
          <w:caps w:val="false"/>
          <w:smallCaps w:val="false"/>
          <w:color w:val="222222"/>
          <w:spacing w:val="0"/>
        </w:rPr>
        <w:t> </w:t>
      </w:r>
      <w:r>
        <w:rPr>
          <w:rFonts w:ascii="Times New Roman;serif" w:hAnsi="Times New Roman;serif"/>
          <w:b w:val="false"/>
          <w:i w:val="false"/>
          <w:caps w:val="false"/>
          <w:smallCaps w:val="false"/>
          <w:color w:val="222222"/>
          <w:spacing w:val="0"/>
          <w:sz w:val="24"/>
        </w:rPr>
        <w:t>e. A QueryBook-enhanced TCP/IP hybrid protocol carrying Fact Unit identifiers and provenance references alongside network payload data.</w:t>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b w:val="false"/>
          <w:i w:val="false"/>
          <w:caps w:val="false"/>
          <w:smallCaps w:val="false"/>
          <w:color w:val="222222"/>
          <w:spacing w:val="0"/>
        </w:rPr>
      </w:pPr>
      <w:r>
        <w:rPr>
          <w:b w:val="false"/>
          <w:i w:val="false"/>
          <w:caps w:val="false"/>
          <w:smallCaps w:val="false"/>
          <w:color w:val="222222"/>
          <w:spacing w:val="0"/>
        </w:rPr>
      </w:r>
    </w:p>
    <w:p>
      <w:pPr>
        <w:pStyle w:val="Normal"/>
        <w:widowControl/>
        <w:bidi w:val="0"/>
        <w:ind w:hanging="0" w:start="0" w:end="0"/>
        <w:jc w:val="start"/>
        <w:rPr>
          <w:rFonts w:ascii="Times New Roman;serif" w:hAnsi="Times New Roman;serif"/>
          <w:sz w:val="24"/>
        </w:rPr>
      </w:pPr>
      <w:r>
        <w:rPr>
          <w:b w:val="false"/>
          <w:i w:val="false"/>
          <w:caps w:val="false"/>
          <w:smallCaps w:val="false"/>
          <w:color w:val="222222"/>
          <w:spacing w:val="0"/>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Directions Part 2</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2.  Update the below Sections with new text on recent features; do not change or edit existing text and sections.  Please just add text.</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br/>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 xml:space="preserve">Sections to </w:t>
      </w:r>
      <w:r>
        <w:rPr>
          <w:b/>
          <w:i w:val="false"/>
          <w:caps w:val="false"/>
          <w:smallCaps w:val="false"/>
          <w:color w:val="222222"/>
          <w:spacing w:val="0"/>
          <w:sz w:val="24"/>
        </w:rPr>
        <w:t>Updat</w:t>
      </w:r>
      <w:r>
        <w:rPr>
          <w:b/>
          <w:i w:val="false"/>
          <w:caps w:val="false"/>
          <w:smallCaps w:val="false"/>
          <w:color w:val="222222"/>
          <w:spacing w:val="0"/>
          <w:sz w:val="24"/>
        </w:rPr>
        <w:t>e Per New Features – with new text but no other changes.</w:t>
        <w:br/>
        <w:t>============================</w:t>
      </w:r>
    </w:p>
    <w:p>
      <w:pPr>
        <w:pStyle w:val="Normal"/>
        <w:widowControl/>
        <w:bidi w:val="0"/>
        <w:ind w:hanging="0" w:start="0" w:end="0"/>
        <w:jc w:val="start"/>
        <w:rPr>
          <w:b/>
          <w:i w:val="false"/>
          <w:caps w:val="false"/>
          <w:smallCaps w:val="false"/>
          <w:color w:val="222222"/>
          <w:spacing w:val="0"/>
          <w:sz w:val="24"/>
        </w:rPr>
      </w:pPr>
      <w:r>
        <w:rPr>
          <w:b/>
          <w:i w:val="false"/>
          <w:caps w:val="false"/>
          <w:smallCaps w:val="false"/>
          <w:color w:val="222222"/>
          <w:spacing w:val="0"/>
          <w:sz w:val="24"/>
        </w:rPr>
        <w:t xml:space="preserve">Summary of Invention, </w:t>
        <w:br/>
      </w:r>
      <w:r>
        <w:rPr>
          <w:b/>
          <w:i w:val="false"/>
          <w:caps w:val="false"/>
          <w:smallCaps w:val="false"/>
          <w:color w:val="222222"/>
          <w:spacing w:val="0"/>
          <w:sz w:val="24"/>
        </w:rPr>
        <w:t>Drawings</w:t>
      </w:r>
      <w:r>
        <w:rPr>
          <w:b/>
          <w:i w:val="false"/>
          <w:caps w:val="false"/>
          <w:smallCaps w:val="false"/>
          <w:color w:val="222222"/>
          <w:spacing w:val="0"/>
          <w:sz w:val="24"/>
        </w:rPr>
        <w:br/>
        <w:t xml:space="preserve">Description of Related Drawings, </w:t>
        <w:br/>
        <w:t xml:space="preserve">Detailed Description </w:t>
        <w:br/>
        <w:t xml:space="preserve">Sys Overview, </w:t>
        <w:br/>
        <w:t xml:space="preserve">Core Tech Overview, </w:t>
        <w:br/>
        <w:t>Arch. Overview</w:t>
      </w:r>
      <w:r>
        <w:br w:type="page"/>
      </w:r>
    </w:p>
    <w:p>
      <w:pPr>
        <w:pStyle w:val="Normal"/>
        <w:bidi w:val="0"/>
        <w:jc w:val="start"/>
        <w:rPr/>
      </w:pPr>
      <w:r>
        <w:rPr/>
        <w:t>Base Provisional Patent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rFonts w:hint="eastAsia"/>
        </w:rPr>
      </w:pPr>
      <w:r>
        <w:rPr>
          <w:rStyle w:val="Strong"/>
          <w:rFonts w:ascii="Times New Roman" w:hAnsi="Times New Roman"/>
          <w:sz w:val="32"/>
          <w:szCs w:val="32"/>
        </w:rPr>
        <w:t>QueryBook</w:t>
      </w:r>
    </w:p>
    <w:p>
      <w:pPr>
        <w:pStyle w:val="Normal"/>
        <w:bidi w:val="0"/>
        <w:jc w:val="center"/>
        <w:rPr>
          <w:rStyle w:val="Strong"/>
          <w:rFonts w:ascii="Times New Roman" w:hAnsi="Times New Roman"/>
        </w:rPr>
      </w:pPr>
      <w:r>
        <w:rPr>
          <w:rFonts w:ascii="Times New Roman" w:hAnsi="Times New Roman"/>
        </w:rPr>
      </w:r>
    </w:p>
    <w:p>
      <w:pPr>
        <w:pStyle w:val="Normal"/>
        <w:bidi w:val="0"/>
        <w:jc w:val="center"/>
        <w:rPr>
          <w:rFonts w:hint="eastAsia"/>
        </w:rPr>
      </w:pPr>
      <w:r>
        <w:rPr>
          <w:rStyle w:val="Strong"/>
          <w:rFonts w:ascii="Times New Roman" w:hAnsi="Times New Roman"/>
        </w:rPr>
        <w:t>Non-Provisional Patent Application</w:t>
      </w:r>
    </w:p>
    <w:p>
      <w:pPr>
        <w:pStyle w:val="Normal"/>
        <w:bidi w:val="0"/>
        <w:jc w:val="center"/>
        <w:rPr>
          <w:rFonts w:hint="eastAsia"/>
        </w:rPr>
      </w:pPr>
      <w:r>
        <w:rPr>
          <w:rStyle w:val="Strong"/>
          <w:rFonts w:ascii="Times New Roman" w:hAnsi="Times New Roman"/>
        </w:rPr>
        <w:t>9/23/2026</w:t>
        <w:br/>
        <w:br/>
        <w:t>Inventors, Garry S. Howard, Christopher Caile</w:t>
      </w:r>
    </w:p>
    <w:p>
      <w:pPr>
        <w:pStyle w:val="Normal"/>
        <w:bidi w:val="0"/>
        <w:jc w:val="start"/>
        <w:rPr>
          <w:rStyle w:val="Strong"/>
          <w:rFonts w:ascii="Times New Roman" w:hAnsi="Times New Roman"/>
        </w:rPr>
      </w:pPr>
      <w:r>
        <w:rPr>
          <w:rFonts w:ascii="Times New Roman" w:hAnsi="Times New Roman"/>
        </w:rPr>
      </w:r>
    </w:p>
    <w:p>
      <w:pPr>
        <w:pStyle w:val="Normal"/>
        <w:bidi w:val="0"/>
        <w:jc w:val="start"/>
        <w:rPr>
          <w:rStyle w:val="Strong"/>
          <w:rFonts w:ascii="Times New Roman" w:hAnsi="Times New Roman"/>
        </w:rPr>
      </w:pPr>
      <w:r>
        <w:rPr>
          <w:rFonts w:ascii="Times New Roman" w:hAnsi="Times New Roman"/>
        </w:rPr>
      </w:r>
    </w:p>
    <w:sdt>
      <w:sdtPr>
        <w:docPartObj>
          <w:docPartGallery w:val="Table of Contents"/>
          <w:docPartUnique w:val="true"/>
        </w:docPartObj>
      </w:sdtPr>
      <w:sdtContent>
        <w:p>
          <w:pPr>
            <w:pStyle w:val="TOCHeading"/>
            <w:bidi w:val="0"/>
            <w:spacing w:before="0" w:after="120"/>
            <w:jc w:val="start"/>
            <w:rPr>
              <w:rFonts w:hint="eastAsia"/>
            </w:rPr>
          </w:pPr>
          <w:r>
            <w:br w:type="page"/>
          </w:r>
          <w:r>
            <w:rPr/>
            <w:t>Table of Contents</w:t>
          </w:r>
        </w:p>
        <w:p>
          <w:pPr>
            <w:pStyle w:val="TOC2"/>
            <w:tabs>
              <w:tab w:val="clear" w:pos="9972"/>
              <w:tab w:val="right" w:pos="10254" w:leader="dot"/>
            </w:tabs>
            <w:bidi w:val="0"/>
            <w:jc w:val="start"/>
            <w:rPr>
              <w:rFonts w:hint="eastAsia"/>
            </w:rPr>
          </w:pPr>
          <w:r>
            <w:fldChar w:fldCharType="begin"/>
          </w:r>
          <w:r>
            <w:rPr>
              <w:rStyle w:val="IndexLink"/>
            </w:rPr>
            <w:instrText xml:space="preserve"> TOC \f \o "1-9" \h</w:instrText>
          </w:r>
          <w:r>
            <w:rPr>
              <w:rStyle w:val="IndexLink"/>
            </w:rPr>
            <w:fldChar w:fldCharType="separate"/>
          </w:r>
          <w:r>
            <w:rPr>
              <w:rStyle w:val="IndexLink"/>
            </w:rPr>
            <w:t>TITLE OF INVENTION</w:t>
          </w:r>
          <w:r>
            <w:rPr/>
            <w:tab/>
            <w:t>4</w:t>
          </w:r>
        </w:p>
        <w:p>
          <w:pPr>
            <w:pStyle w:val="TOC2"/>
            <w:tabs>
              <w:tab w:val="clear" w:pos="9972"/>
              <w:tab w:val="right" w:pos="10254" w:leader="dot"/>
            </w:tabs>
            <w:bidi w:val="0"/>
            <w:jc w:val="start"/>
            <w:rPr>
              <w:rFonts w:hint="eastAsia"/>
            </w:rPr>
          </w:pPr>
          <w:r>
            <w:rPr/>
            <w:t>RELATED PATENT APPLICATIONS</w:t>
            <w:tab/>
            <w:t>4</w:t>
          </w:r>
        </w:p>
        <w:p>
          <w:pPr>
            <w:pStyle w:val="TOC2"/>
            <w:tabs>
              <w:tab w:val="clear" w:pos="9972"/>
              <w:tab w:val="right" w:pos="10254" w:leader="dot"/>
            </w:tabs>
            <w:bidi w:val="0"/>
            <w:jc w:val="start"/>
            <w:rPr>
              <w:rFonts w:hint="eastAsia"/>
            </w:rPr>
          </w:pPr>
          <w:r>
            <w:rPr/>
            <w:t>FIELD OF THE INVENTION</w:t>
            <w:tab/>
            <w:t>5</w:t>
          </w:r>
        </w:p>
        <w:p>
          <w:pPr>
            <w:pStyle w:val="TOC2"/>
            <w:tabs>
              <w:tab w:val="clear" w:pos="9972"/>
              <w:tab w:val="right" w:pos="10254" w:leader="dot"/>
            </w:tabs>
            <w:bidi w:val="0"/>
            <w:jc w:val="start"/>
            <w:rPr>
              <w:rFonts w:hint="eastAsia"/>
            </w:rPr>
          </w:pPr>
          <w:r>
            <w:rPr/>
            <w:t>DESCRIPTION OF THE RELATED ART</w:t>
            <w:tab/>
            <w:t>5</w:t>
          </w:r>
        </w:p>
        <w:p>
          <w:pPr>
            <w:pStyle w:val="TOC2"/>
            <w:tabs>
              <w:tab w:val="clear" w:pos="9972"/>
              <w:tab w:val="right" w:pos="10254" w:leader="dot"/>
            </w:tabs>
            <w:bidi w:val="0"/>
            <w:jc w:val="start"/>
            <w:rPr>
              <w:rFonts w:hint="eastAsia"/>
            </w:rPr>
          </w:pPr>
          <w:r>
            <w:rPr/>
            <w:t>SUMMARY OF THE INVENTION</w:t>
            <w:tab/>
            <w:t>7</w:t>
          </w:r>
        </w:p>
        <w:p>
          <w:pPr>
            <w:pStyle w:val="TOC2"/>
            <w:tabs>
              <w:tab w:val="clear" w:pos="9972"/>
              <w:tab w:val="right" w:pos="10254" w:leader="dot"/>
            </w:tabs>
            <w:bidi w:val="0"/>
            <w:jc w:val="start"/>
            <w:rPr>
              <w:rFonts w:hint="eastAsia"/>
            </w:rPr>
          </w:pPr>
          <w:r>
            <w:rPr/>
            <w:t>BRIEF DESCRIPTION OF THE DRAWINGS</w:t>
            <w:tab/>
            <w:t>12</w:t>
          </w:r>
        </w:p>
        <w:p>
          <w:pPr>
            <w:pStyle w:val="TOC2"/>
            <w:tabs>
              <w:tab w:val="clear" w:pos="9972"/>
              <w:tab w:val="right" w:pos="10254" w:leader="dot"/>
            </w:tabs>
            <w:bidi w:val="0"/>
            <w:jc w:val="start"/>
            <w:rPr>
              <w:rFonts w:hint="eastAsia"/>
            </w:rPr>
          </w:pPr>
          <w:r>
            <w:rPr/>
            <w:t>DETAILED DESCRIPTION SECTION</w:t>
            <w:tab/>
            <w:t>13</w:t>
          </w:r>
        </w:p>
        <w:p>
          <w:pPr>
            <w:pStyle w:val="TOC2"/>
            <w:tabs>
              <w:tab w:val="clear" w:pos="9972"/>
              <w:tab w:val="right" w:pos="10254" w:leader="dot"/>
            </w:tabs>
            <w:bidi w:val="0"/>
            <w:jc w:val="start"/>
            <w:rPr>
              <w:rFonts w:hint="eastAsia"/>
            </w:rPr>
          </w:pPr>
          <w:r>
            <w:rPr/>
            <w:t>CORE TECHNOLOGY OVERVIEW</w:t>
            <w:tab/>
            <w:t>18</w:t>
          </w:r>
        </w:p>
        <w:p>
          <w:pPr>
            <w:pStyle w:val="TOC2"/>
            <w:tabs>
              <w:tab w:val="clear" w:pos="9972"/>
              <w:tab w:val="right" w:pos="10254" w:leader="dot"/>
            </w:tabs>
            <w:bidi w:val="0"/>
            <w:jc w:val="start"/>
            <w:rPr>
              <w:rFonts w:hint="eastAsia"/>
            </w:rPr>
          </w:pPr>
          <w:r>
            <w:rPr/>
            <w:t>ARCHITECTURAL OVERVIEW</w:t>
            <w:tab/>
            <w:t>38</w:t>
          </w:r>
        </w:p>
        <w:p>
          <w:pPr>
            <w:pStyle w:val="TOC2"/>
            <w:tabs>
              <w:tab w:val="clear" w:pos="9972"/>
              <w:tab w:val="right" w:pos="10254" w:leader="dot"/>
            </w:tabs>
            <w:bidi w:val="0"/>
            <w:jc w:val="start"/>
            <w:rPr>
              <w:rFonts w:hint="eastAsia"/>
            </w:rPr>
          </w:pPr>
          <w:r>
            <w:rPr/>
            <w:t>Claim Set (354 Claims)</w:t>
            <w:tab/>
            <w:t>42</w:t>
          </w:r>
        </w:p>
        <w:p>
          <w:pPr>
            <w:pStyle w:val="TOC2"/>
            <w:tabs>
              <w:tab w:val="clear" w:pos="9972"/>
              <w:tab w:val="right" w:pos="10254" w:leader="dot"/>
            </w:tabs>
            <w:bidi w:val="0"/>
            <w:jc w:val="start"/>
            <w:rPr>
              <w:rFonts w:hint="eastAsia"/>
            </w:rPr>
          </w:pPr>
          <w:r>
            <w:rPr/>
            <w:t>ABSTRACT</w:t>
            <w:tab/>
            <w:t>83</w:t>
          </w:r>
          <w:r>
            <w:rPr/>
            <w:fldChar w:fldCharType="end"/>
          </w:r>
        </w:p>
      </w:sdtContent>
    </w:sdt>
    <w:p>
      <w:pPr>
        <w:pStyle w:val="Normal"/>
        <w:bidi w:val="0"/>
        <w:jc w:val="start"/>
        <w:rPr>
          <w:rStyle w:val="Strong"/>
          <w:rFonts w:ascii="Times New Roman" w:hAnsi="Times New Roman"/>
        </w:rPr>
      </w:pPr>
      <w:r>
        <w:rPr>
          <w:rFonts w:ascii="Times New Roman" w:hAnsi="Times New Roman"/>
        </w:rPr>
      </w:r>
      <w:r>
        <w:br w:type="page"/>
      </w:r>
    </w:p>
    <w:p>
      <w:pPr>
        <w:pStyle w:val="Normal"/>
        <w:bidi w:val="0"/>
        <w:spacing w:before="0" w:after="0"/>
        <w:jc w:val="start"/>
        <w:rPr>
          <w:rStyle w:val="Strong"/>
          <w:rFonts w:ascii="Times New Roman" w:hAnsi="Times New Roman"/>
        </w:rPr>
      </w:pPr>
      <w:r>
        <w:rPr>
          <w:rFonts w:ascii="Times New Roman" w:hAnsi="Times New Roman"/>
        </w:rPr>
      </w:r>
    </w:p>
    <w:p>
      <w:pPr>
        <w:sectPr>
          <w:type w:val="nextPage"/>
          <w:pgSz w:w="12240" w:h="15840"/>
          <w:pgMar w:left="1134" w:right="1134" w:gutter="0" w:header="0" w:top="1134" w:footer="0" w:bottom="1134"/>
          <w:pgNumType w:fmt="decimal"/>
          <w:formProt w:val="false"/>
          <w:textDirection w:val="lrTb"/>
        </w:sectPr>
      </w:pPr>
    </w:p>
    <w:p>
      <w:pPr>
        <w:pStyle w:val="Normal"/>
        <w:bidi w:val="0"/>
        <w:spacing w:before="120" w:after="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Heading2"/>
        <w:numPr>
          <w:ilvl w:val="0"/>
          <w:numId w:val="0"/>
        </w:numPr>
        <w:bidi w:val="0"/>
        <w:ind w:hanging="0" w:start="0"/>
        <w:jc w:val="start"/>
        <w:rPr>
          <w:rStyle w:val="Strong"/>
          <w:rFonts w:hint="eastAsia"/>
          <w:b/>
          <w:bCs/>
          <w:sz w:val="24"/>
          <w:szCs w:val="24"/>
        </w:rPr>
      </w:pPr>
      <w:r>
        <w:rPr>
          <w:rFonts w:hint="eastAsia"/>
          <w:b/>
          <w:bCs/>
          <w:sz w:val="24"/>
          <w:szCs w:val="24"/>
        </w:rPr>
      </w:r>
      <w:r>
        <w:br w:type="page"/>
      </w:r>
    </w:p>
    <w:p>
      <w:pPr>
        <w:pStyle w:val="Heading2"/>
        <w:numPr>
          <w:ilvl w:val="1"/>
          <w:numId w:val="1"/>
        </w:numPr>
        <w:bidi w:val="0"/>
        <w:spacing w:before="0" w:after="120"/>
        <w:jc w:val="start"/>
        <w:rPr>
          <w:rFonts w:hint="eastAsia"/>
        </w:rPr>
      </w:pPr>
      <w:bookmarkStart w:id="0" w:name="__RefHeading___Toc117414_805184229"/>
      <w:bookmarkEnd w:id="0"/>
      <w:r>
        <w:rPr>
          <w:rStyle w:val="Strong"/>
          <w:rFonts w:ascii="Times New Roman" w:hAnsi="Times New Roman"/>
          <w:b/>
          <w:bCs/>
          <w:sz w:val="24"/>
          <w:szCs w:val="24"/>
        </w:rPr>
        <w:t>TITLE OF INVENTION</w:t>
      </w:r>
    </w:p>
    <w:p>
      <w:pPr>
        <w:pStyle w:val="Normal"/>
        <w:bidi w:val="0"/>
        <w:jc w:val="start"/>
        <w:rPr>
          <w:rFonts w:hint="eastAsia"/>
        </w:rPr>
      </w:pPr>
      <w:r>
        <w:rPr>
          <w:rStyle w:val="Strong"/>
          <w:rFonts w:ascii="Times New Roman" w:hAnsi="Times New Roman"/>
          <w:bCs w:val="false"/>
          <w:color w:val="222222"/>
        </w:rPr>
        <w:t>Universal Fact-Unit-Centric, Deterministic, Provenance-Grounded Cognitive Engine with a Domain-Governed Knowledge Substrate</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Style w:val="Strong"/>
          <w:rFonts w:ascii="Times New Roman" w:hAnsi="Times New Roman"/>
        </w:rPr>
        <w:t>Inventors:</w:t>
        <w:br/>
        <w:t>Garry S. Howard, Beverly Hills, California and Christopher Caile, Bronx, New York</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Style w:val="Strong"/>
          <w:rFonts w:ascii="Times New Roman" w:hAnsi="Times New Roman"/>
        </w:rPr>
        <w:t>Assignment: MediaGration LLC</w:t>
      </w:r>
    </w:p>
    <w:p>
      <w:pPr>
        <w:pStyle w:val="Normal"/>
        <w:bidi w:val="0"/>
        <w:jc w:val="start"/>
        <w:rPr>
          <w:rFonts w:ascii="Times New Roman" w:hAnsi="Times New Roman"/>
        </w:rPr>
      </w:pPr>
      <w:r>
        <w:rPr>
          <w:rFonts w:ascii="Times New Roman" w:hAnsi="Times New Roman"/>
        </w:rPr>
      </w:r>
    </w:p>
    <w:p>
      <w:pPr>
        <w:pStyle w:val="Heading2"/>
        <w:numPr>
          <w:ilvl w:val="1"/>
          <w:numId w:val="1"/>
        </w:numPr>
        <w:bidi w:val="0"/>
        <w:jc w:val="start"/>
        <w:rPr>
          <w:rFonts w:ascii="Times New Roman" w:hAnsi="Times New Roman"/>
          <w:sz w:val="24"/>
          <w:szCs w:val="24"/>
        </w:rPr>
      </w:pPr>
      <w:bookmarkStart w:id="1" w:name="__RefHeading___Toc117416_805184229"/>
      <w:bookmarkEnd w:id="1"/>
      <w:r>
        <w:rPr>
          <w:rFonts w:ascii="Times New Roman" w:hAnsi="Times New Roman"/>
          <w:sz w:val="24"/>
          <w:szCs w:val="24"/>
        </w:rPr>
        <w:t>RELATED PATENT APPLICATIONS</w:t>
      </w:r>
    </w:p>
    <w:p>
      <w:pPr>
        <w:pStyle w:val="Normal"/>
        <w:bidi w:val="0"/>
        <w:jc w:val="both"/>
        <w:rPr>
          <w:rFonts w:hint="eastAsia"/>
        </w:rPr>
      </w:pPr>
      <w:r>
        <w:rPr>
          <w:rFonts w:ascii="Times New Roman" w:hAnsi="Times New Roman"/>
        </w:rPr>
        <w:t>The present application is one of a family of related United States patent applications directed to a common underlying technology — an atomic, provenance-tracked knowledge primitive termed the Fact Unit, and the systems and methods that create, store, relate, query, secure, and reason over such primitives. The related applications, each of which is incorporated herein by reference in its entirety, are as follows:</w:t>
      </w:r>
    </w:p>
    <w:p>
      <w:pPr>
        <w:pStyle w:val="Normal"/>
        <w:bidi w:val="0"/>
        <w:ind w:hanging="432" w:start="720"/>
        <w:jc w:val="both"/>
        <w:rPr>
          <w:rFonts w:hint="eastAsia"/>
        </w:rPr>
      </w:pPr>
      <w:r>
        <w:rPr>
          <w:rFonts w:ascii="Times New Roman" w:hAnsi="Times New Roman"/>
        </w:rPr>
        <w:t xml:space="preserve">1.  U.S. Provisional Patent Application No. </w:t>
      </w:r>
      <w:r>
        <w:rPr>
          <w:rFonts w:ascii="Times New Roman" w:hAnsi="Times New Roman"/>
          <w:b/>
        </w:rPr>
        <w:t>63/975,036</w:t>
      </w:r>
      <w:r>
        <w:rPr>
          <w:rFonts w:ascii="Times New Roman" w:hAnsi="Times New Roman"/>
        </w:rPr>
        <w:t xml:space="preserve">, filed </w:t>
      </w:r>
      <w:r>
        <w:rPr>
          <w:rFonts w:ascii="Times New Roman" w:hAnsi="Times New Roman"/>
          <w:b/>
        </w:rPr>
        <w:t>February 3, 2026</w:t>
      </w:r>
      <w:r>
        <w:rPr>
          <w:rFonts w:ascii="Times New Roman" w:hAnsi="Times New Roman"/>
        </w:rPr>
        <w:t>, entitled “</w:t>
      </w:r>
      <w:r>
        <w:rPr>
          <w:rFonts w:ascii="Times New Roman" w:hAnsi="Times New Roman"/>
          <w:b/>
        </w:rPr>
        <w:t>QUERYBOOK</w:t>
      </w:r>
      <w:r>
        <w:rPr>
          <w:rFonts w:ascii="Times New Roman" w:hAnsi="Times New Roman"/>
        </w:rPr>
        <w:t>” (Attorney Docket No. TPP96905), directed to the fact-grounded, deterministic question-answering and knowledge engine and its associated interactive modes.</w:t>
      </w:r>
    </w:p>
    <w:p>
      <w:pPr>
        <w:pStyle w:val="Normal"/>
        <w:bidi w:val="0"/>
        <w:ind w:hanging="432" w:start="720"/>
        <w:jc w:val="both"/>
        <w:rPr>
          <w:rFonts w:hint="eastAsia"/>
        </w:rPr>
      </w:pPr>
      <w:r>
        <w:rPr>
          <w:rFonts w:ascii="Times New Roman" w:hAnsi="Times New Roman"/>
        </w:rPr>
        <w:t xml:space="preserve">2.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TPP96906), directed to further developments of the QueryBook engine and its associated systems and methods.</w:t>
      </w:r>
    </w:p>
    <w:p>
      <w:pPr>
        <w:pStyle w:val="Normal"/>
        <w:bidi w:val="0"/>
        <w:ind w:hanging="432" w:start="720"/>
        <w:jc w:val="both"/>
        <w:rPr>
          <w:rFonts w:hint="eastAsia"/>
        </w:rPr>
      </w:pPr>
      <w:r>
        <w:rPr>
          <w:rFonts w:ascii="Times New Roman" w:hAnsi="Times New Roman"/>
        </w:rPr>
        <w:t xml:space="preserve">3.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TPP99488), directed to the Unified Fact Cognitive Substrate and Fact Query Language (UFCS/FQL) — a content-addressed graph substrate and joint structure-and-trust query layer over Fact Units.</w:t>
      </w:r>
    </w:p>
    <w:p>
      <w:pPr>
        <w:pStyle w:val="Normal"/>
        <w:bidi w:val="0"/>
        <w:ind w:hanging="432" w:start="720"/>
        <w:jc w:val="both"/>
        <w:rPr>
          <w:rFonts w:hint="eastAsia"/>
        </w:rPr>
      </w:pPr>
      <w:r>
        <w:rPr>
          <w:rFonts w:ascii="Times New Roman" w:hAnsi="Times New Roman"/>
        </w:rPr>
        <w:t xml:space="preserve">4.  U.S. Provisional Patent Application No. </w:t>
      </w:r>
      <w:r>
        <w:rPr>
          <w:rFonts w:ascii="Times New Roman" w:hAnsi="Times New Roman"/>
          <w:b/>
          <w:highlight w:val="yellow"/>
        </w:rPr>
        <w:t>[serial no. __________]</w:t>
      </w:r>
      <w:r>
        <w:rPr>
          <w:rFonts w:ascii="Times New Roman" w:hAnsi="Times New Roman"/>
        </w:rPr>
        <w:t xml:space="preserve">, filed </w:t>
      </w:r>
      <w:r>
        <w:rPr>
          <w:rFonts w:ascii="Times New Roman" w:hAnsi="Times New Roman"/>
          <w:b/>
          <w:highlight w:val="yellow"/>
        </w:rPr>
        <w:t>[date __________]</w:t>
      </w:r>
      <w:r>
        <w:rPr>
          <w:rFonts w:ascii="Times New Roman" w:hAnsi="Times New Roman"/>
        </w:rPr>
        <w:t xml:space="preserve"> (Attorney Docket No. TPP99489), directed to a fact-grounded search engine and artificial-intelligence engine built upon the same Fact Unit technology.</w:t>
      </w:r>
    </w:p>
    <w:p>
      <w:pPr>
        <w:pStyle w:val="Normal"/>
        <w:bidi w:val="0"/>
        <w:ind w:hanging="432" w:start="720"/>
        <w:jc w:val="both"/>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The foregoing applications share at least one common inventor with the present application and are subject to a common obligation of assignment. The technologies disclosed therein are complementary and interoperable: the Fact Unit primitive of application (1) is the record that the UFCS/FQL substrate of application (3) stores and queries, and upon which the search and artificial-intelligence engines of application (4) and the further developments of application (2) operate. To the extent that subject matter claimed in the present application is disclosed in any of the foregoing applications, priority is claimed thereto as set forth in the Cross-Reference to Related Applications above; nothing in this section shall be construed to disclaim any such priority.</w:t>
      </w:r>
    </w:p>
    <w:p>
      <w:pPr>
        <w:pStyle w:val="Normal"/>
        <w:bidi w:val="0"/>
        <w:spacing w:before="240" w:after="200"/>
        <w:jc w:val="start"/>
        <w:rPr>
          <w:rFonts w:hint="eastAsia"/>
        </w:rPr>
      </w:pPr>
      <w:r>
        <w:rPr>
          <w:rFonts w:ascii="Times New Roman" w:hAnsi="Times New Roman"/>
        </w:rPr>
        <w:t>[Drafting note — not part of the specification: This descriptive section pairs with, and does not replace, the formal Cross-Reference to Related Applications, which carries the operative 35 U.S.C. § 119(e) benefit claim. Complete the highlighted serial numbers, filing dates, and titles from each provisional’s filing receipt, and confirm the docket-to-subject mapping (TPP96906 = further QueryBook; TPP99488 = UFCS/FQL; TPP99489 = Search + AI Engine) before filing.]</w:t>
      </w:r>
      <w:r>
        <w:br w:type="page"/>
      </w:r>
    </w:p>
    <w:p>
      <w:pPr>
        <w:pStyle w:val="Heading2"/>
        <w:numPr>
          <w:ilvl w:val="1"/>
          <w:numId w:val="1"/>
        </w:numPr>
        <w:bidi w:val="0"/>
        <w:spacing w:before="0" w:after="120"/>
        <w:jc w:val="start"/>
        <w:rPr>
          <w:rFonts w:hint="eastAsia"/>
          <w:sz w:val="24"/>
          <w:szCs w:val="24"/>
        </w:rPr>
      </w:pPr>
      <w:bookmarkStart w:id="2" w:name="__RefHeading___Toc46838_805184229"/>
      <w:bookmarkEnd w:id="2"/>
      <w:r>
        <w:rPr>
          <w:rFonts w:ascii="Times New Roman" w:hAnsi="Times New Roman"/>
          <w:sz w:val="24"/>
          <w:szCs w:val="24"/>
        </w:rPr>
        <w:t>FIELD OF THE INVENTION</w:t>
      </w:r>
    </w:p>
    <w:p>
      <w:pPr>
        <w:pStyle w:val="Normal"/>
        <w:bidi w:val="0"/>
        <w:spacing w:lineRule="auto" w:line="312" w:before="0" w:after="160"/>
        <w:jc w:val="start"/>
        <w:rPr>
          <w:rFonts w:hint="eastAsia"/>
        </w:rPr>
      </w:pPr>
      <w:r>
        <w:rPr>
          <w:rStyle w:val="Strong"/>
          <w:rFonts w:ascii="Times New Roman" w:hAnsi="Times New Roman"/>
          <w:b w:val="false"/>
          <w:bCs w:val="false"/>
        </w:rPr>
        <w:t>The present invention relates to and applies across generally to artificial intelligence, machine cognition, and knowledge-representation systems. More particularly, the invention relates to a deterministic, explainable, graph-based artificial-intelligence engine built upon an atomic, sub-language, provenance-tracked knowledge primitives, Large Language Model (LLM) artificial-intelligence systems and their associated Agents and ChatBots, graph-based artificial-intelligence systems, retrieval-augmented generation (RAG) systems, question-and-answer (Q&amp;A) systems, multi-language and machine-translation systems, audio and visual compression and expansion systems, virtual-reality (VR) and three-dimensional (3D) systems, colorization systems,  information storage and retrieval systems, semantic search and search-engine systems, specialized, private, and self-hosted artificial-intelligence systems, multimodal and neuromorphic reasoning systems, content-addressed and deduplicated knowledge stores and world-model systems, artificial-intelligence safety and agent-governance systems, including anti-rogue and anti-worm controls, cybersecurity and intrusion-defense systems, including post-quantum provenance, network transport systems, data-storage-efficiency and systems in which structured, explainable, and verifiable machine knowledge is advantageous.</w:t>
      </w:r>
    </w:p>
    <w:p>
      <w:pPr>
        <w:pStyle w:val="Normal"/>
        <w:bidi w:val="0"/>
        <w:jc w:val="start"/>
        <w:rPr>
          <w:rFonts w:hint="eastAsia"/>
        </w:rPr>
      </w:pPr>
      <w:r>
        <w:rPr>
          <w:rFonts w:ascii="Times New Roman" w:hAnsi="Times New Roman"/>
        </w:rPr>
        <w:br/>
      </w:r>
    </w:p>
    <w:p>
      <w:pPr>
        <w:pStyle w:val="Heading2"/>
        <w:numPr>
          <w:ilvl w:val="1"/>
          <w:numId w:val="1"/>
        </w:numPr>
        <w:bidi w:val="0"/>
        <w:spacing w:before="0" w:after="0"/>
        <w:jc w:val="start"/>
        <w:rPr>
          <w:rFonts w:hint="eastAsia"/>
          <w:vanish/>
          <w:specVanish/>
        </w:rPr>
      </w:pPr>
      <w:bookmarkStart w:id="3" w:name="__RefHeading___Toc50703_805184229"/>
      <w:bookmarkEnd w:id="3"/>
      <w:r>
        <w:rPr>
          <w:rStyle w:val="Strong"/>
          <w:rFonts w:ascii="Times New Roman" w:hAnsi="Times New Roman"/>
          <w:b/>
          <w:bCs/>
          <w:sz w:val="24"/>
          <w:szCs w:val="24"/>
        </w:rPr>
        <w:t>DESCRIPTION OF THE RELATED ART</w:t>
      </w:r>
    </w:p>
    <w:p>
      <w:pPr>
        <w:pStyle w:val="BodyText"/>
        <w:bidi w:val="0"/>
        <w:jc w:val="start"/>
        <w:rPr>
          <w:rFonts w:hint="eastAsia"/>
        </w:rPr>
      </w:pPr>
      <w:r/>
      <w:r>
        <w:rPr/>
      </w:r>
      <w:r>
        <w:rPr>
          <w:rStyle w:val="Strong"/>
          <w:rFonts w:ascii="Times New Roman" w:hAnsi="Times New Roman"/>
        </w:rPr>
        <w:br/>
      </w:r>
      <w:r>
        <w:rPr>
          <w:rStyle w:val="Strong"/>
          <w:rFonts w:ascii="Times New Roman" w:hAnsi="Times New Roman"/>
          <w:b w:val="false"/>
          <w:color w:val="1D2228"/>
        </w:rPr>
        <w:t>Artificial-intelligence and knowledge systems of several established types are known in the art. Large Language Model (LLM) systems, and the Agents and ChatBots built upon them, generate responses by predicting sequences of tokens from statistical patterns learned during training. Graph-based artificial-intelligence systems, including knowledge graphs and graph neural networks, represent entities and relationships as nodes and edges and reason over that structure. Retrieval-Augmented Generation (RAG) systems attempt to ground language-model output by retrieving passages from an external corpus and supplying them to the model as additional context. Question-and-answer (Q&amp;A) systems return answers to natural-language questions by matching, ranking, or extracting spans of text from a document collection.</w:t>
        <w:br/>
        <w:br/>
        <w:t>Related systems are likewise known in adjacent fields. Multi-language and machine-translation systems convert text or speech from one natural language to another using statistical or neural models. Audio and visual compression and expansion systems reduce the size of media for storage or transmission and reconstruct it for playback, typically by exploiting perceptual redundancy and, in video, similarity between successive frames. Virtual-reality (VR) and three-dimensional (3D) systems construct and render immersive scenes and models for display and interaction. Colorization systems add or restore color to monochrome images and video, often by inference from learned examples. Information storage and retrieval systems index and return documents or records in response to queries, using inverted indexes, relational databases, or, more recently, vector embeddings and approximate nearest-neighbor search.</w:t>
        <w:br/>
        <w:br/>
        <w:t>Limitations of the Related Art. Notwithstanding their utility, the foregoing systems suffer from a number of recurring limitations.</w:t>
        <w:br/>
        <w:br/>
        <w:t>Language-model systems and the Agents and ChatBots derived from them are probabilistic rather than deterministic: the same input may yield different outputs, and the systems are prone to fabricating plausible but incorrect information (commonly termed "hallucination"). Their internal reasoning is largely opaque, so outputs are difficult to explain, audit, or trace to a verifiable source, and they generally do not carry reliable provenance, confidence, or citation for the assertions they produce. What is needed in such language-model, Agent, and ChatBot systems is output that is deterministic and reproducible, that can be explained and audited, and that arrives accompanied by verifiable provenance, an explicit measure of confidence, and citation to the source of each assertion, together with built-in constraints that keep autonomous agents within defined and safe bounds of action.</w:t>
        <w:br/>
        <w:br/>
        <w:t>Retrieval-augmented and Q&amp;A systems mitigate, but do not eliminate, these problems: retrieval quality is limited by the indexing and embedding scheme, retrieved passages may be irrelevant, contradictory, or stale, and the generating model remains free to depart from the retrieved evidence. Such systems also lack a principled mechanism for detecting and reconciling conflicting information drawn from multiple sources. What is needed in retrieval-augmented and Q&amp;A systems is retrieval that returns verified and current information rather than merely nearby text, output that remains faithful to and traceable to that evidence, and a principled means of detecting, weighing, and reconciling information that conflicts across sources or that has changed over time.</w:t>
        <w:br/>
        <w:br/>
        <w:t>Graph-based systems provide structure and explicit relationships, but conventional knowledge graphs are typically language-bound and schema-bound, are costly to construct and maintain, and generally do not natively represent the confidence, provenance, temporal validity, or contradiction status of the knowledge they store. What is needed in graph-based systems is a representation that is independent of any single language or rigid schema, that can be extended across domains without prohibitive cost, and that carries, as a native property of the stored knowledge itself, the confidence in it, its origin, the period over which it holds true, and whether it is contradicted by other stored knowledge.</w:t>
        <w:br/>
        <w:br/>
        <w:t>Information storage and retrieval systems, whether based on inverted indexes, relational schemas, or vector embeddings, return documents or nearest neighbors rather than verified facts, duplicate substantially similar content across records rather than consolidating it, and do not by themselves establish the trustworthiness or origin of the information retrieved. What is needed in storage and retrieval systems is the ability to return verified units of knowledge rather than whole documents or approximate matches, to consolidate substantially identical content so that it is stored once rather than repeatedly, and to establish the trustworthiness and origin of what is retrieved as an inherent attribute of the stored information.</w:t>
        <w:br/>
        <w:br/>
        <w:t>The media-oriented systems face their own constraints. Audio and visual compression schemes reduce redundancy at the signal level but do not capture the meaning of the content, so repeated or semantically equivalent material is re-encoded and re-transmitted rather than referenced, and the stored result is not readily searchable by meaning. What is needed in audio and visual compression and expansion systems is a way to represent content by its meaning as well as its signal, so that material recurring across time or across sources can be referenced rather than repeatedly encoded and transmitted, and so that the stored result is searchable by meaning and not solely by low-level features.</w:t>
        <w:br/>
        <w:br/>
        <w:t>Multi-language and translation systems operate largely at the surface level of language and can lose or distort meaning, particularly across languages with differing structure or cultural context. What is needed in multi-language and translation systems is a shared, language-independent representation of meaning that can be captured once and expressed in any language, preserving structure, context, and cultural nuance rather than mapping words at the surface.</w:t>
        <w:br/>
        <w:br/>
        <w:t>VR/3D and colorization systems are similarly content- and computation-intensive and do not, by themselves, provide a structured, verifiable representation of the underlying subject matter. What is needed in VR/3D and colorization systems is a structured and verifiable representation of the underlying subject matter to which the rendered or restored output can be anchored, so that results are consistent, explainable, and reusable rather than regenerated anew for each use.</w:t>
        <w:br/>
        <w:br/>
        <w:t>Across all of these fields, the conventional approaches share common shortcomings: outputs that are difficult to verify, explain, or attribute to a source; substantial duplication of stored and transmitted data; heavy demands on processing, memory, energy, and physical infrastructure; and the absence of a unified, language-independent representation of knowledge that carries its own provenance, confidence, and trust. A need therefore exists, across all of these fields, for systems that provide verifiable, explainable, and attributable output; that consolidate rather than duplicate stored and transmitted data, thereby reducing the processing, memory, energy, and physical infrastructure required; and that rest upon a unified, language-independent representation of knowledge carrying its own provenance, confidence, and trust.</w:t>
      </w:r>
      <w:r>
        <w:rPr>
          <w:rStyle w:val="Strong"/>
          <w:rFonts w:ascii="Times New Roman" w:hAnsi="Times New Roman"/>
        </w:rPr>
        <w:t xml:space="preserve"> </w:t>
      </w:r>
    </w:p>
    <w:p>
      <w:pPr>
        <w:pStyle w:val="BodyText"/>
        <w:bidi w:val="0"/>
        <w:jc w:val="start"/>
        <w:rPr>
          <w:rFonts w:hint="eastAsia"/>
        </w:rPr>
      </w:pPr>
      <w:r>
        <w:rPr>
          <w:rStyle w:val="Strong"/>
          <w:rFonts w:ascii="Times New Roman" w:hAnsi="Times New Roman"/>
          <w:b w:val="false"/>
          <w:color w:val="1D2228"/>
          <w:highlight w:val="yellow"/>
        </w:rPr>
        <w:t xml:space="preserve">Related art concerning autonomous agents and their supporting infrastructure is also known. Agent frameworks and tool protocols, including the Model Context Protocol, allow a language-model agent to call external tools, read files, and act on a user’s behalf. Document-ingestion pipelines extract text from files of many formats for indexing or for supply to a model. Blockchain notarization services record the hash of a document on a public ledger, and non-fungible tokens record ownership of a digital item. Deception technologies — honeypots, honeytokens, and canary credentials — are used to detect intruders, and append-only logs and Merkle-tree structures are used to make records tamper-evident. Streaming systems deliver media over TCP/IP in formats such as HLS, MPEG-DASH, and RTMP.</w:t>
      </w:r>
    </w:p>
    <w:p>
      <w:pPr>
        <w:pStyle w:val="BodyText"/>
        <w:bidi w:val="0"/>
        <w:jc w:val="start"/>
        <w:rPr>
          <w:rFonts w:hint="eastAsia"/>
        </w:rPr>
      </w:pPr>
      <w:r>
        <w:rPr>
          <w:rStyle w:val="Strong"/>
          <w:rFonts w:ascii="Times New Roman" w:hAnsi="Times New Roman"/>
          <w:b w:val="false"/>
          <w:color w:val="1D2228"/>
          <w:highlight w:val="yellow"/>
        </w:rPr>
        <w:t xml:space="preserve">These systems leave recurring gaps when applied to knowledge systems used by AI agents. An agent that reads a file can be redirected by instructions hidden in that file (prompt injection); an agent connected through a tool protocol commonly receives whatever capability the tool exposes; an intruder who obtains an agent’s identity can impersonate it; and security logs held on the attacked host can be altered after the fact. A notarized hash attests that a document existed but not its lineage, revocation, or licence status, and conventional media transport carries no provenance for the content it delivers. What is needed is ingestion that treats every file as data and never as instruction; certification of knowledge that any third party can verify, with lineage and revocation; protection that detects, contains, and records hostile agent behaviour without exposing production data; security records whose alteration is detectable against copies the host cannot change; agent connections that confer no capability beyond a declared allow-list; and transport that carries provenance with both records and media.</w:t>
      </w:r>
    </w:p>
    <w:p>
      <w:pPr>
        <w:pStyle w:val="Heading2"/>
        <w:numPr>
          <w:ilvl w:val="1"/>
          <w:numId w:val="1"/>
        </w:numPr>
        <w:bidi w:val="0"/>
        <w:spacing w:before="0" w:after="120"/>
        <w:jc w:val="start"/>
        <w:rPr>
          <w:rFonts w:hint="eastAsia"/>
        </w:rPr>
      </w:pPr>
      <w:bookmarkStart w:id="4" w:name="__RefHeading___Toc46814_805184229"/>
      <w:bookmarkEnd w:id="4"/>
      <w:r>
        <w:rPr>
          <w:rStyle w:val="Strong"/>
          <w:rFonts w:ascii="Times New Roman" w:hAnsi="Times New Roman"/>
          <w:b/>
          <w:bCs/>
          <w:sz w:val="24"/>
          <w:szCs w:val="24"/>
        </w:rPr>
        <w:t>SUMMARY OF THE INVENTION</w:t>
      </w:r>
    </w:p>
    <w:p>
      <w:pPr>
        <w:pStyle w:val="Normal"/>
        <w:bidi w:val="0"/>
        <w:jc w:val="start"/>
        <w:rPr>
          <w:rFonts w:hint="eastAsia"/>
        </w:rPr>
      </w:pPr>
      <w:r>
        <w:rPr>
          <w:rFonts w:ascii="Times New Roman" w:hAnsi="Times New Roman"/>
          <w:b/>
          <w:color w:val="1A2235"/>
        </w:rPr>
        <w:t>A.  QueryBook Summary</w:t>
      </w:r>
    </w:p>
    <w:p>
      <w:pPr>
        <w:pStyle w:val="Normal"/>
        <w:bidi w:val="0"/>
        <w:jc w:val="both"/>
        <w:rPr>
          <w:rFonts w:hint="eastAsia"/>
        </w:rPr>
      </w:pPr>
      <w:r>
        <w:rPr>
          <w:rFonts w:ascii="Times New Roman" w:hAnsi="Times New Roman"/>
        </w:rPr>
        <w:t>QueryBook is a deterministic, multimodal cognitive AI engine designed to transform how digital information is represented, understood, and used. Unlike probabilistic language models and retrieval-based systems, QueryBook operates on a new primitive — atomic semantic structures called Fact Units. They store meaning below language and form the foundation for its new AI architectural model, allowing it to interpret content deterministically, regenerate meaning in any language or modality, and provide stable, traceable answers grounded in verifiable semantic units rather than statistical text patterns. Each Fact Unit carries a calibrated confidence built from evidence for and against its assertion, weighted by the diversity of its sources, together with a cryptographically verifiable provenance chain that allows any answer to be independently audited, and determinism itself is testable, with every response carrying a context key under which identical conditions must produce identical results.</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is built on Fact Units, and its neuromorphic multilevel reasoning architecture, with predictive and Baconian adaptive response logic and intelligence within a flexible open framework capable of operating across any device, database, or content ecosystem. Each Fact Unit is an atomic, language-independent meaning structure that stores what something is, not how it was written. Unlike language models that store patterns of text, QueryBook stores meaning below language — allowing it to regenerate knowledge in any language or modality without drift or ambiguity. Each Fact Unit carries a Bayesian confidence pair (evidence for and against) weighted by source diversity, a cryptographically verifiable provenance chain, temporal anchors, semantic lineage, multimodal attachments, exceptions, and a language-independent semantic fingerprint. The confidence model is not a scalar: it accumulates evidence for and against separately, so that a settled assertion resists revision from a single contradicting source by arithmetic rather than by rule, while a provisional assertion revises substantially under the same challenge. Fact Units also carry a confidence trend field (ascending, stable, declining, or contested) that tracks whether the evidence base for a claim is growing or weakening over a configurable time window — enabling adaptive response logic tuned to the current state of knowledge, not merely its current level.</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Underlying QueryBook is a novel foundation layer for graph computing formed by the Fact Unit together with UFCS and FQL. The Fact Unit is the record; the Unified Fact Cognitive Substrate (UFCS) is the substrate that stores, relates, and governs those records; and the Fact Query Language (FQL) is the language that queries them. Each Fact Unit is content-addressed by an identifier derived from its own meaning, so that identical assertions from different sources converge on a single record and strengthen it through corroboration rather than multiplying it. On UFCS the records relate through a graph of pairwise edges, a hypergraph of relations binding three or more records as a single multi-entity assertion, and directed reasoning chains that are traversed to explain a conclusion, while contradictions are detected and clustered structurally. FQL operates directly on this substrate and, in a single query, filters records jointly on their semantic structure and on their certification trust, freshness, and status, executing by a trust-native model in which trust is derived from authority, corroboration, and contradiction state, propagated along reasoning chains, and used to prune and rank rather than applied as a filter after the fact. This Fact Unit, UFCS, and FQL combination is what makes QueryBook a foundation layer for graph computing rather than an application built upon one: it unifies structured representation, authority-certified trust, and query within a single fabric, and QueryBook — like other graph and intelligent systems — is built upon it, operating with or without it and gaining its advantages wherever it is connected.</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The invention introduces a neuromorphic, multi-nodal, multi-level reasoning system that mirrors core principles of human cognition. QueryBook integrates perception, conceptual understanding, temporal reasoning, analogy formation, and predictive modeling into a unified cognitive substrate capable of interpreting text, images, diagrams, audio, video, and spatial environments. Its world-view hypergraph organizes concepts, objects, states, transitions, physics, tasks, and cross-domain relationships into a coherent conceptual model that evolves over time — storing how the world works, while Fact Units store the specific facts and assertions that populate that model. This enables QueryBook to perform deterministic Q&amp;A, cross-document synthesis, contradiction detection, multimodal interpretation, and scenario modeling with high accuracy and consistency.</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combines Aristotelian deductive reasoning with Baconian empirical reasoning through a feedback loop that continuously refines its models in response to new information and real-world outcomes. This dual reasoning architecture is particularly valuable in business environments where conditions change rapidly and decisions must incorporate new evidence. Baconian reasoning in QueryBook operates through observation diversity — each evidence contribution is attributed to a registered source class, a generalization requires both a count floor and a diversity floor, and a response resting on evidence concentrated in a single source class discloses that concentration.</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B. What QueryBook Does That No Other System Does</w:t>
      </w:r>
    </w:p>
    <w:p>
      <w:pPr>
        <w:pStyle w:val="Normal"/>
        <w:bidi w:val="0"/>
        <w:jc w:val="start"/>
        <w:rPr>
          <w:rFonts w:hint="eastAsia"/>
        </w:rPr>
      </w:pPr>
      <w:r>
        <w:rPr>
          <w:rFonts w:ascii="Times New Roman" w:hAnsi="Times New Roman"/>
          <w:b/>
          <w:i/>
        </w:rPr>
        <w:t>Bayesian confidence at the knowledge-atom level.</w:t>
      </w:r>
    </w:p>
    <w:p>
      <w:pPr>
        <w:pStyle w:val="Normal"/>
        <w:bidi w:val="0"/>
        <w:jc w:val="both"/>
        <w:rPr>
          <w:rFonts w:hint="eastAsia"/>
        </w:rPr>
      </w:pPr>
      <w:r>
        <w:rPr>
          <w:rFonts w:ascii="Times New Roman" w:hAnsi="Times New Roman"/>
        </w:rPr>
        <w:t>Every Fact Unit carries a Beta distribution posterior as its confidence score, updated by conjugate addition with source-reliability weighting, temporal decay with domain-specific half-lives, and diversity-weighted evidence. Confidence is mathematically principled, not a heuristic score.</w:t>
      </w:r>
    </w:p>
    <w:p>
      <w:pPr>
        <w:pStyle w:val="Normal"/>
        <w:bidi w:val="0"/>
        <w:jc w:val="start"/>
        <w:rPr>
          <w:rFonts w:hint="eastAsia"/>
        </w:rPr>
      </w:pPr>
      <w:r>
        <w:rPr>
          <w:rFonts w:ascii="Times New Roman" w:hAnsi="Times New Roman"/>
          <w:b/>
          <w:i/>
        </w:rPr>
        <w:t xml:space="preserve">  </w:t>
      </w:r>
      <w:r>
        <w:rPr>
          <w:rFonts w:ascii="Times New Roman" w:hAnsi="Times New Roman"/>
          <w:b/>
          <w:i/>
        </w:rPr>
        <w:t>Neuromorphic retrieval with formal capacity bounds.</w:t>
      </w:r>
    </w:p>
    <w:p>
      <w:pPr>
        <w:pStyle w:val="Normal"/>
        <w:bidi w:val="0"/>
        <w:jc w:val="both"/>
        <w:rPr>
          <w:rFonts w:hint="eastAsia"/>
        </w:rPr>
      </w:pPr>
      <w:r>
        <w:rPr>
          <w:rFonts w:ascii="Times New Roman" w:hAnsi="Times New Roman"/>
        </w:rPr>
        <w:t>Retrieval uses a Hopfield-style Attractor Network with a capacity governor that prevents catastrophic interference. The system formally proves it operates below the retrieval-phase boundary α_c ≈ 0.138 at all time.</w:t>
      </w:r>
    </w:p>
    <w:p>
      <w:pPr>
        <w:pStyle w:val="Normal"/>
        <w:bidi w:val="0"/>
        <w:jc w:val="start"/>
        <w:rPr>
          <w:rFonts w:hint="eastAsia"/>
        </w:rPr>
      </w:pPr>
      <w:r>
        <w:rPr>
          <w:rFonts w:ascii="Times New Roman" w:hAnsi="Times New Roman"/>
          <w:b/>
          <w:i/>
        </w:rPr>
        <w:t xml:space="preserve">  </w:t>
      </w:r>
      <w:r>
        <w:rPr>
          <w:rFonts w:ascii="Times New Roman" w:hAnsi="Times New Roman"/>
          <w:b/>
          <w:i/>
        </w:rPr>
        <w:t>Governed agent framework with structural authority limits.</w:t>
      </w:r>
    </w:p>
    <w:p>
      <w:pPr>
        <w:pStyle w:val="Normal"/>
        <w:bidi w:val="0"/>
        <w:jc w:val="both"/>
        <w:rPr>
          <w:rFonts w:hint="eastAsia"/>
        </w:rPr>
      </w:pPr>
      <w:r>
        <w:rPr>
          <w:rFonts w:ascii="Times New Roman" w:hAnsi="Times New Roman"/>
        </w:rPr>
        <w:t>Every agent’s authority is computed at each action as the intersection of its declared template and its commissioner’s current entitlements. An agent can never exceed what its commissioner can authorize at that moment. Sentinel heterogeneity is formally specified: the monitoring AI must come from a provably different model family.</w:t>
      </w:r>
    </w:p>
    <w:p>
      <w:pPr>
        <w:pStyle w:val="Normal"/>
        <w:bidi w:val="0"/>
        <w:jc w:val="start"/>
        <w:rPr>
          <w:rFonts w:hint="eastAsia"/>
        </w:rPr>
      </w:pPr>
      <w:r>
        <w:rPr>
          <w:rFonts w:ascii="Times New Roman" w:hAnsi="Times New Roman"/>
          <w:b/>
          <w:i/>
        </w:rPr>
        <w:t xml:space="preserve">   </w:t>
      </w:r>
      <w:r>
        <w:rPr>
          <w:rFonts w:ascii="Times New Roman" w:hAnsi="Times New Roman"/>
          <w:b/>
          <w:i/>
        </w:rPr>
        <w:t>Human Approval Governance with Default-on-Deny.</w:t>
      </w:r>
    </w:p>
    <w:p>
      <w:pPr>
        <w:pStyle w:val="Normal"/>
        <w:bidi w:val="0"/>
        <w:jc w:val="both"/>
        <w:rPr>
          <w:rFonts w:hint="eastAsia"/>
        </w:rPr>
      </w:pPr>
      <w:r>
        <w:rPr>
          <w:rFonts w:ascii="Times New Roman" w:hAnsi="Times New Roman"/>
        </w:rPr>
        <w:t>Every human-approval request has a configured timeout. When that timeout expires, the answer is always denial — never approval. No configuration can reverse this. Self-learning processes are subject to operation-count triggers and three-consecutive-timeout suspension.</w:t>
      </w:r>
    </w:p>
    <w:p>
      <w:pPr>
        <w:pStyle w:val="Normal"/>
        <w:bidi w:val="0"/>
        <w:jc w:val="start"/>
        <w:rPr>
          <w:rFonts w:hint="eastAsia"/>
        </w:rPr>
      </w:pPr>
      <w:r>
        <w:rPr>
          <w:rFonts w:ascii="Times New Roman" w:hAnsi="Times New Roman"/>
          <w:b/>
          <w:i/>
        </w:rPr>
        <w:t xml:space="preserve">   </w:t>
      </w:r>
      <w:r>
        <w:rPr>
          <w:rFonts w:ascii="Times New Roman" w:hAnsi="Times New Roman"/>
          <w:b/>
          <w:i/>
        </w:rPr>
        <w:t>Procedural skill knowledge from sensory input.</w:t>
      </w:r>
    </w:p>
    <w:p>
      <w:pPr>
        <w:pStyle w:val="Normal"/>
        <w:bidi w:val="0"/>
        <w:jc w:val="both"/>
        <w:rPr>
          <w:rFonts w:hint="eastAsia"/>
        </w:rPr>
      </w:pPr>
      <w:r>
        <w:rPr>
          <w:rFonts w:ascii="Times New Roman" w:hAnsi="Times New Roman"/>
        </w:rPr>
        <w:t>Path 2 (the Skill Acquisition Path) converts demonstrations of skills into Schema Nodes that record not just what to do but what correct execution feels like — force profiles, kinematic trajectories, auditory signatures, visual postures, and transition cues — from tactile, haptic, proprioceptive, and kinesthetic sensors.</w:t>
      </w:r>
    </w:p>
    <w:p>
      <w:pPr>
        <w:pStyle w:val="Normal"/>
        <w:bidi w:val="0"/>
        <w:jc w:val="start"/>
        <w:rPr>
          <w:rFonts w:hint="eastAsia"/>
        </w:rPr>
      </w:pPr>
      <w:r>
        <w:rPr>
          <w:rFonts w:ascii="Times New Roman" w:hAnsi="Times New Roman"/>
          <w:b/>
          <w:i/>
        </w:rPr>
        <w:t xml:space="preserve">  </w:t>
      </w:r>
      <w:r>
        <w:rPr>
          <w:rFonts w:ascii="Times New Roman" w:hAnsi="Times New Roman"/>
          <w:b/>
          <w:i/>
        </w:rPr>
        <w:t>QueryBook’s Novel Mechanisms</w:t>
      </w:r>
    </w:p>
    <w:p>
      <w:pPr>
        <w:pStyle w:val="Normal"/>
        <w:bidi w:val="0"/>
        <w:jc w:val="both"/>
        <w:rPr>
          <w:rFonts w:hint="eastAsia"/>
        </w:rPr>
      </w:pPr>
      <w:r>
        <w:rPr>
          <w:rFonts w:ascii="Times New Roman" w:hAnsi="Times New Roman"/>
        </w:rPr>
        <w:t>The disclosed system introduces at least the following independently novel mechanisms: (1) the Fact Unit as an atomic semantic knowledge record with a diversity-weighted Bayesian evidence pair, a domain-specific temporal decay function, a 90-day confidence trend field, and a cryptographically-verifiable provenance reference, novel over prior-art vector embeddings, RDF triples, and sparse distributed representations individually and in combination; (2) a three-tier confidence initialization function assigning Beta prior parameters based on source reliability class and Fact Type; (3) a World-View Model storing hypergraph concept models of how the world works, structurally distinct from the Fact Units that supply its inputs; (4) a four-path ingestion architecture comprising a Declarative Knowledge Path, a Skill Acquisition Path with SensorySignature capture across six sensory modalities, a World Model Formation Path with an episodic flush mechanism, and a Live Data Path; (5) a Human Approval Governance Framework with structurally-enforced Default-on-Deny timeout behavior; (6) an AI Agent Passport System providing zero-trust cryptographic identity with unconditional propagation blocks; (7) a seven-layer AI Worm Defense Architecture with a sixty-second automated kill switch; (8) a Universal 7 Layer Security Architecture (Postures, Proactive, Reactive, Pre-emptive, Counter, Offensive &amp; Deceptive) with an AI Attack Prediction Engine and Universal Honeypot Saturation including a configurable infinite-apparent-volume Data Firehose; (9) a QueryBook-enhanced TCP/IP hybrid protocol carrying Fact Unit identifiers and provenance references alongside network data; and (10) a Fact Unit, UFCS, and FQL foundation layer for graph computing, in which content-addressed Fact Units are carried within certified, trust-scored envelopes on a graph, hypergraph, and reasoning-chain substrate and are queried by a language that filters jointly on structure and certification trust and executes by trust-native propagation and pruning, novel over prior-art graph and content-addressed systems in its unification of decomposed assertion structure, per-assertion authority certification, computed trust, and joint structure-and-trust query within a single fabric.</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C.  Architecture, Module Optimization, and Deployment Modes</w:t>
      </w:r>
    </w:p>
    <w:p>
      <w:pPr>
        <w:pStyle w:val="Normal"/>
        <w:bidi w:val="0"/>
        <w:jc w:val="both"/>
        <w:rPr>
          <w:rFonts w:hint="eastAsia"/>
        </w:rPr>
      </w:pPr>
      <w:r>
        <w:rPr>
          <w:rFonts w:ascii="Times New Roman" w:hAnsi="Times New Roman"/>
        </w:rPr>
        <w:t>QueryBook’s architecture is organized into fifteen operationally distinct domains, each owning a specific set of decisions and communicating with other domains through a formally governed Domain Transfer Matrix. The modular partition enables QueryBook to optimize its module utilization dynamically. Knowledge-layer domains are corpus-proportional and batch-tolerant; Reasoning-layer domains are query-proportional and latency-sensitive; Platform-layer domains are independently omittable. QueryBook operates across five formally specified deployment topologies: cloud SaaS, local server, hybrid, single-device (fully offline on smartphone or tablet), and edge. The Domain Transfer Matrix is invariant across all five topologies — the same safety, governance, and provenance guarantees hold identically whether QueryBook is running on a datacenter or a smartphone. The Fact Unit, UFCS, and FQL foundation layer is likewise invariant across these topologies: the same content-addressed substrate and joint structure-and-trust query semantics operate identically at every scale, so the foundation-layer advantages travel with the deployment.</w:t>
      </w:r>
    </w:p>
    <w:p>
      <w:pPr>
        <w:pStyle w:val="Normal"/>
        <w:bidi w:val="0"/>
        <w:jc w:val="start"/>
        <w:rPr>
          <w:rFonts w:ascii="Times New Roman" w:hAnsi="Times New Roman"/>
        </w:rPr>
      </w:pPr>
      <w:r>
        <w:rPr>
          <w:rFonts w:ascii="Times New Roman" w:hAnsi="Times New Roman"/>
        </w:rPr>
      </w:r>
    </w:p>
    <w:p>
      <w:pPr>
        <w:pStyle w:val="Normal"/>
        <w:bidi w:val="0"/>
        <w:jc w:val="both"/>
        <w:rPr>
          <w:rFonts w:hint="eastAsia"/>
        </w:rPr>
      </w:pPr>
      <w:r>
        <w:rPr>
          <w:rFonts w:ascii="Times New Roman" w:hAnsi="Times New Roman"/>
        </w:rPr>
        <w:t>QueryBook is governed and operated by a large population of internal agents — bounded, declared, formally chartered QBPL programs with formally verified termination, declared capability sets, and operation-count triggers that automatically submit outputs for human review. Internal agents monitor knowledge health, calibrate source reliability, enforce consistency, compute confidence trends, maintain provenance ledger integrity, manage HAGF queues, monitor DTP performance, track biosafety staleness, and assess World Brain concept formation quality. Every internal agent operates under the Agent Charter, the HAGF Default-on-Deny governance, and the Prime Directive without exception.</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D.  Additional Capabilities</w:t>
      </w:r>
    </w:p>
    <w:p>
      <w:pPr>
        <w:pStyle w:val="Normal"/>
        <w:bidi w:val="0"/>
        <w:jc w:val="both"/>
        <w:rPr>
          <w:rFonts w:hint="eastAsia"/>
        </w:rPr>
      </w:pPr>
      <w:r>
        <w:rPr>
          <w:rFonts w:ascii="Times New Roman" w:hAnsi="Times New Roman"/>
        </w:rPr>
        <w:t>The Bayesian confidence architecture, three primary ingestion paths, Domain Template Pair Registry, Human Approval Governance Framework, Citation Management system, post-quantum provenance ledger, Knowledge Momentum Analysis, External Agent Observatory, and Biosafety Screening Corpus represent the platform’s extended capabilities, each described in the Detailed Description of the Invention. These capabilities are expressed over, and governed through, the Fact Unit, UFCS, and FQL foundation layer, which provides their common content-addressed representation, certified-trust model, and query semantics.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E.  QueryBook Applications and Advantages</w:t>
      </w:r>
    </w:p>
    <w:p>
      <w:pPr>
        <w:pStyle w:val="Normal"/>
        <w:bidi w:val="0"/>
        <w:jc w:val="start"/>
        <w:rPr>
          <w:rFonts w:hint="eastAsia"/>
        </w:rPr>
      </w:pPr>
      <w:r>
        <w:rPr>
          <w:rFonts w:ascii="Times New Roman" w:hAnsi="Times New Roman"/>
          <w:b/>
          <w:i/>
        </w:rPr>
        <w:t>1.  Breadth of Application</w:t>
      </w:r>
    </w:p>
    <w:p>
      <w:pPr>
        <w:pStyle w:val="Normal"/>
        <w:bidi w:val="0"/>
        <w:jc w:val="both"/>
        <w:rPr>
          <w:rFonts w:hint="eastAsia"/>
        </w:rPr>
      </w:pPr>
      <w:r>
        <w:rPr>
          <w:rFonts w:ascii="Times New Roman" w:hAnsi="Times New Roman"/>
        </w:rPr>
        <w:t>QueryBook’s cognitive, neuromorphic AI engine is not a purpose-built tool for a single application category. Its Fact Unit architecture, deterministic reasoning, and multimodal grounding apply across virtually the entire current breadth of AI, Agent, RAG, LLM, and intelligent-system applications — bringing to each a distinct and measurable set of advantages: grounded outputs, calibrated confidence, cryptographically verifiable provenance, language-agnostic storage, structural elimination of potential for hallucination, and limitations and controls over adverse and/or rogue behaviors. Because these advantages derive from the underlying Fact Unit, UFCS, and FQL foundation layer for graph computing rather than from any single application, they carry across all of the categories below.</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i/>
        </w:rPr>
        <w:t>2.  Application Categories</w:t>
      </w:r>
    </w:p>
    <w:p>
      <w:pPr>
        <w:pStyle w:val="Normal"/>
        <w:bidi w:val="0"/>
        <w:jc w:val="start"/>
        <w:rPr>
          <w:rFonts w:hint="eastAsia"/>
        </w:rPr>
      </w:pPr>
      <w:r>
        <w:rPr>
          <w:rFonts w:ascii="Times New Roman" w:hAnsi="Times New Roman"/>
        </w:rPr>
        <w:t xml:space="preserve">     </w:t>
      </w:r>
      <w:r>
        <w:rPr>
          <w:rFonts w:ascii="Times New Roman" w:hAnsi="Times New Roman"/>
          <w:b/>
        </w:rPr>
        <w:t>eBook Q&amp;A:  </w:t>
      </w:r>
      <w:r>
        <w:rPr>
          <w:rFonts w:ascii="Times New Roman" w:hAnsi="Times New Roman"/>
        </w:rPr>
        <w:t>Readers query any Kindle or digital book directly, receiving grounded, cited answers drawn exclusively from the book’s own Fact Units — no hallucination, no external interpolation. They can receive answers, summaries, outlines or quizzes. Readers can highlight, make notes and print passages.</w:t>
      </w:r>
    </w:p>
    <w:p>
      <w:pPr>
        <w:pStyle w:val="Normal"/>
        <w:bidi w:val="0"/>
        <w:jc w:val="start"/>
        <w:rPr>
          <w:rFonts w:hint="eastAsia"/>
        </w:rPr>
      </w:pPr>
      <w:r>
        <w:rPr>
          <w:rFonts w:ascii="Times New Roman" w:hAnsi="Times New Roman"/>
        </w:rPr>
        <w:t>·   </w:t>
      </w:r>
      <w:r>
        <w:rPr>
          <w:rFonts w:ascii="Times New Roman" w:hAnsi="Times New Roman"/>
          <w:b/>
        </w:rPr>
        <w:t>Document Q&amp;A:  </w:t>
      </w:r>
      <w:r>
        <w:rPr>
          <w:rFonts w:ascii="Times New Roman" w:hAnsi="Times New Roman"/>
        </w:rPr>
        <w:t>Single-document question-and-answer over contracts, reports, filings, or technical specifications, with every answer traceable to a specific Fact Unit and its source passage.</w:t>
      </w:r>
    </w:p>
    <w:p>
      <w:pPr>
        <w:pStyle w:val="Normal"/>
        <w:bidi w:val="0"/>
        <w:jc w:val="start"/>
        <w:rPr>
          <w:rFonts w:hint="eastAsia"/>
        </w:rPr>
      </w:pPr>
      <w:r>
        <w:rPr>
          <w:rFonts w:ascii="Times New Roman" w:hAnsi="Times New Roman"/>
        </w:rPr>
        <w:t xml:space="preserve">    </w:t>
      </w:r>
      <w:r>
        <w:rPr>
          <w:rFonts w:ascii="Times New Roman" w:hAnsi="Times New Roman"/>
          <w:b/>
        </w:rPr>
        <w:t>Advanced Chatbots and Digital User Manuals:  </w:t>
      </w:r>
      <w:r>
        <w:rPr>
          <w:rFonts w:ascii="Times New Roman" w:hAnsi="Times New Roman"/>
        </w:rPr>
        <w:t>Customer-facing and internal assistants grounded in product or policy Fact Units, replacing probabilistic chatbot responses with deterministic, auditable answers that cannot drift from source content. QueryBook Q&amp;A, instructional capability can bring user manuals alive avoiding need of perusing complicated text, internet search and product company help lines with live in product imbeded capability or via smart device app.</w:t>
      </w:r>
    </w:p>
    <w:p>
      <w:pPr>
        <w:pStyle w:val="Normal"/>
        <w:bidi w:val="0"/>
        <w:jc w:val="start"/>
        <w:rPr>
          <w:rFonts w:hint="eastAsia"/>
        </w:rPr>
      </w:pPr>
      <w:r>
        <w:rPr>
          <w:rFonts w:ascii="Times New Roman" w:hAnsi="Times New Roman"/>
        </w:rPr>
        <w:t>·    </w:t>
      </w:r>
      <w:r>
        <w:rPr>
          <w:rFonts w:ascii="Times New Roman" w:hAnsi="Times New Roman"/>
          <w:b/>
        </w:rPr>
        <w:t>Multi-Document Q&amp;A and Interpretation:  </w:t>
      </w:r>
      <w:r>
        <w:rPr>
          <w:rFonts w:ascii="Times New Roman" w:hAnsi="Times New Roman"/>
        </w:rPr>
        <w:t>Cross-corpus reasoning over large document sets — regulatory libraries, case law collections, research archives — with contradiction detection, confidence comparison, and provenance across sources.</w:t>
      </w:r>
    </w:p>
    <w:p>
      <w:pPr>
        <w:pStyle w:val="Normal"/>
        <w:bidi w:val="0"/>
        <w:jc w:val="start"/>
        <w:rPr>
          <w:rFonts w:hint="eastAsia"/>
        </w:rPr>
      </w:pPr>
      <w:r>
        <w:rPr>
          <w:rFonts w:ascii="Times New Roman" w:hAnsi="Times New Roman"/>
        </w:rPr>
        <w:t>·   </w:t>
      </w:r>
      <w:r>
        <w:rPr>
          <w:rFonts w:ascii="Times New Roman" w:hAnsi="Times New Roman"/>
          <w:b/>
        </w:rPr>
        <w:t>Search:  </w:t>
      </w:r>
      <w:r>
        <w:rPr>
          <w:rFonts w:ascii="Times New Roman" w:hAnsi="Times New Roman"/>
        </w:rPr>
        <w:t>QueryBook operates as a fact-grounded search engine, including over web-crawled sources, indexing content as certified, trust-scored Fact Units and answering a search query with ranked, provenance-cited facts and a confidence for each result — returning verified answers rather than an unranked list of links, and natively excluding contradicted or below-threshold material.</w:t>
      </w:r>
    </w:p>
    <w:p>
      <w:pPr>
        <w:pStyle w:val="Normal"/>
        <w:bidi w:val="0"/>
        <w:jc w:val="start"/>
        <w:rPr>
          <w:rFonts w:hint="eastAsia"/>
        </w:rPr>
      </w:pPr>
      <w:r>
        <w:rPr>
          <w:rFonts w:ascii="Times New Roman" w:hAnsi="Times New Roman"/>
        </w:rPr>
        <w:t>·  </w:t>
      </w:r>
      <w:r>
        <w:rPr>
          <w:rFonts w:ascii="Times New Roman" w:hAnsi="Times New Roman"/>
          <w:b/>
        </w:rPr>
        <w:t>Specialized Private AI Systems:  </w:t>
      </w:r>
      <w:r>
        <w:rPr>
          <w:rFonts w:ascii="Times New Roman" w:hAnsi="Times New Roman"/>
        </w:rPr>
        <w:t>Customers compose their own private AI system by supplying their own database, their own expertise, and their own methods of analysis or computation — defining an ingestion mode, a processing workflow, and an output template over their own certified Fact Units — to develop a specialized AI capability aligned with their own needs. Such a system is distinct from standard QueryBook interaction and isolated from other tenants, while inheriting QueryBook’s grounding, provenance, calibrated confidence, and governance guarantees.</w:t>
      </w:r>
    </w:p>
    <w:p>
      <w:pPr>
        <w:pStyle w:val="Normal"/>
        <w:bidi w:val="0"/>
        <w:jc w:val="start"/>
        <w:rPr>
          <w:rFonts w:hint="eastAsia"/>
        </w:rPr>
      </w:pPr>
      <w:r>
        <w:rPr>
          <w:rFonts w:ascii="Times New Roman" w:hAnsi="Times New Roman"/>
        </w:rPr>
        <w:t>·   </w:t>
      </w:r>
      <w:r>
        <w:rPr>
          <w:rFonts w:ascii="Times New Roman" w:hAnsi="Times New Roman"/>
          <w:b/>
        </w:rPr>
        <w:t>Data Analysis with Live Inputs:  </w:t>
      </w:r>
      <w:r>
        <w:rPr>
          <w:rFonts w:ascii="Times New Roman" w:hAnsi="Times New Roman"/>
        </w:rPr>
        <w:t>Real-time ingestion of business, economic, and scientific data streams into the Fact Unit store, enabling live-updated analysis, trend detection, and confidence-weighted forecasting without retraining.</w:t>
      </w:r>
    </w:p>
    <w:p>
      <w:pPr>
        <w:pStyle w:val="Normal"/>
        <w:bidi w:val="0"/>
        <w:jc w:val="start"/>
        <w:rPr>
          <w:rFonts w:hint="eastAsia"/>
        </w:rPr>
      </w:pPr>
      <w:r>
        <w:rPr>
          <w:rFonts w:ascii="Times New Roman" w:hAnsi="Times New Roman"/>
        </w:rPr>
        <w:t>·   </w:t>
      </w:r>
      <w:r>
        <w:rPr>
          <w:rFonts w:ascii="Times New Roman" w:hAnsi="Times New Roman"/>
          <w:b/>
        </w:rPr>
        <w:t>Robotics:  </w:t>
      </w:r>
      <w:r>
        <w:rPr>
          <w:rFonts w:ascii="Times New Roman" w:hAnsi="Times New Roman"/>
        </w:rPr>
        <w:t>On-device semantic reasoning for robotic systems requiring deterministic, low-latency knowledge access — grounded perception, spatial reasoning, and action planning from a local Fact Unit store with world model concept and model input.</w:t>
      </w:r>
    </w:p>
    <w:p>
      <w:pPr>
        <w:pStyle w:val="Normal"/>
        <w:bidi w:val="0"/>
        <w:jc w:val="start"/>
        <w:rPr>
          <w:rFonts w:hint="eastAsia"/>
        </w:rPr>
      </w:pPr>
      <w:r>
        <w:rPr>
          <w:rFonts w:ascii="Times New Roman" w:hAnsi="Times New Roman"/>
        </w:rPr>
        <w:t>·   </w:t>
      </w:r>
      <w:r>
        <w:rPr>
          <w:rFonts w:ascii="Times New Roman" w:hAnsi="Times New Roman"/>
          <w:b/>
        </w:rPr>
        <w:t>QueryBook-Controlled, Rogue-Limited Agent Capability:  </w:t>
      </w:r>
      <w:r>
        <w:rPr>
          <w:rFonts w:ascii="Times New Roman" w:hAnsi="Times New Roman"/>
        </w:rPr>
        <w:t>Autonomous agents operating strictly within QueryBook’s constitutional governance framework — Prime Directive enforced at every action boundary — providing agent utility while structurally preventing rogue or unintended autonomous behavior.</w:t>
      </w:r>
    </w:p>
    <w:p>
      <w:pPr>
        <w:pStyle w:val="Normal"/>
        <w:bidi w:val="0"/>
        <w:jc w:val="start"/>
        <w:rPr>
          <w:rFonts w:hint="eastAsia"/>
        </w:rPr>
      </w:pPr>
      <w:r>
        <w:rPr>
          <w:rFonts w:ascii="Times New Roman" w:hAnsi="Times New Roman"/>
        </w:rPr>
        <w:t>·  </w:t>
      </w:r>
      <w:r>
        <w:rPr>
          <w:rFonts w:ascii="Times New Roman" w:hAnsi="Times New Roman"/>
          <w:b/>
        </w:rPr>
        <w:t>LLM Integration:  </w:t>
      </w:r>
      <w:r>
        <w:rPr>
          <w:rFonts w:ascii="Times New Roman" w:hAnsi="Times New Roman"/>
        </w:rPr>
        <w:t>QueryBook can function as a structured grounding and fact-verification layer for existing large language models, constraining generation vocabulary to admitted Fact Units and replacing stochastic retrieval augmentation with deterministic semantic grounding. QueryBook can additionally substitute its own Agents capability to eliminate potential rogue activity witnessed in current LLM Agent products.</w:t>
      </w:r>
    </w:p>
    <w:p>
      <w:pPr>
        <w:pStyle w:val="Normal"/>
        <w:bidi w:val="0"/>
        <w:jc w:val="start"/>
        <w:rPr>
          <w:rFonts w:hint="eastAsia"/>
        </w:rPr>
      </w:pPr>
      <w:r>
        <w:rPr>
          <w:rFonts w:ascii="Times New Roman" w:hAnsi="Times New Roman"/>
        </w:rPr>
        <w:t>·   </w:t>
      </w:r>
      <w:r>
        <w:rPr>
          <w:rFonts w:ascii="Times New Roman" w:hAnsi="Times New Roman"/>
          <w:b/>
        </w:rPr>
        <w:t>LLM Capability in Scientific, Medical, Legal, and Research Fields:  </w:t>
      </w:r>
      <w:r>
        <w:rPr>
          <w:rFonts w:ascii="Times New Roman" w:hAnsi="Times New Roman"/>
        </w:rPr>
        <w:t>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jc w:val="start"/>
        <w:rPr>
          <w:rFonts w:hint="eastAsia"/>
        </w:rPr>
      </w:pPr>
      <w:r>
        <w:rPr>
          <w:rFonts w:ascii="Times New Roman" w:hAnsi="Times New Roman"/>
        </w:rPr>
        <w:t>·   </w:t>
      </w:r>
      <w:r>
        <w:rPr>
          <w:rFonts w:ascii="Times New Roman" w:hAnsi="Times New Roman"/>
          <w:b/>
        </w:rPr>
        <w:t>Cybersecurity and Defense, Including for Other AI Systems:  </w:t>
      </w:r>
      <w:r>
        <w:rPr>
          <w:rFonts w:ascii="Times New Roman" w:hAnsi="Times New Roman"/>
        </w:rPr>
        <w:t>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intrusions, credential attacks, and self-propagating AI worms.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F.  Infrastructure and Deployment Advantages</w:t>
      </w:r>
    </w:p>
    <w:p>
      <w:pPr>
        <w:pStyle w:val="Normal"/>
        <w:bidi w:val="0"/>
        <w:jc w:val="both"/>
        <w:rPr>
          <w:rFonts w:hint="eastAsia"/>
        </w:rPr>
      </w:pPr>
      <w:r>
        <w:rPr>
          <w:rFonts w:ascii="Times New Roman" w:hAnsi="Times New Roman"/>
        </w:rPr>
        <w:t>QueryBook’s semantic storage model and deterministic reasoning architecture deliver material infrastructure advantages at scale — advantages that compound as deployment size grpws.</w:t>
      </w:r>
    </w:p>
    <w:p>
      <w:pPr>
        <w:pStyle w:val="Normal"/>
        <w:bidi w:val="0"/>
        <w:jc w:val="both"/>
        <w:rPr>
          <w:rFonts w:hint="eastAsia"/>
        </w:rPr>
      </w:pPr>
      <w:r>
        <w:rPr>
          <w:rFonts w:ascii="Times New Roman" w:hAnsi="Times New Roman"/>
          <w:b/>
        </w:rPr>
        <w:t xml:space="preserve">      </w:t>
      </w:r>
      <w:r>
        <w:rPr>
          <w:rFonts w:ascii="Times New Roman" w:hAnsi="Times New Roman"/>
          <w:b/>
        </w:rPr>
        <w:t>Reduced Storage:  </w:t>
      </w:r>
      <w:r>
        <w:rPr>
          <w:rFonts w:ascii="Times New Roman" w:hAnsi="Times New Roman"/>
        </w:rPr>
        <w:t>Fact Units store meaning, not text. A corpus that would require terabytes of raw document or vector storage is represented as a compact set of atomic semantic records with shared ontological references — reducing storage footprints by orders of magnitude versus both document stores and vector databases.</w:t>
      </w:r>
    </w:p>
    <w:p>
      <w:pPr>
        <w:pStyle w:val="Normal"/>
        <w:bidi w:val="0"/>
        <w:jc w:val="start"/>
        <w:rPr>
          <w:rFonts w:hint="eastAsia"/>
        </w:rPr>
      </w:pPr>
      <w:r>
        <w:rPr>
          <w:rFonts w:ascii="Times New Roman" w:hAnsi="Times New Roman"/>
        </w:rPr>
        <w:t>·   </w:t>
      </w:r>
      <w:r>
        <w:rPr>
          <w:rFonts w:ascii="Times New Roman" w:hAnsi="Times New Roman"/>
          <w:b/>
        </w:rPr>
        <w:t>Lower-Cost Hardware:  </w:t>
      </w:r>
      <w:r>
        <w:rPr>
          <w:rFonts w:ascii="Times New Roman" w:hAnsi="Times New Roman"/>
        </w:rPr>
        <w:t>Deterministic semantic retrieval eliminates the need for large GPU clusters required by probabilistic LLM inference at scale. QueryBook’s query path runs efficiently on commodity server hardware and, for edge deployments, on consumer-grade devices — dramatically reducing capital expenditure.</w:t>
      </w:r>
    </w:p>
    <w:p>
      <w:pPr>
        <w:pStyle w:val="Normal"/>
        <w:bidi w:val="0"/>
        <w:jc w:val="start"/>
        <w:rPr>
          <w:rFonts w:hint="eastAsia"/>
        </w:rPr>
      </w:pPr>
      <w:r>
        <w:rPr>
          <w:rFonts w:ascii="Times New Roman" w:hAnsi="Times New Roman"/>
        </w:rPr>
        <w:t>·   </w:t>
      </w:r>
      <w:r>
        <w:rPr>
          <w:rFonts w:ascii="Times New Roman" w:hAnsi="Times New Roman"/>
          <w:b/>
        </w:rPr>
        <w:t>Reduced Power Consumption:  </w:t>
      </w:r>
      <w:r>
        <w:rPr>
          <w:rFonts w:ascii="Times New Roman" w:hAnsi="Times New Roman"/>
        </w:rPr>
        <w:t>Replacing continuous LLM inference with structured Fact Unit retrieval and constrained generation cuts per-query power draw significantly. At data-center scale this translates to material reductions in energy cost and carbon footprint.</w:t>
      </w:r>
    </w:p>
    <w:p>
      <w:pPr>
        <w:pStyle w:val="Normal"/>
        <w:bidi w:val="0"/>
        <w:jc w:val="start"/>
        <w:rPr>
          <w:rFonts w:hint="eastAsia"/>
        </w:rPr>
      </w:pPr>
      <w:r>
        <w:rPr>
          <w:rFonts w:ascii="Times New Roman" w:hAnsi="Times New Roman"/>
        </w:rPr>
        <w:t>·   </w:t>
      </w:r>
      <w:r>
        <w:rPr>
          <w:rFonts w:ascii="Times New Roman" w:hAnsi="Times New Roman"/>
          <w:b/>
        </w:rPr>
        <w:t>Reduced Cooling Requirements:  </w:t>
      </w:r>
      <w:r>
        <w:rPr>
          <w:rFonts w:ascii="Times New Roman" w:hAnsi="Times New Roman"/>
        </w:rPr>
        <w:t>Lower compute intensity per query directly reduces thermal load. Facilities running QueryBook at equivalent throughput to a GPU-based LLM deployment require substantially less cooling capacity — reducing both operating cost and physical plant requirements.</w:t>
      </w:r>
    </w:p>
    <w:p>
      <w:pPr>
        <w:pStyle w:val="Normal"/>
        <w:bidi w:val="0"/>
        <w:jc w:val="start"/>
        <w:rPr>
          <w:rFonts w:hint="eastAsia"/>
        </w:rPr>
      </w:pPr>
      <w:r>
        <w:rPr>
          <w:rFonts w:ascii="Times New Roman" w:hAnsi="Times New Roman"/>
        </w:rPr>
        <w:t>·  </w:t>
      </w:r>
      <w:r>
        <w:rPr>
          <w:rFonts w:ascii="Times New Roman" w:hAnsi="Times New Roman"/>
          <w:b/>
        </w:rPr>
        <w:t>Smaller Deployment Footprint:  </w:t>
      </w:r>
      <w:r>
        <w:rPr>
          <w:rFonts w:ascii="Times New Roman" w:hAnsi="Times New Roman"/>
        </w:rPr>
        <w:t>The combination of reduced storage, lower-power hardware, and reduced cooling allows QueryBook deployments to occupy a fraction of the physical data-center or edge-facility space of equivalent LLM-based systems — enabling deployment in constrained environments including on-device, on-premise, and remote field installations.</w:t>
      </w:r>
    </w:p>
    <w:p>
      <w:pPr>
        <w:pStyle w:val="Normal"/>
        <w:bidi w:val="0"/>
        <w:jc w:val="start"/>
        <w:rPr>
          <w:rFonts w:ascii="Times New Roman" w:hAnsi="Times New Roman"/>
        </w:rPr>
      </w:pPr>
      <w:r>
        <w:rPr>
          <w:rFonts w:ascii="Times New Roman" w:hAnsi="Times New Roman"/>
        </w:rPr>
      </w:r>
    </w:p>
    <w:p>
      <w:pPr>
        <w:pStyle w:val="Normal"/>
        <w:bidi w:val="0"/>
        <w:jc w:val="start"/>
        <w:rPr>
          <w:rFonts w:hint="eastAsia"/>
        </w:rPr>
      </w:pPr>
      <w:r>
        <w:rPr>
          <w:rFonts w:ascii="Times New Roman" w:hAnsi="Times New Roman"/>
          <w:b/>
          <w:color w:val="1A2235"/>
        </w:rPr>
        <w:t>G.  Fact Unit Based Additional Applications</w:t>
      </w:r>
    </w:p>
    <w:p>
      <w:pPr>
        <w:pStyle w:val="Normal"/>
        <w:bidi w:val="0"/>
        <w:jc w:val="both"/>
        <w:rPr>
          <w:rFonts w:hint="eastAsia"/>
        </w:rPr>
      </w:pPr>
      <w:r>
        <w:rPr>
          <w:rFonts w:ascii="Times New Roman" w:hAnsi="Times New Roman"/>
        </w:rPr>
        <w:t>The Fact Unit primitive, carried on the UFCS substrate and reached through FQL, enables a class of applications not available to any system storing knowledge at the language or pixel level:</w:t>
      </w:r>
    </w:p>
    <w:p>
      <w:pPr>
        <w:pStyle w:val="Normal"/>
        <w:bidi w:val="0"/>
        <w:jc w:val="start"/>
        <w:rPr>
          <w:rFonts w:hint="eastAsia"/>
        </w:rPr>
      </w:pPr>
      <w:r>
        <w:rPr>
          <w:rFonts w:ascii="Times New Roman" w:hAnsi="Times New Roman"/>
        </w:rPr>
        <w:t xml:space="preserve">   </w:t>
      </w:r>
      <w:r>
        <w:rPr>
          <w:rFonts w:ascii="Times New Roman" w:hAnsi="Times New Roman"/>
        </w:rPr>
        <w:t>a. Deterministic multi-language regeneration without per-language reingestion.</w:t>
      </w:r>
    </w:p>
    <w:p>
      <w:pPr>
        <w:pStyle w:val="Normal"/>
        <w:bidi w:val="0"/>
        <w:jc w:val="start"/>
        <w:rPr>
          <w:rFonts w:hint="eastAsia"/>
        </w:rPr>
      </w:pPr>
      <w:r>
        <w:rPr>
          <w:rFonts w:ascii="Times New Roman" w:hAnsi="Times New Roman"/>
        </w:rPr>
        <w:t xml:space="preserve">  </w:t>
      </w:r>
      <w:r>
        <w:rPr>
          <w:rFonts w:ascii="Times New Roman" w:hAnsi="Times New Roman"/>
        </w:rPr>
        <w:t>b. Semantic compression and expansion of audio, video, and volumetric media with projected significant percent size reduction relative to conventional codec output.</w:t>
      </w:r>
    </w:p>
    <w:p>
      <w:pPr>
        <w:pStyle w:val="Normal"/>
        <w:bidi w:val="0"/>
        <w:jc w:val="start"/>
        <w:rPr>
          <w:rFonts w:hint="eastAsia"/>
        </w:rPr>
      </w:pPr>
      <w:r>
        <w:rPr>
          <w:rFonts w:ascii="Times New Roman" w:hAnsi="Times New Roman"/>
        </w:rPr>
        <w:t xml:space="preserve"> </w:t>
      </w:r>
      <w:r>
        <w:rPr>
          <w:rFonts w:ascii="Times New Roman" w:hAnsi="Times New Roman"/>
        </w:rPr>
        <w:t>c. Deterministic video colorization from Fact Unit material property records.</w:t>
      </w:r>
    </w:p>
    <w:p>
      <w:pPr>
        <w:pStyle w:val="Normal"/>
        <w:bidi w:val="0"/>
        <w:jc w:val="start"/>
        <w:rPr>
          <w:rFonts w:hint="eastAsia"/>
        </w:rPr>
      </w:pPr>
      <w:r>
        <w:rPr>
          <w:rFonts w:ascii="Times New Roman" w:hAnsi="Times New Roman"/>
        </w:rPr>
        <w:t xml:space="preserve"> </w:t>
      </w:r>
      <w:r>
        <w:rPr>
          <w:rFonts w:ascii="Times New Roman" w:hAnsi="Times New Roman"/>
        </w:rPr>
        <w:t>d. Three-dimensional and VR presentation grounded in the same Fact Graph that answers text questions.</w:t>
      </w:r>
    </w:p>
    <w:p>
      <w:pPr>
        <w:pStyle w:val="Normal"/>
        <w:bidi w:val="0"/>
        <w:jc w:val="start"/>
        <w:rPr>
          <w:rFonts w:hint="eastAsia"/>
        </w:rPr>
      </w:pPr>
      <w:r>
        <w:rPr>
          <w:rFonts w:ascii="Times New Roman" w:hAnsi="Times New Roman"/>
        </w:rPr>
        <w:t xml:space="preserve"> </w:t>
      </w:r>
      <w:r>
        <w:rPr>
          <w:rFonts w:ascii="Times New Roman" w:hAnsi="Times New Roman"/>
        </w:rPr>
        <w:t>e. A QueryBook-enhanced TCP/IP hybrid protocol carrying Fact Unit identifiers and provenance references alongside network payload data.</w:t>
      </w:r>
    </w:p>
    <w:p>
      <w:pPr>
        <w:pStyle w:val="Normal"/>
        <w:bidi w:val="0"/>
        <w:jc w:val="start"/>
        <w:rPr>
          <w:rFonts w:hint="eastAsia"/>
        </w:rPr>
      </w:pPr>
      <w:r>
        <w:rPr>
          <w:rFonts w:ascii="Times New Roman" w:hAnsi="Times New Roman"/>
          <w:b/>
          <w:color w:val="1A2235"/>
          <w:highlight w:val="yellow"/>
        </w:rPr>
        <w:t xml:space="preserve">H.  Recent Feature Additions</w:t>
      </w:r>
    </w:p>
    <w:p>
      <w:pPr>
        <w:pStyle w:val="Normal"/>
        <w:bidi w:val="0"/>
        <w:jc w:val="both"/>
        <w:rPr>
          <w:rFonts w:hint="eastAsia"/>
        </w:rPr>
      </w:pPr>
      <w:r>
        <w:rPr>
          <w:rFonts w:ascii="Times New Roman" w:hAnsi="Times New Roman"/>
          <w:highlight w:val="yellow"/>
        </w:rPr>
        <w:t xml:space="preserve">Recent developments extend QueryBook for operation with and among AI agents, each operating under the Prime Directive and expressed over the same Fact Unit, UFCS, and FQL foundation layer:</w:t>
      </w:r>
    </w:p>
    <w:p>
      <w:pPr>
        <w:pStyle w:val="Normal"/>
        <w:bidi w:val="0"/>
        <w:jc w:val="start"/>
        <w:rPr>
          <w:rFonts w:hint="eastAsia"/>
        </w:rPr>
      </w:pPr>
      <w:r>
        <w:rPr>
          <w:rFonts w:ascii="Times New Roman" w:hAnsi="Times New Roman"/>
          <w:highlight w:val="yellow"/>
        </w:rPr>
        <w:t xml:space="preserve">   a. Open Claw ingestion of artifacts of any format — documents, spreadsheets, presentations, page-description files, archives, messages, images, audio, and video — identified by content, divided into located segments, and converted into Fact Units, every artifact being treated as data and never as instruction (FIG. 50).</w:t>
      </w:r>
    </w:p>
    <w:p>
      <w:pPr>
        <w:pStyle w:val="Normal"/>
        <w:bidi w:val="0"/>
        <w:jc w:val="start"/>
        <w:rPr>
          <w:rFonts w:hint="eastAsia"/>
        </w:rPr>
      </w:pPr>
      <w:r>
        <w:rPr>
          <w:rFonts w:ascii="Times New Roman" w:hAnsi="Times New Roman"/>
          <w:highlight w:val="yellow"/>
        </w:rPr>
        <w:t xml:space="preserve">   b. On-chain certification, in which a sealed Fact Unit, book, or response may optionally be certified as a non-fungible token on a public blockchain carrying its content hash, lineage, and revocation state, verifiable by any party without access to QueryBook (FIG. 51).</w:t>
      </w:r>
    </w:p>
    <w:p>
      <w:pPr>
        <w:pStyle w:val="Normal"/>
        <w:bidi w:val="0"/>
        <w:jc w:val="start"/>
        <w:rPr>
          <w:rFonts w:hint="eastAsia"/>
        </w:rPr>
      </w:pPr>
      <w:r>
        <w:rPr>
          <w:rFonts w:ascii="Times New Roman" w:hAnsi="Times New Roman"/>
          <w:highlight w:val="yellow"/>
        </w:rPr>
        <w:t xml:space="preserve">   c. An agent protection and deception layer in which every agent call passes an Agent Gateway and is screened by honeycode, honeytokens, tripwires, honeypot agents, an AI-aware firewall, and anomaly detection, a hostile caller being isolated into a synthetic decoy environment with no path to production data (FIG. 52).</w:t>
      </w:r>
    </w:p>
    <w:p>
      <w:pPr>
        <w:pStyle w:val="Normal"/>
        <w:bidi w:val="0"/>
        <w:jc w:val="start"/>
        <w:rPr>
          <w:rFonts w:hint="eastAsia"/>
        </w:rPr>
      </w:pPr>
      <w:r>
        <w:rPr>
          <w:rFonts w:ascii="Times New Roman" w:hAnsi="Times New Roman"/>
          <w:highlight w:val="yellow"/>
        </w:rPr>
        <w:t xml:space="preserve">   d. A tamper-evident security record of hash-chained entries sealed by write-once, signed Merkle checkpoints, mirrored and optionally anchored on a public blockchain, and verified by recomputation from content (FIG. 53).</w:t>
      </w:r>
    </w:p>
    <w:p>
      <w:pPr>
        <w:pStyle w:val="Normal"/>
        <w:bidi w:val="0"/>
        <w:jc w:val="start"/>
        <w:rPr>
          <w:rFonts w:hint="eastAsia"/>
        </w:rPr>
      </w:pPr>
      <w:r>
        <w:rPr>
          <w:rFonts w:ascii="Times New Roman" w:hAnsi="Times New Roman"/>
          <w:highlight w:val="yellow"/>
        </w:rPr>
        <w:t xml:space="preserve">   e. Agent interoperability through a Model Context Protocol tool server and an OpenClaw skill, every external agent call passing the Agent Gateway under that agent’s allow-list (FIG. 54).</w:t>
      </w:r>
    </w:p>
    <w:p>
      <w:pPr>
        <w:pStyle w:val="Normal"/>
        <w:bidi w:val="0"/>
        <w:jc w:val="start"/>
        <w:rPr>
          <w:rFonts w:hint="eastAsia"/>
        </w:rPr>
      </w:pPr>
      <w:r>
        <w:rPr>
          <w:rFonts w:ascii="Times New Roman" w:hAnsi="Times New Roman"/>
          <w:highlight w:val="yellow"/>
        </w:rPr>
        <w:t xml:space="preserve">   f. A framed hybrid transport extending the QueryBook-enhanced TCP/IP protocol, carrying Fact Units and media in checksummed, optionally signed frames on separate priority lanes and rebuilding media into standard HLS, MPEG-DASH, or RTMP streams (FIG. 55).</w:t>
      </w:r>
    </w:p>
    <w:p>
      <w:pPr>
        <w:pStyle w:val="Normal"/>
        <w:bidi w:val="0"/>
        <w:jc w:val="both"/>
        <w:rPr>
          <w:rFonts w:hint="eastAsia"/>
        </w:rPr>
      </w:pPr>
      <w:r>
        <w:rPr>
          <w:rFonts w:ascii="Times New Roman" w:hAnsi="Times New Roman"/>
          <w:highlight w:val="yellow"/>
        </w:rPr>
        <w:t xml:space="preserve">These additions are implemented in the QueryBook prototype and are described in the Detailed Description of the Invention.</w:t>
      </w:r>
    </w:p>
    <w:p>
      <w:pPr>
        <w:pStyle w:val="Normal"/>
        <w:bidi w:val="0"/>
        <w:jc w:val="start"/>
        <w:rPr>
          <w:rFonts w:ascii="Times New Roman" w:hAnsi="Times New Roman"/>
        </w:rPr>
      </w:pPr>
      <w:r>
        <w:rPr>
          <w:rFonts w:ascii="Times New Roman" w:hAnsi="Times New Roman"/>
        </w:rPr>
      </w:r>
    </w:p>
    <w:p>
      <w:pPr>
        <w:pStyle w:val="Heading2"/>
        <w:numPr>
          <w:ilvl w:val="1"/>
          <w:numId w:val="1"/>
        </w:numPr>
        <w:bidi w:val="0"/>
        <w:jc w:val="start"/>
        <w:rPr>
          <w:rFonts w:hint="eastAsia"/>
          <w:sz w:val="24"/>
          <w:szCs w:val="24"/>
        </w:rPr>
      </w:pPr>
      <w:bookmarkStart w:id="5" w:name="__RefHeading___Toc109266_805184229"/>
      <w:bookmarkEnd w:id="5"/>
      <w:r>
        <w:rPr>
          <w:rFonts w:ascii="Times New Roman" w:hAnsi="Times New Roman"/>
          <w:sz w:val="24"/>
          <w:szCs w:val="24"/>
        </w:rPr>
        <w:t>BRIEF DESCRIPTION OF THE DRAWINGS</w:t>
      </w:r>
    </w:p>
    <w:p>
      <w:pPr>
        <w:pStyle w:val="Normal"/>
        <w:bidi w:val="0"/>
        <w:jc w:val="start"/>
        <w:rPr>
          <w:rFonts w:hint="eastAsia"/>
          <w:b/>
        </w:rPr>
      </w:pPr>
      <w:r>
        <w:rPr>
          <w:rFonts w:hint="eastAsia"/>
          <w:b/>
        </w:rPr>
      </w:r>
    </w:p>
    <w:p>
      <w:pPr>
        <w:pStyle w:val="Normal"/>
        <w:bidi w:val="0"/>
        <w:jc w:val="both"/>
        <w:rPr>
          <w:rFonts w:hint="eastAsia"/>
          <w:sz w:val="36"/>
          <w:szCs w:val="36"/>
        </w:rPr>
      </w:pPr>
      <w:r>
        <w:rPr>
          <w:sz w:val="36"/>
          <w:szCs w:val="36"/>
        </w:rPr>
        <w:t>The accompanying drawings, incorporated in and forming part of the specification, illustrate embodiments of the invention and, together with the description, serve to explain its principles. In the drawings, like reference numerals designate corresponding parts throughout the several views.</w:t>
      </w:r>
    </w:p>
    <w:p>
      <w:pPr>
        <w:pStyle w:val="Normal"/>
        <w:bidi w:val="0"/>
        <w:ind w:firstLine="432"/>
        <w:jc w:val="both"/>
        <w:rPr>
          <w:rFonts w:hint="eastAsia"/>
          <w:sz w:val="36"/>
          <w:szCs w:val="36"/>
        </w:rPr>
      </w:pPr>
      <w:r>
        <w:rPr>
          <w:b/>
          <w:sz w:val="36"/>
          <w:szCs w:val="36"/>
        </w:rPr>
        <w:t xml:space="preserve">FIG. 1 </w:t>
      </w:r>
      <w:r>
        <w:rPr>
          <w:sz w:val="36"/>
          <w:szCs w:val="36"/>
        </w:rPr>
        <w:t>is a block diagram of the system, showing the ingestion pipeline, the storage engine, the UFCS substrate, the FQL query engine, the verification ledger, and the federation boundary.</w:t>
      </w:r>
    </w:p>
    <w:p>
      <w:pPr>
        <w:pStyle w:val="Normal"/>
        <w:bidi w:val="0"/>
        <w:ind w:firstLine="432"/>
        <w:jc w:val="both"/>
        <w:rPr>
          <w:rFonts w:hint="eastAsia"/>
          <w:sz w:val="36"/>
          <w:szCs w:val="36"/>
        </w:rPr>
      </w:pPr>
      <w:r>
        <w:rPr>
          <w:b/>
          <w:sz w:val="36"/>
          <w:szCs w:val="36"/>
        </w:rPr>
        <w:t xml:space="preserve">FIG. 2 </w:t>
      </w:r>
      <w:r>
        <w:rPr>
          <w:sz w:val="36"/>
          <w:szCs w:val="36"/>
        </w:rPr>
        <w:t>is a diagram of a Fact Atom carried within a Fact Envelope, showing the nucleus, group classification, polarity, and links of the atom, together with the envelope's confidence, provenance, certification, and content-derived identifier.</w:t>
      </w:r>
    </w:p>
    <w:p>
      <w:pPr>
        <w:pStyle w:val="Normal"/>
        <w:bidi w:val="0"/>
        <w:ind w:firstLine="432"/>
        <w:jc w:val="both"/>
        <w:rPr>
          <w:rFonts w:hint="eastAsia"/>
          <w:sz w:val="36"/>
          <w:szCs w:val="36"/>
        </w:rPr>
      </w:pPr>
      <w:r>
        <w:rPr>
          <w:b/>
          <w:sz w:val="36"/>
          <w:szCs w:val="36"/>
        </w:rPr>
        <w:t xml:space="preserve">FIG. 3 </w:t>
      </w:r>
      <w:r>
        <w:rPr>
          <w:sz w:val="36"/>
          <w:szCs w:val="36"/>
        </w:rPr>
        <w:t>is a diagram of a fact-certification authority hierarchy, showing a root trust anchor, domain authorities, and the certified facts and trust scores derived beneath them.</w:t>
      </w:r>
    </w:p>
    <w:p>
      <w:pPr>
        <w:pStyle w:val="Normal"/>
        <w:bidi w:val="0"/>
        <w:ind w:firstLine="432"/>
        <w:jc w:val="both"/>
        <w:rPr>
          <w:rFonts w:hint="eastAsia"/>
          <w:sz w:val="36"/>
          <w:szCs w:val="36"/>
        </w:rPr>
      </w:pPr>
      <w:r>
        <w:rPr>
          <w:b/>
          <w:sz w:val="36"/>
          <w:szCs w:val="36"/>
        </w:rPr>
        <w:t xml:space="preserve">FIG. 4 </w:t>
      </w:r>
      <w:r>
        <w:rPr>
          <w:sz w:val="36"/>
          <w:szCs w:val="36"/>
        </w:rPr>
        <w:t>is a diagram of the substrate relationships, showing a pairwise graph, a hyperedge, and a directed hyperchain among Fact Units.</w:t>
      </w:r>
    </w:p>
    <w:p>
      <w:pPr>
        <w:pStyle w:val="Normal"/>
        <w:bidi w:val="0"/>
        <w:ind w:firstLine="432"/>
        <w:jc w:val="both"/>
        <w:rPr>
          <w:rFonts w:hint="eastAsia"/>
          <w:sz w:val="36"/>
          <w:szCs w:val="36"/>
        </w:rPr>
      </w:pPr>
      <w:r>
        <w:rPr>
          <w:b/>
          <w:sz w:val="36"/>
          <w:szCs w:val="36"/>
        </w:rPr>
        <w:t xml:space="preserve">FIG. 5 </w:t>
      </w:r>
      <w:r>
        <w:rPr>
          <w:sz w:val="36"/>
          <w:szCs w:val="36"/>
        </w:rPr>
        <w:t>is a diagram supporting claim 11, showing tour/exhibition sequencing of immersive scenes into ordered waypoints.</w:t>
      </w:r>
    </w:p>
    <w:p>
      <w:pPr>
        <w:pStyle w:val="Normal"/>
        <w:bidi w:val="0"/>
        <w:ind w:firstLine="432"/>
        <w:jc w:val="both"/>
        <w:rPr>
          <w:rFonts w:hint="eastAsia"/>
          <w:sz w:val="36"/>
          <w:szCs w:val="36"/>
        </w:rPr>
      </w:pPr>
      <w:r>
        <w:rPr>
          <w:b/>
          <w:sz w:val="36"/>
          <w:szCs w:val="36"/>
        </w:rPr>
        <w:t xml:space="preserve">FIG. 6 </w:t>
      </w:r>
      <w:r>
        <w:rPr>
          <w:sz w:val="36"/>
          <w:szCs w:val="36"/>
        </w:rPr>
        <w:t>is a diagram of a query that filters jointly on fact structure and certification trust, and of the trust-native execution by propagation, branch-and-bound pruning, and contradiction exclusion.</w:t>
      </w:r>
    </w:p>
    <w:p>
      <w:pPr>
        <w:pStyle w:val="Normal"/>
        <w:bidi w:val="0"/>
        <w:ind w:firstLine="432"/>
        <w:jc w:val="both"/>
        <w:rPr>
          <w:rFonts w:hint="eastAsia"/>
          <w:sz w:val="36"/>
          <w:szCs w:val="36"/>
        </w:rPr>
      </w:pPr>
      <w:r>
        <w:rPr>
          <w:b/>
          <w:sz w:val="36"/>
          <w:szCs w:val="36"/>
        </w:rPr>
        <w:t xml:space="preserve">FIG. 7 </w:t>
      </w:r>
      <w:r>
        <w:rPr>
          <w:sz w:val="36"/>
          <w:szCs w:val="36"/>
        </w:rPr>
        <w:t>is a flowchart of verifying machine-generated text against certified records, classifying each assertion as verified, contradicted, or unknown.</w:t>
      </w:r>
    </w:p>
    <w:p>
      <w:pPr>
        <w:pStyle w:val="Normal"/>
        <w:bidi w:val="0"/>
        <w:ind w:firstLine="432"/>
        <w:jc w:val="both"/>
        <w:rPr>
          <w:rFonts w:hint="eastAsia"/>
          <w:sz w:val="36"/>
          <w:szCs w:val="36"/>
        </w:rPr>
      </w:pPr>
      <w:r>
        <w:rPr>
          <w:b/>
          <w:sz w:val="36"/>
          <w:szCs w:val="36"/>
        </w:rPr>
        <w:t xml:space="preserve">FIG. 8 </w:t>
      </w:r>
      <w:r>
        <w:rPr>
          <w:sz w:val="36"/>
          <w:szCs w:val="36"/>
        </w:rPr>
        <w:t>is a diagram of federation, showing a certified envelope crossing a boundary and being re-validated on the receiving side.</w:t>
      </w:r>
    </w:p>
    <w:p>
      <w:pPr>
        <w:pStyle w:val="Normal"/>
        <w:bidi w:val="0"/>
        <w:ind w:firstLine="432"/>
        <w:jc w:val="both"/>
        <w:rPr>
          <w:rFonts w:hint="eastAsia"/>
          <w:sz w:val="36"/>
          <w:szCs w:val="36"/>
        </w:rPr>
      </w:pPr>
      <w:r>
        <w:rPr>
          <w:b/>
          <w:sz w:val="36"/>
          <w:szCs w:val="36"/>
        </w:rPr>
        <w:t xml:space="preserve">FIG. 9 </w:t>
      </w:r>
      <w:r>
        <w:rPr>
          <w:sz w:val="36"/>
          <w:szCs w:val="36"/>
        </w:rPr>
        <w:t>is a diagram of fact-level erasure using an externally held key (cryptographic shredding of a sealed payload).</w:t>
      </w:r>
    </w:p>
    <w:p>
      <w:pPr>
        <w:pStyle w:val="Normal"/>
        <w:bidi w:val="0"/>
        <w:ind w:firstLine="432"/>
        <w:jc w:val="both"/>
        <w:rPr>
          <w:rFonts w:hint="eastAsia"/>
          <w:sz w:val="36"/>
          <w:szCs w:val="36"/>
        </w:rPr>
      </w:pPr>
      <w:r>
        <w:rPr>
          <w:b/>
          <w:sz w:val="36"/>
          <w:szCs w:val="36"/>
        </w:rPr>
        <w:t xml:space="preserve">FIG. 10 </w:t>
      </w:r>
      <w:r>
        <w:rPr>
          <w:sz w:val="36"/>
          <w:szCs w:val="36"/>
        </w:rPr>
        <w:t>is a diagram of the Universal Security Architecture, showing the twelve defensive layers, the five simultaneous defensive postures, and key mechanisms including the AI Attack Prediction Engine.</w:t>
      </w:r>
    </w:p>
    <w:p>
      <w:pPr>
        <w:pStyle w:val="Normal"/>
        <w:bidi w:val="0"/>
        <w:ind w:firstLine="432"/>
        <w:jc w:val="both"/>
        <w:rPr>
          <w:rFonts w:hint="eastAsia"/>
          <w:sz w:val="36"/>
          <w:szCs w:val="36"/>
        </w:rPr>
      </w:pPr>
      <w:r>
        <w:rPr>
          <w:b/>
          <w:sz w:val="36"/>
          <w:szCs w:val="36"/>
        </w:rPr>
        <w:t xml:space="preserve">FIG. 11 </w:t>
      </w:r>
      <w:r>
        <w:rPr>
          <w:sz w:val="36"/>
          <w:szCs w:val="36"/>
        </w:rPr>
        <w:t>is a diagram of Universal Honeypot Saturation and the Data Firehose, showing port saturation via the Phantom Port Daemon and application-entry-point saturation via the Shadow-App mechanism.</w:t>
      </w:r>
    </w:p>
    <w:p>
      <w:pPr>
        <w:pStyle w:val="Normal"/>
        <w:bidi w:val="0"/>
        <w:ind w:firstLine="432"/>
        <w:jc w:val="both"/>
        <w:rPr>
          <w:rFonts w:hint="eastAsia"/>
          <w:sz w:val="36"/>
          <w:szCs w:val="36"/>
        </w:rPr>
      </w:pPr>
      <w:r>
        <w:rPr>
          <w:b/>
          <w:sz w:val="36"/>
          <w:szCs w:val="36"/>
        </w:rPr>
        <w:t xml:space="preserve">FIG. 12 </w:t>
      </w:r>
      <w:r>
        <w:rPr>
          <w:sz w:val="36"/>
          <w:szCs w:val="36"/>
        </w:rPr>
        <w:t>is a diagram of the five deployment topologies — cloud SaaS, local server, hybrid, single-device, and edge — over the invariant common layer of safety, governance, and provenance.</w:t>
      </w:r>
    </w:p>
    <w:p>
      <w:pPr>
        <w:pStyle w:val="Normal"/>
        <w:bidi w:val="0"/>
        <w:ind w:firstLine="432"/>
        <w:jc w:val="both"/>
        <w:rPr>
          <w:rFonts w:hint="eastAsia"/>
          <w:sz w:val="36"/>
          <w:szCs w:val="36"/>
        </w:rPr>
      </w:pPr>
      <w:r>
        <w:rPr>
          <w:b/>
          <w:sz w:val="36"/>
          <w:szCs w:val="36"/>
        </w:rPr>
        <w:t xml:space="preserve">FIG. 13 </w:t>
      </w:r>
      <w:r>
        <w:rPr>
          <w:sz w:val="36"/>
          <w:szCs w:val="36"/>
        </w:rPr>
        <w:t>is a diagram of the Adaptive Response Engine, showing the five-stage pipeline from Result-Set Analysis through Generation-Directive Assembly, with the directive fixed before generation begins.</w:t>
      </w:r>
    </w:p>
    <w:p>
      <w:pPr>
        <w:pStyle w:val="Normal"/>
        <w:bidi w:val="0"/>
        <w:ind w:firstLine="432"/>
        <w:jc w:val="both"/>
        <w:rPr>
          <w:rFonts w:hint="eastAsia"/>
          <w:sz w:val="36"/>
          <w:szCs w:val="36"/>
        </w:rPr>
      </w:pPr>
      <w:r>
        <w:rPr>
          <w:b/>
          <w:sz w:val="36"/>
          <w:szCs w:val="36"/>
        </w:rPr>
        <w:t xml:space="preserve">FIG. 14 </w:t>
      </w:r>
      <w:r>
        <w:rPr>
          <w:sz w:val="36"/>
          <w:szCs w:val="36"/>
        </w:rPr>
        <w:t>is a diagram of the user-owned agent system, showing Blueprint definition and registration, Agent-Instance creation under commissioner-bounded authority, and the governance evaluation at each action.</w:t>
      </w:r>
    </w:p>
    <w:p>
      <w:pPr>
        <w:pStyle w:val="Normal"/>
        <w:bidi w:val="0"/>
        <w:ind w:firstLine="432"/>
        <w:jc w:val="both"/>
        <w:rPr>
          <w:rFonts w:hint="eastAsia"/>
          <w:sz w:val="36"/>
          <w:szCs w:val="36"/>
        </w:rPr>
      </w:pPr>
      <w:r>
        <w:rPr>
          <w:b/>
          <w:sz w:val="36"/>
          <w:szCs w:val="36"/>
        </w:rPr>
        <w:t xml:space="preserve">FIG. 15 </w:t>
      </w:r>
      <w:r>
        <w:rPr>
          <w:sz w:val="36"/>
          <w:szCs w:val="36"/>
        </w:rPr>
        <w:t>is a diagram of deterministic multi-language regeneration, showing source ingestion to Fact Units, the language-independent Fact Unit graph as a single knowledge source, and regeneration into any target language.</w:t>
      </w:r>
    </w:p>
    <w:p>
      <w:pPr>
        <w:pStyle w:val="Normal"/>
        <w:bidi w:val="0"/>
        <w:ind w:firstLine="432"/>
        <w:jc w:val="both"/>
        <w:rPr>
          <w:rFonts w:hint="eastAsia"/>
          <w:sz w:val="36"/>
          <w:szCs w:val="36"/>
        </w:rPr>
      </w:pPr>
      <w:r>
        <w:rPr>
          <w:b/>
          <w:sz w:val="36"/>
          <w:szCs w:val="36"/>
        </w:rPr>
        <w:t xml:space="preserve">FIG. 16 </w:t>
      </w:r>
      <w:r>
        <w:rPr>
          <w:sz w:val="36"/>
          <w:szCs w:val="36"/>
        </w:rPr>
        <w:t>is a diagram of semantic compression, expansion, colorization, and resolution upscaling, showing the meaning-storage compression flow and the on-demand regeneration of a surface representation.</w:t>
      </w:r>
    </w:p>
    <w:p>
      <w:pPr>
        <w:pStyle w:val="Normal"/>
        <w:bidi w:val="0"/>
        <w:ind w:firstLine="432"/>
        <w:jc w:val="both"/>
        <w:rPr>
          <w:rFonts w:hint="eastAsia"/>
          <w:sz w:val="36"/>
          <w:szCs w:val="36"/>
        </w:rPr>
      </w:pPr>
      <w:r>
        <w:rPr>
          <w:b/>
          <w:sz w:val="36"/>
          <w:szCs w:val="36"/>
        </w:rPr>
        <w:t xml:space="preserve">FIG. 17 </w:t>
      </w:r>
      <w:r>
        <w:rPr>
          <w:sz w:val="36"/>
          <w:szCs w:val="36"/>
        </w:rPr>
        <w:t>is a diagram of the QueryBook-enhanced TCP/IP hybrid protocol packet, showing the optional semantic-metadata header carrying FUID, ProvenanceRef, and confidence fields alongside the standard headers and payload.</w:t>
      </w:r>
    </w:p>
    <w:p>
      <w:pPr>
        <w:pStyle w:val="Normal"/>
        <w:bidi w:val="0"/>
        <w:ind w:firstLine="432"/>
        <w:jc w:val="both"/>
        <w:rPr>
          <w:rFonts w:hint="eastAsia"/>
          <w:sz w:val="36"/>
          <w:szCs w:val="36"/>
        </w:rPr>
      </w:pPr>
      <w:r>
        <w:rPr>
          <w:b/>
          <w:sz w:val="36"/>
          <w:szCs w:val="36"/>
        </w:rPr>
        <w:t xml:space="preserve">FIG. 18 </w:t>
      </w:r>
      <w:r>
        <w:rPr>
          <w:sz w:val="36"/>
          <w:szCs w:val="36"/>
        </w:rPr>
        <w:t>is a diagram of the Neuromorphic Cognitive Layer and attractor network, showing the energy function, the capacity ceiling, and convergence to a stable equilibrium.</w:t>
      </w:r>
    </w:p>
    <w:p>
      <w:pPr>
        <w:pStyle w:val="Normal"/>
        <w:bidi w:val="0"/>
        <w:ind w:firstLine="432"/>
        <w:jc w:val="both"/>
        <w:rPr>
          <w:rFonts w:hint="eastAsia"/>
          <w:sz w:val="36"/>
          <w:szCs w:val="36"/>
        </w:rPr>
      </w:pPr>
      <w:r>
        <w:rPr>
          <w:b/>
          <w:sz w:val="36"/>
          <w:szCs w:val="36"/>
          <w:highlight w:val="yellow"/>
        </w:rPr>
        <w:t xml:space="preserve">FIG. 19 </w:t>
      </w:r>
      <w:r>
        <w:rPr>
          <w:sz w:val="36"/>
          <w:szCs w:val="36"/>
          <w:highlight w:val="yellow"/>
        </w:rPr>
        <w:t xml:space="preserve">is a diagram of the Fact Unit confidence and evidence model, comprising an evidence pair, a Beta posterior, a score, a credible interval, source diversity, temporal decay, and a confidence trend.</w:t>
      </w:r>
    </w:p>
    <w:p>
      <w:pPr>
        <w:pStyle w:val="Normal"/>
        <w:bidi w:val="0"/>
        <w:ind w:firstLine="432"/>
        <w:jc w:val="both"/>
        <w:rPr>
          <w:rFonts w:hint="eastAsia"/>
          <w:sz w:val="36"/>
          <w:szCs w:val="36"/>
        </w:rPr>
      </w:pPr>
      <w:r>
        <w:rPr>
          <w:b/>
          <w:sz w:val="36"/>
          <w:szCs w:val="36"/>
          <w:highlight w:val="yellow"/>
        </w:rPr>
        <w:t xml:space="preserve">FIG. 20 </w:t>
      </w:r>
      <w:r>
        <w:rPr>
          <w:sz w:val="36"/>
          <w:szCs w:val="36"/>
          <w:highlight w:val="yellow"/>
        </w:rPr>
        <w:t xml:space="preserve">is a diagram of the UFCS packet structure, showing the fields of a serialized Fact Unit record and an exemplar packet.</w:t>
      </w:r>
    </w:p>
    <w:p>
      <w:pPr>
        <w:pStyle w:val="Normal"/>
        <w:bidi w:val="0"/>
        <w:ind w:firstLine="432"/>
        <w:jc w:val="both"/>
        <w:rPr>
          <w:rFonts w:hint="eastAsia"/>
          <w:sz w:val="36"/>
          <w:szCs w:val="36"/>
        </w:rPr>
      </w:pPr>
      <w:r>
        <w:rPr>
          <w:b/>
          <w:sz w:val="36"/>
          <w:szCs w:val="36"/>
          <w:highlight w:val="yellow"/>
        </w:rPr>
        <w:t xml:space="preserve">FIG. 21 </w:t>
      </w:r>
      <w:r>
        <w:rPr>
          <w:sz w:val="36"/>
          <w:szCs w:val="36"/>
          <w:highlight w:val="yellow"/>
        </w:rPr>
        <w:t xml:space="preserve">is a diagram of UFCS packet framing, in which immutable packets are de-duplicated by fingerprint and appended to content-addressed blocks under a fingerprint index.</w:t>
      </w:r>
    </w:p>
    <w:p>
      <w:pPr>
        <w:pStyle w:val="Normal"/>
        <w:bidi w:val="0"/>
        <w:ind w:firstLine="432"/>
        <w:jc w:val="both"/>
        <w:rPr>
          <w:rFonts w:hint="eastAsia"/>
          <w:sz w:val="36"/>
          <w:szCs w:val="36"/>
        </w:rPr>
      </w:pPr>
      <w:r>
        <w:rPr>
          <w:b/>
          <w:sz w:val="36"/>
          <w:szCs w:val="36"/>
          <w:highlight w:val="yellow"/>
        </w:rPr>
        <w:t xml:space="preserve">FIG. 22 </w:t>
      </w:r>
      <w:r>
        <w:rPr>
          <w:sz w:val="36"/>
          <w:szCs w:val="36"/>
          <w:highlight w:val="yellow"/>
        </w:rPr>
        <w:t xml:space="preserve">is a diagram of FQL query anatomy with a worked example, in which match, where, exclude, rank, and return clauses produce a highest-trust answer bound to its evidence by a provenance hash.</w:t>
      </w:r>
    </w:p>
    <w:p>
      <w:pPr>
        <w:pStyle w:val="Normal"/>
        <w:bidi w:val="0"/>
        <w:ind w:firstLine="432"/>
        <w:jc w:val="both"/>
        <w:rPr>
          <w:rFonts w:hint="eastAsia"/>
          <w:sz w:val="36"/>
          <w:szCs w:val="36"/>
        </w:rPr>
      </w:pPr>
      <w:r>
        <w:rPr>
          <w:b/>
          <w:sz w:val="36"/>
          <w:szCs w:val="36"/>
          <w:highlight w:val="yellow"/>
        </w:rPr>
        <w:t xml:space="preserve">FIG. 23 </w:t>
      </w:r>
      <w:r>
        <w:rPr>
          <w:sz w:val="36"/>
          <w:szCs w:val="36"/>
          <w:highlight w:val="yellow"/>
        </w:rPr>
        <w:t xml:space="preserve">is a block diagram of the overall QueryBook Language Expression Layer (LEL) system architecture.</w:t>
      </w:r>
    </w:p>
    <w:p>
      <w:pPr>
        <w:pStyle w:val="Normal"/>
        <w:bidi w:val="0"/>
        <w:ind w:firstLine="432"/>
        <w:jc w:val="both"/>
        <w:rPr>
          <w:rFonts w:hint="eastAsia"/>
          <w:sz w:val="36"/>
          <w:szCs w:val="36"/>
        </w:rPr>
      </w:pPr>
      <w:r>
        <w:rPr>
          <w:b/>
          <w:sz w:val="36"/>
          <w:szCs w:val="36"/>
          <w:highlight w:val="yellow"/>
        </w:rPr>
        <w:t xml:space="preserve">FIG. 24 </w:t>
      </w:r>
      <w:r>
        <w:rPr>
          <w:sz w:val="36"/>
          <w:szCs w:val="36"/>
          <w:highlight w:val="yellow"/>
        </w:rPr>
        <w:t xml:space="preserve">is a block diagram of the Sub-Language Priming Layer (SLPL) and the measurable representation produced by each of its six components.</w:t>
      </w:r>
    </w:p>
    <w:p>
      <w:pPr>
        <w:pStyle w:val="Normal"/>
        <w:bidi w:val="0"/>
        <w:ind w:firstLine="432"/>
        <w:jc w:val="both"/>
        <w:rPr>
          <w:rFonts w:hint="eastAsia"/>
          <w:sz w:val="36"/>
          <w:szCs w:val="36"/>
        </w:rPr>
      </w:pPr>
      <w:r>
        <w:rPr>
          <w:b/>
          <w:sz w:val="36"/>
          <w:szCs w:val="36"/>
          <w:highlight w:val="yellow"/>
        </w:rPr>
        <w:t xml:space="preserve">FIG. 25 </w:t>
      </w:r>
      <w:r>
        <w:rPr>
          <w:sz w:val="36"/>
          <w:szCs w:val="36"/>
          <w:highlight w:val="yellow"/>
        </w:rPr>
        <w:t xml:space="preserve">is a flow diagram of the developmental learning sequence and the one-way Transition Gate having four readiness thresholds.</w:t>
      </w:r>
    </w:p>
    <w:p>
      <w:pPr>
        <w:pStyle w:val="Normal"/>
        <w:bidi w:val="0"/>
        <w:ind w:firstLine="432"/>
        <w:jc w:val="both"/>
        <w:rPr>
          <w:rFonts w:hint="eastAsia"/>
          <w:sz w:val="36"/>
          <w:szCs w:val="36"/>
        </w:rPr>
      </w:pPr>
      <w:r>
        <w:rPr>
          <w:b/>
          <w:sz w:val="36"/>
          <w:szCs w:val="36"/>
          <w:highlight w:val="yellow"/>
        </w:rPr>
        <w:t xml:space="preserve">FIG. 26 </w:t>
      </w:r>
      <w:r>
        <w:rPr>
          <w:sz w:val="36"/>
          <w:szCs w:val="36"/>
          <w:highlight w:val="yellow"/>
        </w:rPr>
        <w:t xml:space="preserve">is a block diagram of the multilingual Delta Acquisition Model and the acquisition acceleration flywheel.</w:t>
      </w:r>
    </w:p>
    <w:p>
      <w:pPr>
        <w:pStyle w:val="Normal"/>
        <w:bidi w:val="0"/>
        <w:ind w:firstLine="432"/>
        <w:jc w:val="both"/>
        <w:rPr>
          <w:rFonts w:hint="eastAsia"/>
          <w:sz w:val="36"/>
          <w:szCs w:val="36"/>
        </w:rPr>
      </w:pPr>
      <w:r>
        <w:rPr>
          <w:b/>
          <w:sz w:val="36"/>
          <w:szCs w:val="36"/>
          <w:highlight w:val="yellow"/>
        </w:rPr>
        <w:t xml:space="preserve">FIG. 27 </w:t>
      </w:r>
      <w:r>
        <w:rPr>
          <w:sz w:val="36"/>
          <w:szCs w:val="36"/>
          <w:highlight w:val="yellow"/>
        </w:rPr>
        <w:t xml:space="preserve">is a block diagram of the seven-stage Speech Output Pipeline.</w:t>
      </w:r>
    </w:p>
    <w:p>
      <w:pPr>
        <w:pStyle w:val="Normal"/>
        <w:bidi w:val="0"/>
        <w:ind w:firstLine="432"/>
        <w:jc w:val="both"/>
        <w:rPr>
          <w:rFonts w:hint="eastAsia"/>
          <w:sz w:val="36"/>
          <w:szCs w:val="36"/>
        </w:rPr>
      </w:pPr>
      <w:r>
        <w:rPr>
          <w:b/>
          <w:sz w:val="36"/>
          <w:szCs w:val="36"/>
          <w:highlight w:val="yellow"/>
        </w:rPr>
        <w:t xml:space="preserve">FIG. 28 </w:t>
      </w:r>
      <w:r>
        <w:rPr>
          <w:sz w:val="36"/>
          <w:szCs w:val="36"/>
          <w:highlight w:val="yellow"/>
        </w:rPr>
        <w:t xml:space="preserve">is a data-flow diagram of the co-grounded integration of the LEL with the Federated Query Language (FQL) and the Universal Federated Connectivity System (UFCS).</w:t>
      </w:r>
    </w:p>
    <w:p>
      <w:pPr>
        <w:pStyle w:val="Normal"/>
        <w:bidi w:val="0"/>
        <w:ind w:firstLine="432"/>
        <w:jc w:val="both"/>
        <w:rPr>
          <w:rFonts w:hint="eastAsia"/>
          <w:sz w:val="36"/>
          <w:szCs w:val="36"/>
        </w:rPr>
      </w:pPr>
      <w:r>
        <w:rPr>
          <w:b/>
          <w:sz w:val="36"/>
          <w:szCs w:val="36"/>
          <w:highlight w:val="yellow"/>
        </w:rPr>
        <w:t xml:space="preserve">FIG. 29 </w:t>
      </w:r>
      <w:r>
        <w:rPr>
          <w:sz w:val="36"/>
          <w:szCs w:val="36"/>
          <w:highlight w:val="yellow"/>
        </w:rPr>
        <w:t xml:space="preserve">is a block diagram of a reduced-to-practice embodiment (the Language Lab) implementing Phase One, the Transition Gate, and a deterministic Phase Two.</w:t>
      </w:r>
    </w:p>
    <w:p>
      <w:pPr>
        <w:pStyle w:val="Normal"/>
        <w:bidi w:val="0"/>
        <w:ind w:firstLine="432"/>
        <w:jc w:val="both"/>
        <w:rPr>
          <w:rFonts w:hint="eastAsia"/>
          <w:sz w:val="36"/>
          <w:szCs w:val="36"/>
        </w:rPr>
      </w:pPr>
      <w:r>
        <w:rPr>
          <w:b/>
          <w:sz w:val="36"/>
          <w:szCs w:val="36"/>
          <w:highlight w:val="yellow"/>
        </w:rPr>
        <w:t xml:space="preserve">FIG. 30 </w:t>
      </w:r>
      <w:r>
        <w:rPr>
          <w:sz w:val="36"/>
          <w:szCs w:val="36"/>
          <w:highlight w:val="yellow"/>
        </w:rPr>
        <w:t xml:space="preserve">is a data-flow diagram of the deterministic Phase-Two semantic grounding of the reduced-to-practice embodiment, in which word meanings are attached only from auditable sources — a bundled public-domain dictionary and self-grounding against verified Fact Units in the store — with any large-language-model meaning source excluded from the grounding path.</w:t>
      </w:r>
    </w:p>
    <w:p>
      <w:pPr>
        <w:pStyle w:val="Normal"/>
        <w:bidi w:val="0"/>
        <w:ind w:firstLine="432"/>
        <w:jc w:val="both"/>
        <w:rPr>
          <w:rFonts w:hint="eastAsia"/>
          <w:sz w:val="36"/>
          <w:szCs w:val="36"/>
        </w:rPr>
      </w:pPr>
      <w:r>
        <w:rPr>
          <w:b/>
          <w:sz w:val="36"/>
          <w:szCs w:val="36"/>
          <w:highlight w:val="yellow"/>
        </w:rPr>
        <w:t xml:space="preserve">FIG. 31 </w:t>
      </w:r>
      <w:r>
        <w:rPr>
          <w:sz w:val="36"/>
          <w:szCs w:val="36"/>
          <w:highlight w:val="yellow"/>
        </w:rPr>
        <w:t xml:space="preserve">is a block diagram of the advanced multilingual pronunciation subsystem and self-contained speech output of the reduced-to-practice embodiment, showing the pronunciation preference ladder (bundled open-source phonemizer, then per-language rule-seeded grapheme-to-phoneme tables, then an explicit non-fabricated null), the single-call phrase transcription that keeps the displayed transcription consistent with the synthesized audio, and the self-contained bundle and engine-selection ladder that produce offline audio or an honest refusal without fabricating audio.</w:t>
      </w:r>
    </w:p>
    <w:p>
      <w:pPr>
        <w:pStyle w:val="Normal"/>
        <w:bidi w:val="0"/>
        <w:ind w:firstLine="432"/>
        <w:jc w:val="both"/>
        <w:rPr>
          <w:rFonts w:hint="eastAsia"/>
          <w:sz w:val="36"/>
          <w:szCs w:val="36"/>
        </w:rPr>
      </w:pPr>
      <w:r>
        <w:rPr>
          <w:b/>
          <w:sz w:val="36"/>
          <w:szCs w:val="36"/>
          <w:highlight w:val="yellow"/>
        </w:rPr>
        <w:t xml:space="preserve">FIG. 32 </w:t>
      </w:r>
      <w:r>
        <w:rPr>
          <w:sz w:val="36"/>
          <w:szCs w:val="36"/>
          <w:highlight w:val="yellow"/>
        </w:rPr>
        <w:t xml:space="preserve">is a flow diagram of the permanent, deterministic pronunciation-and-speech quality-control battery of the reduced-to-practice embodiment, which, for each supported language and without a large language model, verifies that a phonemic transcription is produced, that the syllable count is within tolerance, and that a short phrase synthesizes to a valid audio waveform, returning a per-language report and an overall pass score.</w:t>
      </w:r>
    </w:p>
    <w:p>
      <w:pPr>
        <w:pStyle w:val="Normal"/>
        <w:bidi w:val="0"/>
        <w:ind w:firstLine="432"/>
        <w:jc w:val="both"/>
        <w:rPr>
          <w:rFonts w:hint="eastAsia"/>
          <w:sz w:val="36"/>
          <w:szCs w:val="36"/>
        </w:rPr>
      </w:pPr>
      <w:r>
        <w:rPr>
          <w:b/>
          <w:sz w:val="36"/>
          <w:szCs w:val="36"/>
          <w:highlight w:val="yellow"/>
        </w:rPr>
        <w:t xml:space="preserve">FIG. 33 </w:t>
      </w:r>
      <w:r>
        <w:rPr>
          <w:sz w:val="36"/>
          <w:szCs w:val="36"/>
          <w:highlight w:val="yellow"/>
        </w:rPr>
        <w:t xml:space="preserve">is a data-flow diagram of the Language &amp; Identity Linking (LIL) voiceprint enrollment and matching subsystem, in which a consent-gated capture produces an acoustic speaker embedding (voiceprint), a match against stored voiceprints is passed through a QueryBook trust gate returning VERIFIED, CONTRADICTED, or UNKNOWN, and verified identity links are written as provenance-tracked, trust-scored Fact Units in the identity graph, with cross-script name and entity resolution performed by the language subsystem.</w:t>
      </w:r>
    </w:p>
    <w:p>
      <w:pPr>
        <w:pStyle w:val="Normal"/>
        <w:bidi w:val="0"/>
        <w:ind w:firstLine="432"/>
        <w:jc w:val="both"/>
        <w:rPr>
          <w:rFonts w:hint="eastAsia"/>
          <w:sz w:val="36"/>
          <w:szCs w:val="36"/>
        </w:rPr>
      </w:pPr>
      <w:r>
        <w:rPr>
          <w:b/>
          <w:sz w:val="36"/>
          <w:szCs w:val="36"/>
          <w:highlight w:val="yellow"/>
        </w:rPr>
        <w:t xml:space="preserve">FIG. 34 </w:t>
      </w:r>
      <w:r>
        <w:rPr>
          <w:sz w:val="36"/>
          <w:szCs w:val="36"/>
          <w:highlight w:val="yellow"/>
        </w:rPr>
        <w:t xml:space="preserve">is a flow diagram of the LIL trust-gated voice authentication process, in which a claimed-identity verification produces a match score and anti-spoofing signals that feed a deterministic risk-scoring policy and a decision gate returning accept, challenge (second factor), or reject, each decision recorded as a provenance-tracked auth-event Fact Unit.</w:t>
      </w:r>
    </w:p>
    <w:p>
      <w:pPr>
        <w:pStyle w:val="Normal"/>
        <w:bidi w:val="0"/>
        <w:ind w:firstLine="432"/>
        <w:jc w:val="both"/>
        <w:rPr>
          <w:rFonts w:hint="eastAsia"/>
          <w:sz w:val="36"/>
          <w:szCs w:val="36"/>
        </w:rPr>
      </w:pPr>
      <w:r>
        <w:rPr>
          <w:b/>
          <w:sz w:val="36"/>
          <w:szCs w:val="36"/>
          <w:highlight w:val="yellow"/>
        </w:rPr>
        <w:t xml:space="preserve">FIG. 35 </w:t>
      </w:r>
      <w:r>
        <w:rPr>
          <w:sz w:val="36"/>
          <w:szCs w:val="36"/>
          <w:highlight w:val="yellow"/>
        </w:rPr>
        <w:t xml:space="preserve">is a block diagram of the Universal Integrity Audit Service (UIAS), in which connector and ingestion agents observe an unmodified monitored system at multiple workflow positions and seal each observable event as a content-addressed Fact Unit carrying a content hash, a one-way submitter-identity hash, an independent nanosecond timestamp, a source fingerprint, and the sealing agent’s identity; a similarity-detection agent sets a contemporaneous cross-party anomaly flag over content signatures without storing content; and a verification agent continuously re-verifies the append-only Fact-Unit ledger.</w:t>
      </w:r>
    </w:p>
    <w:p>
      <w:pPr>
        <w:pStyle w:val="Normal"/>
        <w:bidi w:val="0"/>
        <w:ind w:firstLine="432"/>
        <w:jc w:val="both"/>
        <w:rPr>
          <w:rFonts w:hint="eastAsia"/>
          <w:sz w:val="36"/>
          <w:szCs w:val="36"/>
        </w:rPr>
      </w:pPr>
      <w:r>
        <w:rPr>
          <w:b/>
          <w:sz w:val="36"/>
          <w:szCs w:val="36"/>
          <w:highlight w:val="yellow"/>
        </w:rPr>
        <w:t xml:space="preserve">FIG. 36 </w:t>
      </w:r>
      <w:r>
        <w:rPr>
          <w:sz w:val="36"/>
          <w:szCs w:val="36"/>
          <w:highlight w:val="yellow"/>
        </w:rPr>
        <w:t xml:space="preserve">is a flow diagram of the UIAS signed Proof Package generation, in which, on an accusation or inquiry, a proof-package agent assembles verified sealed Fact Units, the similarity-log entry, a chronological ledger extract bound by the response-provenance hash, and a factual determination from the arbitration agent under the Prime-Directive gate, and signs the package under the UIAS independent identity to produce independent, pre-dispute, tamper-proof, complete, and admissible evidence.</w:t>
      </w:r>
    </w:p>
    <w:p>
      <w:pPr>
        <w:pStyle w:val="Normal"/>
        <w:bidi w:val="0"/>
        <w:ind w:firstLine="432"/>
        <w:jc w:val="both"/>
        <w:rPr>
          <w:rFonts w:hint="eastAsia"/>
          <w:sz w:val="36"/>
          <w:szCs w:val="36"/>
        </w:rPr>
      </w:pPr>
      <w:r>
        <w:rPr>
          <w:b/>
          <w:sz w:val="36"/>
          <w:szCs w:val="36"/>
          <w:highlight w:val="yellow"/>
        </w:rPr>
        <w:t xml:space="preserve">FIG. 37 </w:t>
      </w:r>
      <w:r>
        <w:rPr>
          <w:sz w:val="36"/>
          <w:szCs w:val="36"/>
          <w:highlight w:val="yellow"/>
        </w:rPr>
        <w:t xml:space="preserve">is a data-flow diagram of the Paralinguistic &amp; Pragmatic Interpretation Layer (PIL) applied to an ingested voice, in which a paralinguistic analyzer produces measured acoustic readings and a labeled arousal estimate while a pragmatic framer applies sourced context, perspective, ergonomics, culture, and social-mores frames, the two combining into an Interpretation Frame written as provenance-tracked Fact Units, with estimates labeled and never asserted as true feelings.</w:t>
      </w:r>
    </w:p>
    <w:p>
      <w:pPr>
        <w:pStyle w:val="Normal"/>
        <w:bidi w:val="0"/>
        <w:ind w:firstLine="432"/>
        <w:jc w:val="both"/>
        <w:rPr>
          <w:rFonts w:hint="eastAsia"/>
          <w:sz w:val="36"/>
          <w:szCs w:val="36"/>
        </w:rPr>
      </w:pPr>
      <w:r>
        <w:rPr>
          <w:b/>
          <w:sz w:val="36"/>
          <w:szCs w:val="36"/>
          <w:highlight w:val="yellow"/>
        </w:rPr>
        <w:t xml:space="preserve">FIG. 38 </w:t>
      </w:r>
      <w:r>
        <w:rPr>
          <w:sz w:val="36"/>
          <w:szCs w:val="36"/>
          <w:highlight w:val="yellow"/>
        </w:rPr>
        <w:t xml:space="preserve">is a flow diagram of the PIL human-query interpretation, in which a query is reduced to an Interpretation Frame, intent is disambiguated from context and perspective, an ambiguity gate asks one clarifying question when intent is materially uncertain, a register-and-ergonomic-mode selector sets the reply style and delivery from sourced culture/mores/ergonomics packs, and the existing retrieve-gate-compose pipeline answers from verified Fact Units in that register without altering the facts.</w:t>
      </w:r>
    </w:p>
    <w:p>
      <w:pPr>
        <w:pStyle w:val="Normal"/>
        <w:bidi w:val="0"/>
        <w:ind w:firstLine="432"/>
        <w:jc w:val="both"/>
        <w:rPr>
          <w:rFonts w:hint="eastAsia"/>
          <w:sz w:val="36"/>
          <w:szCs w:val="36"/>
        </w:rPr>
      </w:pPr>
      <w:r>
        <w:rPr>
          <w:b/>
          <w:sz w:val="36"/>
          <w:szCs w:val="36"/>
          <w:highlight w:val="yellow"/>
        </w:rPr>
        <w:t xml:space="preserve">FIG. 39 </w:t>
      </w:r>
      <w:r>
        <w:rPr>
          <w:sz w:val="36"/>
          <w:szCs w:val="36"/>
          <w:highlight w:val="yellow"/>
        </w:rPr>
        <w:t xml:space="preserve">is a block diagram of the Lecture Query mode ingestion pipeline, in which a live or recorded audio/video program is captured under consent, transcribed and diarized, analyzed by the paralinguistic layer over time and by the language layer for structure and claims, summarized deterministically, and ingested as a Lecture Record whose claims are stored as attributed utterance facts and which is forever-linked to the speaker, venue, event, organization, and date by immutable provenance-tracked, trust-gated identity links.</w:t>
      </w:r>
    </w:p>
    <w:p>
      <w:pPr>
        <w:pStyle w:val="Normal"/>
        <w:bidi w:val="0"/>
        <w:ind w:firstLine="432"/>
        <w:jc w:val="both"/>
        <w:rPr>
          <w:rFonts w:hint="eastAsia"/>
          <w:sz w:val="36"/>
          <w:szCs w:val="36"/>
        </w:rPr>
      </w:pPr>
      <w:r>
        <w:rPr>
          <w:b/>
          <w:sz w:val="36"/>
          <w:szCs w:val="36"/>
          <w:highlight w:val="yellow"/>
        </w:rPr>
        <w:t xml:space="preserve">FIG. 40 </w:t>
      </w:r>
      <w:r>
        <w:rPr>
          <w:sz w:val="36"/>
          <w:szCs w:val="36"/>
          <w:highlight w:val="yellow"/>
        </w:rPr>
        <w:t xml:space="preserve">is a data-flow diagram of the forever-linked Lecture Record in the Fact-Unit identity graph and its querying, showing the record bound to speaker, venue, event, and organization entities and to the transcript and paralinguistic track, its attributed claims gated as corroborated, contradicted, or open, and a query answered with citations to the record and attribution to the speaker, refused where unknown.</w:t>
      </w:r>
    </w:p>
    <w:p>
      <w:pPr>
        <w:pStyle w:val="Normal"/>
        <w:bidi w:val="0"/>
        <w:ind w:firstLine="432"/>
        <w:jc w:val="both"/>
        <w:rPr>
          <w:rFonts w:hint="eastAsia"/>
          <w:sz w:val="36"/>
          <w:szCs w:val="36"/>
        </w:rPr>
      </w:pPr>
      <w:r>
        <w:rPr>
          <w:b/>
          <w:sz w:val="36"/>
          <w:szCs w:val="36"/>
          <w:highlight w:val="yellow"/>
        </w:rPr>
        <w:t xml:space="preserve">FIG. 41 </w:t>
      </w:r>
      <w:r>
        <w:rPr>
          <w:sz w:val="36"/>
          <w:szCs w:val="36"/>
          <w:highlight w:val="yellow"/>
        </w:rPr>
        <w:t xml:space="preserve">is a data-flow diagram of deterministic multilingual acquisition without a generative model, in which a per-language learning agent acquires vocabulary, phonology (IPA), and grammatical regularities from a lawful public-domain corpus and a governed bilingual dictionary, an IPA transcription is verified against a reference phonemizer and withheld rather than asserted when verification fails, and each accepted item is written as a provenance-tracked lexical record reproducible from the same inputs, with no large or generative language model in the grounding path.</w:t>
      </w:r>
    </w:p>
    <w:p>
      <w:pPr>
        <w:pStyle w:val="Normal"/>
        <w:bidi w:val="0"/>
        <w:ind w:firstLine="432"/>
        <w:jc w:val="both"/>
        <w:rPr>
          <w:rFonts w:hint="eastAsia"/>
          <w:sz w:val="36"/>
          <w:szCs w:val="36"/>
        </w:rPr>
      </w:pPr>
      <w:r>
        <w:rPr>
          <w:b/>
          <w:sz w:val="36"/>
          <w:szCs w:val="36"/>
          <w:highlight w:val="yellow"/>
        </w:rPr>
        <w:t xml:space="preserve">FIG. 42 </w:t>
      </w:r>
      <w:r>
        <w:rPr>
          <w:sz w:val="36"/>
          <w:szCs w:val="36"/>
          <w:highlight w:val="yellow"/>
        </w:rPr>
        <w:t xml:space="preserve">is a block diagram of a Dialect Parameter Cluster (DPC), a declared and versioned cluster of phonological, lexical, and orthographic parameters by which an input utterance is attributed to a dialect by a deterministic parameter-match score, the cluster modulating expression only and never altering admission, applicability scope, confidence, or the governed vocabulary.</w:t>
      </w:r>
    </w:p>
    <w:p>
      <w:pPr>
        <w:pStyle w:val="Normal"/>
        <w:bidi w:val="0"/>
        <w:ind w:firstLine="432"/>
        <w:jc w:val="both"/>
        <w:rPr>
          <w:rFonts w:hint="eastAsia"/>
          <w:sz w:val="36"/>
          <w:szCs w:val="36"/>
        </w:rPr>
      </w:pPr>
      <w:r>
        <w:rPr>
          <w:b/>
          <w:sz w:val="36"/>
          <w:szCs w:val="36"/>
          <w:highlight w:val="yellow"/>
        </w:rPr>
        <w:t xml:space="preserve">FIG. 43 </w:t>
      </w:r>
      <w:r>
        <w:rPr>
          <w:sz w:val="36"/>
          <w:szCs w:val="36"/>
          <w:highlight w:val="yellow"/>
        </w:rPr>
        <w:t xml:space="preserve">is a data-flow diagram of grounded scene compilation to an external generative media engine, in which a grounded scene representation derived from verified Fact Units is compiled and validated into a prompt bundle for an external generative video engine and any returned media is admitted only as a derived artifact marked as a reconstruction and never as a grounding source.</w:t>
      </w:r>
    </w:p>
    <w:p>
      <w:pPr>
        <w:pStyle w:val="Normal"/>
        <w:bidi w:val="0"/>
        <w:ind w:firstLine="432"/>
        <w:jc w:val="both"/>
        <w:rPr>
          <w:rFonts w:hint="eastAsia"/>
          <w:sz w:val="36"/>
          <w:szCs w:val="36"/>
        </w:rPr>
      </w:pPr>
      <w:r>
        <w:rPr>
          <w:b/>
          <w:sz w:val="36"/>
          <w:szCs w:val="36"/>
          <w:highlight w:val="yellow"/>
        </w:rPr>
        <w:t xml:space="preserve">FIG. 44 </w:t>
      </w:r>
      <w:r>
        <w:rPr>
          <w:sz w:val="36"/>
          <w:szCs w:val="36"/>
          <w:highlight w:val="yellow"/>
        </w:rPr>
        <w:t xml:space="preserve">is a block diagram of key-safe external-service mediation, in which a credential for an external service is held on the server side of the query/presentation boundary and never transmitted to the client, the server performing the external call and serving the result to the client by an opaque cache identifier so that the credential never crosses the boundary.</w:t>
      </w:r>
    </w:p>
    <w:p>
      <w:pPr>
        <w:pStyle w:val="Normal"/>
        <w:bidi w:val="0"/>
        <w:ind w:firstLine="432"/>
        <w:jc w:val="both"/>
        <w:rPr>
          <w:rFonts w:hint="eastAsia"/>
          <w:sz w:val="36"/>
          <w:szCs w:val="36"/>
        </w:rPr>
      </w:pPr>
      <w:r>
        <w:rPr>
          <w:b/>
          <w:sz w:val="36"/>
          <w:szCs w:val="36"/>
          <w:highlight w:val="yellow"/>
        </w:rPr>
        <w:t xml:space="preserve">FIG. 45 </w:t>
      </w:r>
      <w:r>
        <w:rPr>
          <w:sz w:val="36"/>
          <w:szCs w:val="36"/>
          <w:highlight w:val="yellow"/>
        </w:rPr>
        <w:t xml:space="preserve">is a flow diagram of scene reconstruction from prose, in which a deterministic reconstructor derives a shot sequence, a timed prompt sequence, and pacing and music cues as a bounded reconstruction, renders a participant who is not an identified subject as a silhouette so that no unverified identity is fabricated, and marks the whole as a reconstruction.</w:t>
      </w:r>
    </w:p>
    <w:p>
      <w:pPr>
        <w:pStyle w:val="Normal"/>
        <w:bidi w:val="0"/>
        <w:ind w:firstLine="432"/>
        <w:jc w:val="both"/>
        <w:rPr>
          <w:rFonts w:hint="eastAsia"/>
          <w:sz w:val="36"/>
          <w:szCs w:val="36"/>
        </w:rPr>
      </w:pPr>
      <w:r>
        <w:rPr>
          <w:b/>
          <w:sz w:val="36"/>
          <w:szCs w:val="36"/>
          <w:highlight w:val="yellow"/>
        </w:rPr>
        <w:t xml:space="preserve">FIG. 46 </w:t>
      </w:r>
      <w:r>
        <w:rPr>
          <w:sz w:val="36"/>
          <w:szCs w:val="36"/>
          <w:highlight w:val="yellow"/>
        </w:rPr>
        <w:t xml:space="preserve">is a block diagram of modular edition packaging, in which the system is deployable as one of a plurality of nested capability editions selected at launch, each edition enabling a declared subset of subsystems while the Prime Directive and the deterministic reasoning core remain invariant across every edition.</w:t>
      </w:r>
    </w:p>
    <w:p>
      <w:pPr>
        <w:pStyle w:val="Normal"/>
        <w:bidi w:val="0"/>
        <w:ind w:firstLine="432"/>
        <w:jc w:val="both"/>
        <w:rPr>
          <w:rFonts w:hint="eastAsia"/>
          <w:sz w:val="36"/>
          <w:szCs w:val="36"/>
        </w:rPr>
      </w:pPr>
      <w:r>
        <w:rPr>
          <w:b/>
          <w:sz w:val="36"/>
          <w:szCs w:val="36"/>
          <w:highlight w:val="yellow"/>
        </w:rPr>
        <w:t xml:space="preserve">FIG. 47 </w:t>
      </w:r>
      <w:r>
        <w:rPr>
          <w:sz w:val="36"/>
          <w:szCs w:val="36"/>
          <w:highlight w:val="yellow"/>
        </w:rPr>
        <w:t xml:space="preserve">is a block diagram of the version-independent, provenance-continuous store, in which the knowledge store resides at a canonical location independent of the deployment software version so that successive software versions bind to the same provenance-tracked records, a version change never re-initializes the store, and the system refuses to substitute an empty store where a populated store exists.</w:t>
      </w:r>
    </w:p>
    <w:p>
      <w:pPr>
        <w:pStyle w:val="Normal"/>
        <w:bidi w:val="0"/>
        <w:ind w:firstLine="432"/>
        <w:jc w:val="both"/>
        <w:rPr>
          <w:rFonts w:hint="eastAsia"/>
          <w:sz w:val="36"/>
          <w:szCs w:val="36"/>
        </w:rPr>
      </w:pPr>
      <w:r>
        <w:rPr>
          <w:b/>
          <w:sz w:val="36"/>
          <w:szCs w:val="36"/>
          <w:highlight w:val="yellow"/>
        </w:rPr>
        <w:t xml:space="preserve">FIG. 48 </w:t>
      </w:r>
      <w:r>
        <w:rPr>
          <w:sz w:val="36"/>
          <w:szCs w:val="36"/>
          <w:highlight w:val="yellow"/>
        </w:rPr>
        <w:t xml:space="preserve">is a data-flow diagram of a cited question-and-answer (ChatBot) application embodiment, in which a user question is interpreted for intent and register, answered by Federated Query Language retrieval over verified Fact Units, passed through the Prime-Directive gate, and returned either as a composed answer carrying per-fact citations or, where the evidence is insufficient, as an honest UNKNOWN, the same citation-or-UNKNOWN contract holding when the embodiment is deployed as a ChatBot or assistant surface.</w:t>
      </w:r>
    </w:p>
    <w:p>
      <w:pPr>
        <w:pStyle w:val="Normal"/>
        <w:bidi w:val="0"/>
        <w:ind w:firstLine="432"/>
        <w:jc w:val="both"/>
        <w:rPr>
          <w:rFonts w:hint="eastAsia"/>
          <w:sz w:val="36"/>
          <w:szCs w:val="36"/>
        </w:rPr>
      </w:pPr>
      <w:r>
        <w:rPr>
          <w:b/>
          <w:sz w:val="36"/>
          <w:szCs w:val="36"/>
          <w:highlight w:val="yellow"/>
        </w:rPr>
        <w:t xml:space="preserve">FIG. 49 </w:t>
      </w:r>
      <w:r>
        <w:rPr>
          <w:sz w:val="36"/>
          <w:szCs w:val="36"/>
          <w:highlight w:val="yellow"/>
        </w:rPr>
        <w:t xml:space="preserve">is a block diagram of the application and deployment surfaces of the system over its invariant core, in which a single governed body of Fact Units is presented through an on-device micro-encapsulated eBook or document question-and-answer surface, a software-as-a-service or application-programming-interface service, a Fact-Unit compressed search engine, a deterministic large-language-model-hybrid adjunct, and a private or offline analysis deployment, each surface inheriting the same citation-or-UNKNOWN contract and provenance and none able to assert a fact the core would refuse.</w:t>
      </w:r>
    </w:p>
    <w:p>
      <w:pPr>
        <w:pStyle w:val="Normal"/>
        <w:bidi w:val="0"/>
        <w:ind w:firstLine="432"/>
        <w:jc w:val="both"/>
        <w:rPr>
          <w:rFonts w:hint="eastAsia"/>
          <w:sz w:val="36"/>
          <w:szCs w:val="36"/>
        </w:rPr>
      </w:pPr>
      <w:r>
        <w:rPr>
          <w:b/>
          <w:sz w:val="36"/>
          <w:szCs w:val="36"/>
          <w:highlight w:val="yellow"/>
        </w:rPr>
        <w:t xml:space="preserve">FIG. 50 </w:t>
      </w:r>
      <w:r>
        <w:rPr>
          <w:sz w:val="36"/>
          <w:szCs w:val="36"/>
          <w:highlight w:val="yellow"/>
        </w:rPr>
        <w:t xml:space="preserve">is a block diagram of Open Claw ingestion, showing content-based format detection, archive bounds, the Artifact Segmenter, the instruction-like content screen, the OpenClaw Interpreter, and the admission of artifact-description, structured, passage, and flagged untrusted records to the Fact Unit store under a provenance seal.</w:t>
      </w:r>
    </w:p>
    <w:p>
      <w:pPr>
        <w:pStyle w:val="Normal"/>
        <w:bidi w:val="0"/>
        <w:ind w:firstLine="432"/>
        <w:jc w:val="both"/>
        <w:rPr>
          <w:rFonts w:hint="eastAsia"/>
          <w:sz w:val="36"/>
          <w:szCs w:val="36"/>
        </w:rPr>
      </w:pPr>
      <w:r>
        <w:rPr>
          <w:b/>
          <w:sz w:val="36"/>
          <w:szCs w:val="36"/>
          <w:highlight w:val="yellow"/>
        </w:rPr>
        <w:t xml:space="preserve">FIG. 51 </w:t>
      </w:r>
      <w:r>
        <w:rPr>
          <w:sz w:val="36"/>
          <w:szCs w:val="36"/>
          <w:highlight w:val="yellow"/>
        </w:rPr>
        <w:t xml:space="preserve">is a block diagram of on-chain certification, showing a QueryBook object and its local provenance seal, the content hash and on-chain metadata, the in-system transaction signer and network guard, the certificate contract on a public blockchain, the independent verifier, and the licence check.</w:t>
      </w:r>
    </w:p>
    <w:p>
      <w:pPr>
        <w:pStyle w:val="Normal"/>
        <w:bidi w:val="0"/>
        <w:ind w:firstLine="432"/>
        <w:jc w:val="both"/>
        <w:rPr>
          <w:rFonts w:hint="eastAsia"/>
          <w:sz w:val="36"/>
          <w:szCs w:val="36"/>
        </w:rPr>
      </w:pPr>
      <w:r>
        <w:rPr>
          <w:b/>
          <w:sz w:val="36"/>
          <w:szCs w:val="36"/>
          <w:highlight w:val="yellow"/>
        </w:rPr>
        <w:t xml:space="preserve">FIG. 52 </w:t>
      </w:r>
      <w:r>
        <w:rPr>
          <w:sz w:val="36"/>
          <w:szCs w:val="36"/>
          <w:highlight w:val="yellow"/>
        </w:rPr>
        <w:t xml:space="preserve">is a block diagram of the agent protection and deception layer, showing the HTTP gate, the isolation register, the Agent Gateway, the deception check with honeycode, honeytokens, tripwires, and honeypot agents, the AI-aware firewall and anomaly detector, the security event bus, the decoy environment, the engagement recorder, and operator-only release.</w:t>
      </w:r>
    </w:p>
    <w:p>
      <w:pPr>
        <w:pStyle w:val="Normal"/>
        <w:bidi w:val="0"/>
        <w:ind w:firstLine="432"/>
        <w:jc w:val="both"/>
        <w:rPr>
          <w:rFonts w:hint="eastAsia"/>
          <w:sz w:val="36"/>
          <w:szCs w:val="36"/>
        </w:rPr>
      </w:pPr>
      <w:r>
        <w:rPr>
          <w:b/>
          <w:sz w:val="36"/>
          <w:szCs w:val="36"/>
          <w:highlight w:val="yellow"/>
        </w:rPr>
        <w:t xml:space="preserve">FIG. 53 </w:t>
      </w:r>
      <w:r>
        <w:rPr>
          <w:sz w:val="36"/>
          <w:szCs w:val="36"/>
          <w:highlight w:val="yellow"/>
        </w:rPr>
        <w:t xml:space="preserve">is a block diagram of the tamper-evident security record, showing append-only entries, the hash chain, write-once signed Merkle checkpoints, a mirror on a second device, a blockchain anchor, the recompute-from-content verifier with inclusion proofs, and the assurance report.</w:t>
      </w:r>
    </w:p>
    <w:p>
      <w:pPr>
        <w:pStyle w:val="Normal"/>
        <w:bidi w:val="0"/>
        <w:ind w:firstLine="432"/>
        <w:jc w:val="both"/>
        <w:rPr>
          <w:rFonts w:hint="eastAsia"/>
          <w:sz w:val="36"/>
          <w:szCs w:val="36"/>
        </w:rPr>
      </w:pPr>
      <w:r>
        <w:rPr>
          <w:b/>
          <w:sz w:val="36"/>
          <w:szCs w:val="36"/>
          <w:highlight w:val="yellow"/>
        </w:rPr>
        <w:t xml:space="preserve">FIG. 54 </w:t>
      </w:r>
      <w:r>
        <w:rPr>
          <w:sz w:val="36"/>
          <w:szCs w:val="36"/>
          <w:highlight w:val="yellow"/>
        </w:rPr>
        <w:t xml:space="preserve">is a block diagram of agent interoperability, showing an external AI agent and its skill definition, the Model Context Protocol tool server, the tool-to-command mapping, the Agent Gateway with the agent’s allow-list, grounded handlers, and isolation upon a reserved command.</w:t>
      </w:r>
    </w:p>
    <w:p>
      <w:pPr>
        <w:pStyle w:val="Normal"/>
        <w:bidi w:val="0"/>
        <w:ind w:firstLine="432"/>
        <w:jc w:val="both"/>
        <w:rPr>
          <w:rFonts w:hint="eastAsia"/>
          <w:sz w:val="36"/>
          <w:szCs w:val="36"/>
        </w:rPr>
      </w:pPr>
      <w:r>
        <w:rPr>
          <w:b/>
          <w:sz w:val="36"/>
          <w:szCs w:val="36"/>
          <w:highlight w:val="yellow"/>
        </w:rPr>
        <w:t xml:space="preserve">FIG. 55 </w:t>
      </w:r>
      <w:r>
        <w:rPr>
          <w:sz w:val="36"/>
          <w:szCs w:val="36"/>
          <w:highlight w:val="yellow"/>
        </w:rPr>
        <w:t xml:space="preserve">is a block diagram of the framed hybrid transport, extending FIG. 17, showing per-type compression, the frame with its header, metadata, payload, CRC32 checksum, and optional signature, the control, normal, and bulk lanes, the receiver, package rebuild with manifest check, and record verification into the Fact Unit store.</w:t>
      </w:r>
    </w:p>
    <w:p>
      <w:pPr>
        <w:pStyle w:val="Normal"/>
        <w:bidi w:val="0"/>
        <w:spacing w:before="200" w:after="160"/>
        <w:jc w:val="start"/>
        <w:rPr>
          <w:rFonts w:hint="eastAsia"/>
          <w:sz w:val="36"/>
          <w:szCs w:val="36"/>
        </w:rPr>
      </w:pPr>
      <w:r>
        <w:rPr>
          <w:rStyle w:val="Strong"/>
          <w:i/>
          <w:color w:val="555555"/>
          <w:sz w:val="36"/>
          <w:szCs w:val="36"/>
        </w:rPr>
        <w:t>[Drafting note: professional line-art drawings for FIG. 1–4, 6, 12–13, and 17–18 are provided in the accompanying drawings PDF; FIG. 5, 7–11, and 14–16 are described above and their drawings are prepared to the same standard. Reference numerals follow the specification's element register. No performance, efficiency, or financial figures are asserted in the drawings.]</w:t>
      </w:r>
    </w:p>
    <w:p>
      <w:pPr>
        <w:pStyle w:val="Normal"/>
        <w:bidi w:val="0"/>
        <w:spacing w:before="200" w:after="160"/>
        <w:jc w:val="start"/>
        <w:rPr>
          <w:rFonts w:hint="eastAsia"/>
          <w:sz w:val="36"/>
          <w:szCs w:val="36"/>
        </w:rPr>
      </w:pPr>
      <w:r>
        <w:rPr>
          <w:rStyle w:val="Strong"/>
          <w:i/>
          <w:color w:val="555555"/>
          <w:sz w:val="36"/>
          <w:szCs w:val="36"/>
          <w:highlight w:val="yellow"/>
        </w:rPr>
        <w:t xml:space="preserve">[Drafting note: the complete drawing set, FIG. 1–55, is provided in the accompanying drawings PDF, one figure per sheet; reference numerals 5000–5550 used in FIG. 50–55 are identified in the Detailed Description.]</w:t>
      </w:r>
    </w:p>
    <w:p>
      <w:pPr>
        <w:pStyle w:val="Heading2"/>
        <w:numPr>
          <w:ilvl w:val="1"/>
          <w:numId w:val="1"/>
        </w:numPr>
        <w:bidi w:val="0"/>
        <w:spacing w:before="0" w:after="120"/>
        <w:jc w:val="start"/>
        <w:rPr>
          <w:rStyle w:val="Strong"/>
          <w:rFonts w:ascii="Times New Roman" w:hAnsi="Times New Roman"/>
          <w:b w:val="false"/>
          <w:bCs w:val="false"/>
          <w:i/>
          <w:color w:val="555555"/>
          <w:sz w:val="24"/>
          <w:szCs w:val="24"/>
        </w:rPr>
      </w:pPr>
      <w:r>
        <w:rPr>
          <w:rFonts w:ascii="Times New Roman" w:hAnsi="Times New Roman"/>
          <w:b w:val="false"/>
          <w:bCs w:val="false"/>
          <w:i/>
          <w:color w:val="555555"/>
          <w:sz w:val="24"/>
          <w:szCs w:val="24"/>
        </w:rPr>
      </w:r>
    </w:p>
    <w:p>
      <w:pPr>
        <w:pStyle w:val="Heading2"/>
        <w:numPr>
          <w:ilvl w:val="1"/>
          <w:numId w:val="1"/>
        </w:numPr>
        <w:bidi w:val="0"/>
        <w:spacing w:before="0" w:after="120"/>
        <w:jc w:val="start"/>
        <w:rPr>
          <w:rFonts w:hint="eastAsia"/>
        </w:rPr>
      </w:pPr>
      <w:bookmarkStart w:id="6" w:name="__RefHeading___Toc46816_805184229"/>
      <w:bookmarkEnd w:id="6"/>
      <w:r>
        <w:rPr>
          <w:rStyle w:val="Strong"/>
          <w:rFonts w:ascii="Times New Roman" w:hAnsi="Times New Roman"/>
          <w:b/>
          <w:bCs/>
          <w:sz w:val="24"/>
          <w:szCs w:val="24"/>
        </w:rPr>
        <w:t>DETAILED DESCRIPTION SECTION</w:t>
      </w:r>
    </w:p>
    <w:p>
      <w:pPr>
        <w:pStyle w:val="Normal"/>
        <w:bidi w:val="0"/>
        <w:jc w:val="start"/>
        <w:rPr>
          <w:rFonts w:ascii="Times New Roman" w:hAnsi="Times New Roman"/>
          <w:color w:val="222222"/>
        </w:rPr>
      </w:pPr>
      <w:r>
        <w:rPr>
          <w:rFonts w:ascii="Times New Roman" w:hAnsi="Times New Roman"/>
          <w:color w:val="222222"/>
        </w:rPr>
      </w:r>
    </w:p>
    <w:p>
      <w:pPr>
        <w:pStyle w:val="TOCHeading"/>
        <w:bidi w:val="0"/>
        <w:jc w:val="start"/>
        <w:rPr>
          <w:rFonts w:hint="eastAsia"/>
          <w:sz w:val="24"/>
          <w:szCs w:val="24"/>
        </w:rPr>
      </w:pPr>
      <w:r>
        <w:rPr>
          <w:rFonts w:ascii="Times New Roman" w:hAnsi="Times New Roman"/>
          <w:sz w:val="24"/>
          <w:szCs w:val="24"/>
        </w:rPr>
        <w:t>QUERYBOOK SYSTEM OVERVIEW</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Summary Introduction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w:t>
      </w:r>
      <w:r>
        <w:rPr>
          <w:rFonts w:ascii="Times New Roman" w:hAnsi="Times New Roman"/>
          <w:b/>
          <w:color w:val="222222"/>
        </w:rPr>
        <w:t>a</w:t>
      </w:r>
      <w:r>
        <w:rPr>
          <w:rFonts w:ascii="Times New Roman" w:hAnsi="Times New Roman"/>
          <w:color w:val="222222"/>
        </w:rPr>
        <w:t> new model of AI. It is a universal, deterministic, multimodal cognitive AI engine designed to transform how digital information is understood, navigated, and used. It is not a chatbot, not a language model, and not a statistical prediction system. Instead, QueryBook is a structured world-model engine built on atomic semantic units called Fact Units, a neuromorphic multi-level reasoning architecture, with predictive and Baconian adaptive response logic and intelligence within a flexible open framework capable of operating across any device, database, or content ecosystem. QueryBook serves as a universal cognitive layer that can bring life, responsive Q&amp;A to printed books, documents, product user manuals or media, or be embedded in enterprise systems, scientific datasets, multimodal media, and real-world environments, providing answers, cross-document reasoning, multimodal interpretation, and context-aware intelligence. Responses are tied to citation and ranked. QueryBook’s geometric graph based structure also provides for a powerful new industry capability for video and audio compression and expansion, plus 3D VR and colorization capability.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At its foundation, QueryBook uses Fact Units, which represent a new AI Primitive. They are atomic, language-independent meaning structures that store what something is, not how it was written. Unlike language models that store patterns of text, QueryBook stores meaning below language, allowing it to regenerate knowledge in any language or modality without drift or ambiguity, capability which also offers potential for multi-language and translation ability. Each Fact Unit carries semantic lineage, temporal anchors, multimodal attachments, exceptions, and provenance, forming the building blocks of QueryBook’s world-model. These units behave structurally like cortical columns in the brain: stable containers of meaning whose participation in reasoning resembles neural activation, competition, and propagation. This architecture allows QueryBook to understand content deterministically, reason with precision, and avoid the hallucination problems common in probabilistic AI systems. These Fact Units reside on a unified fact substrate — the Unified Fact Cognitive Substrate (UFCS) — and are reached through a fact query language, FQL. Together, the Fact Unit, UFCS, and FQL form a novel foundation layer for graph computing: content-addressed fact records related on a graph, a hypergraph of relations binding three or more records as one multi-entity assertion, and directed reasoning chains, carried within certified, trust-scored envelopes, and queried jointly on structure and certification trust in a single operation. This foundation layer is the unique advantage beneath QueryBook — unifying structured representation, authority-certified trust, and query within one fabric — and QueryBook is built upon it, operating with or without it and gaining its advantages wherever it is connected.</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intelligence emerges from a neuromorphic, multi-nodal, multi-level cognitive architecture that mirrors human reasoning. It integrates perception, conceptual understanding, temporal reasoning, analogy formation, and predictive modeling into a unified cognitive substrate. This architecture allows QueryBook to interpret text, images, diagrams, audio, video, and spatial environments as coherent meaning structures. It can follow narratives, detect contradictions, align timelines, understand causal relationships, and synthesize meaning across multiple sources. QueryBook represents a new model of AI—one that is structural rather than statistical, conceptual rather than linguistic, and deterministic rather than probabilistic.</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built on an open architecture that allows it to operate with any database management system, any content repository, and any e-reader platform. It does not require proprietary formats or specialized hardware. QueryBook can ingest ebooks, PDFs, documents, videos, tables, structured data, and volumetric scenes, converting them into Fact Units and integrating logic and reasoning with its world-view hypergraph system that builds conceptual models of the world. This open design allows QueryBook to be deployed in consumer reading environments, enterprise knowledge systems, scientific research platforms, educational ecosystems, multimodal media applications and robotic environments. Because QueryBook is not tied to a specific vendor or content type, it can serve as a universal cognitive layer across industries and devices.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range of applications begins with Ebook and multi-document Q&amp;A, where it provides deterministic answers, cross-chapter reasoning, contradiction detection, and multimodal explanation. It can operate offline on a smartphone or tablet, making it a portable knowledge engine for students, professionals, and general readers – a feature especially useful in locations where internet is not available.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multi-document environments, QueryBook becomes a cross-source reasoning engine capable of comparing texts, aligning timelines, detecting inconsistencies, and synthesizing meaning across diverse media.</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Search Engine: QueryBook can operate as a fact-grounded search engine, including over web-crawled sources. Rather than returning a ranked list of links, it indexes content as certified, trust-scored Fact Units and answers a search query with the specific facts that satisfy it, each accompanied by its provenance and a confidence, while natively excluding contradicted or below-threshold material — delivering verified answers with citations rather than documents a reader must still evaluate.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Specialized Private AI Systems: Customers can build their own private AI system by inputting their own database, their own expertise, and their own methods of analysis or computation — defining the ingestion mode, the processing workflow, and the output presentation over their own certified Fact Units — to develop a specialized AI capability aligned with their own needs. Such a system is distinct from standard QueryBook interaction and is isolated from other users, while inheriting QueryBook’s grounding, provenance, calibrated confidence, and governance guarantees.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Beyond reading and research, QueryBook can serve as a cognitive engine for data analysis, enterprise intelligence, scientific modeling, robotics, autonomous systems, and synthetic world-modeling environments. Its multimodal ingestion allows it to understand text, images, audio, diagrams, and spatial environments in a unified cognitive substrate. Its predictive architecture allows it to generate hypotheses, model scenarios, and perform temporal forecasting. Because its reasoning is deterministic and grounded, its predictions are explainable, traceable, stable and non-hallucinogenic. It can analyze economic indicators, scientific datasets, medical information, engineering diagrams, and structured tables, providing deterministic interpretation and predictive insights.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capabilities can also be used for Advanced Chatbots and Digital User Manuals: Customer-facing and internal assistants grounded in product or policy Fact Units, replacing probabilistic chatbot responses with deterministic, auditable answers that cannot drift from source content. It can be used for robotic &amp; autonomous applications. On-device semantic reasoning for robotic systems requiring deterministic, low-latency knowledge access — grounded perception, spatial reasoning, and action planning from a local Fact Unit store with world model concept and model input.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addition QueryBook can provide controlled, rogue-limited Agent capability: Autonomous agents operating strictly within QueryBook’s constitutional governance framework — Prime Directive enforced at every action boundary — providing agent utility while structurally preventing rogue or unintended autonomous behavior. It can be used for LLM Integration: QueryBook functions as a structured grounding and fact-verification layer for existing large language models, constraining generation vocabulary to admitted Fact Units and replacing stochastic retrieval augmentation with deterministic semantic grounding. QueryBook can optionally substitute its own Agents capability to eliminate potential rogue activity witnessed in current LLM Agent products. It can provide LLM capability in Scientific, Medical, Legal, and Research Fields: 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Cybersecurity and Defense, Including for Other AI Systems: QueryBook incorporates a multi-level cyber-defense system spanning proactive, reactive, pre-emptive, counter, offensive, and deceptive postures, including an AI Attack Prediction Engine, Universal Honeypot Saturation with a configurable infinite-apparent-volume Data Firehose, and a multi-layer AI Worm Defense Architecture with a sixty-second automated kill switch that isolates a compromised agent and revokes its credentials. Provenance and certification are recorded in a post-quantum provenance ledger whose composite signatures remain verifiable against adversaries equipped with quantum computers, so the trust chain survives the anticipated failure of conventional public-key cryptography. Because this defense architecture is structured independently of QueryBook’s knowledge functions, it can additionally be deployed to protect other AI systems — large language model servers, agent frameworks, and inference infrastructure — against cyber hacks, intrusions, credential attacks, and self-propagating AI worms.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Prime Directive is the governing safety and integrity rule that sits above all system behavior within QueryBook. It defines the non-overridable constraints that regulate ingestion, transformation, storage, retrieval, and user-facing output. All subsystems—semantic engines, rendering pipelines, ingestion templates, and rights-control layers—operate under its enforcement map.</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integrates a dynamic, multi-layer DRM framework that governs access, duplication, distribution, and transformation rights across all content types. Unlike static DRM systems, QueryBook’s DRM is context-aware, role-aware, and event-driven, enabling granular control over how content is consumed, shared, or embedded across portals.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is highly flexible in deployment. It can be micro-embedded into a smartphone, tablet, or wearable device, providing offline reasoning and multimodal interpretation. It can operate as a local application on a laptop or workstation, serving as a personal knowledge engine. It can be deployed as a cloud-based SaaS platform, supporting large-scale enterprise environments with millions of documents and complex workflows. It can also be integrated into industrial systems, scientific laboratories, medical environments, and autonomous platforms, where deterministic reasoning and multimodal understanding are essential.</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includes a rich set of user features designed to support both casual and professional use. Users can ask natural questions, explore concepts, compare documents, analyze data, and navigate multimodal content with deterministic accuracy. eBook readers or students can highlight passages, make notes, print responses and export to larger screens. By option trainers or teachers and product developers or authors can receive feedback summarizing questions from readers and respond with added information or answers.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 can generate diagrams, tables, images, and spatial reconstructions directly from its Fact Unit graph. It can translate meaning across languages, summarize content, detect contradictions, align timelines, and provide multimodal explanations. Advanced users can employ QueryBook’s reasoning tools to perform scenario modeling, predictive analysis, and cross-domain synthesis. QueryBook’s interface adapts to user intent, providing ergonomic, context-aware responses that reflect cultural norms, social expectations, and user preferences.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QueryBook’s architecture is designed for tailorability. Developers and organizations can customize its ontology, integrate domain-specific knowledge, define specialized reasoning rules, and embed QueryBook into existing workflows. Its modular design allows it to scale from small personal libraries to enterprise-wide knowledge systems. Because QueryBook stores meaning rather than text, it can adapt to new domains without retraining or statistical fine-tuning. Its deterministic reasoning ensures that answers remain stable across devices, sessions, and environments.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Advantages Over Other Technologies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system delivers clear, structural advantages compared to conventional storage-compute architectures and competing data-center technologies. These advantages emerge from density-optimized design, cost-efficient compute strategies, and reduced environmental and spatial overhead.</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1. Condensed Storage Density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By maximizing data density per module, the system stores significantly more information in a smaller physical volume than traditional storage arrays. This reduces rack count, simplifies scaling, and enables large deployments without proportional space expansion.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2. Lower-Cost Compute Infrastructure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architecture leverages streamlined compute nodes and cost-efficient hardware configurations that maintain performance while reducing capital expenditure. Organizations can deploy more compute capacity for the same budget, improving ROI and enabling broader system adoption.</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3. Reduced Electricity &amp; Cooling Requirements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Energy-efficient components and optimized thermal behavior lower both power draw and cooling demand. Compared to legacy systems, this results in measurable reductions in operational costs, less strain on HVAC infrastructure, and improved sustainability metrics.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4. Smaller Physical Footprint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High-density modules and compact system design allow large installations to operate within a dramatically smaller footprint. This advantage is especially critical in premium real-estate environments, colocation facilities, and hyperscale deployments where space efficiency directly impacts cost.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222222"/>
        </w:rPr>
        <w:t>5. Integrated Efficiency Across the Stack</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Unlike competing technologies that optimize one dimension at the expense of another, this system delivers simultaneous gains in storage density, compute cost, energy usage, and spatial efficiency. The combined effect produces a more scalable, economical, and environmentally aligned platform.</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b/>
          <w:color w:val="1A2235"/>
        </w:rPr>
        <w:t>Additional Fact Unit Related Capabilities</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The Fact Unit primitive</w:t>
      </w:r>
      <w:r>
        <w:rPr>
          <w:rFonts w:ascii="Times New Roman" w:hAnsi="Times New Roman"/>
          <w:b/>
          <w:color w:val="222222"/>
        </w:rPr>
        <w:t>, carried on the UFCS substrate and reached through FQL,</w:t>
      </w:r>
      <w:r>
        <w:rPr>
          <w:rFonts w:ascii="Times New Roman" w:hAnsi="Times New Roman"/>
          <w:color w:val="222222"/>
        </w:rPr>
        <w:t> enables a class of applications not available to any system storing knowledge at the language or pixel level:</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a. Deterministic multi-language regeneration without per-language reingestion. This is possible because a Fact Unit stores meaning independently of any language: the same certified fact renders into any target language on demand, so a corpus is ingested once and regenerated in any language without a separate per-language pass, and citations stay aligned to the same underlying records across every language — a benefit no text- or token-based store can match.</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b. Semantic compression and expansion of audio, video, and volumetric media with projected 90–99 percent size reduction relative to conventional codec output. Because the system stores the meaning of media rather than its pixels or waveforms and regenerates a surface representation on demand, only the compact semantic records travel or persist; the projected 90 to 99 percent reduction is stated as a projection pending measured validation, and the benefit is greatest for content whose value lies in its meaning rather than in an exact surface form.</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c. Deterministic video colorization from Fact Unit material property records. Color is derived from material-property facts rather than estimated by a generative model, so identical inputs produce identical colors and every colored region is traceable to the specific record that justified it; a region with no supporting record is left in its original form rather than plausibly guessed, which is what makes the result auditable and repeatable.</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d. Three-dimensional and VR presentation grounded in the same Fact Graph that answers text questions. Because a spatial scene and a written answer are generated from the same Fact Graph, the two cannot diverge: what a user sees in three dimensions is grounded in exactly the same certified facts as what the user reads, giving immersive presentation the same provenance and non-hallucination guarantees as text.</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e. A QueryBook-enhanced TCP/IP hybrid protocol carrying Fact Unit identifiers and provenance references alongside network payload data. Carrying Fact Unit identifiers and provenance in the protocol lets a receiving endpoint verify the identity, provenance, and confidence of transported content in-band, and lets already-held facts travel as compact references rather than repeated payloads, while a non-participating endpoint treats the traffic as ordinary network data — adding trust and efficiency without breaking compatibility.</w:t>
      </w:r>
    </w:p>
    <w:p>
      <w:pPr>
        <w:pStyle w:val="Normal"/>
        <w:bidi w:val="0"/>
        <w:jc w:val="start"/>
        <w:rPr>
          <w:rFonts w:ascii="Times New Roman" w:hAnsi="Times New Roman"/>
          <w:color w:val="222222"/>
        </w:rPr>
      </w:pPr>
      <w:r>
        <w:rPr>
          <w:rFonts w:ascii="Times New Roman" w:hAnsi="Times New Roman"/>
          <w:color w:val="222222"/>
        </w:rPr>
      </w:r>
    </w:p>
    <w:p>
      <w:pPr>
        <w:pStyle w:val="Normal"/>
        <w:bidi w:val="0"/>
        <w:jc w:val="start"/>
        <w:rPr>
          <w:rFonts w:hint="eastAsia"/>
        </w:rPr>
      </w:pPr>
      <w:r>
        <w:rPr>
          <w:rFonts w:ascii="Times New Roman" w:hAnsi="Times New Roman"/>
          <w:color w:val="222222"/>
        </w:rPr>
        <w:t>In summary, QueryBook is a synthetic cortex and deterministic world-model engine built on atomic semantic units, neuromorphic reasoning, multimodal cognition, and an open, flexible architecture. It represents a new paradigm in AI—one that is structured, explainable, multimodal, and universally deployable. QueryBook transforms digital content into a coherent, navigable, intelligent world-model, enabling users to understand, explore, and apply knowledge with unprecedented clarity and precision. At its base, QueryBook rests on the Fact Unit, UFCS, and FQL foundation layer for graph computing, which supplies the content-addressed representation, certified-trust model, and joint structure-and-trust query on which every capability above is built.</w:t>
      </w:r>
    </w:p>
    <w:p>
      <w:pPr>
        <w:pStyle w:val="Normal"/>
        <w:bidi w:val="0"/>
        <w:jc w:val="start"/>
        <w:rPr>
          <w:rFonts w:hint="eastAsia"/>
        </w:rPr>
      </w:pPr>
      <w:r>
        <w:rPr>
          <w:rFonts w:ascii="Times New Roman" w:hAnsi="Times New Roman"/>
          <w:b/>
          <w:color w:val="1A2235"/>
          <w:highlight w:val="yellow"/>
        </w:rPr>
        <w:t xml:space="preserve">Recent Feature Additions</w:t>
      </w:r>
    </w:p>
    <w:p>
      <w:pPr>
        <w:pStyle w:val="Normal"/>
        <w:bidi w:val="0"/>
        <w:jc w:val="start"/>
        <w:rPr>
          <w:rFonts w:hint="eastAsia"/>
        </w:rPr>
      </w:pPr>
      <w:r>
        <w:rPr>
          <w:rFonts w:ascii="Times New Roman" w:hAnsi="Times New Roman"/>
          <w:color w:val="222222"/>
          <w:highlight w:val="yellow"/>
        </w:rPr>
        <w:t xml:space="preserve">QueryBook has been further extended for a world in which AI agents read files, call tools, and query other systems on people’s behalf. The additions keep the same rule as the rest of the system — nothing enters the answer path unverified, everything is recorded, and the record itself cannot be quietly altered:</w:t>
      </w:r>
    </w:p>
    <w:p>
      <w:pPr>
        <w:pStyle w:val="Normal"/>
        <w:bidi w:val="0"/>
        <w:jc w:val="start"/>
        <w:rPr>
          <w:rFonts w:hint="eastAsia"/>
        </w:rPr>
      </w:pPr>
      <w:r>
        <w:rPr>
          <w:rFonts w:ascii="Times New Roman" w:hAnsi="Times New Roman"/>
          <w:color w:val="222222"/>
          <w:highlight w:val="yellow"/>
        </w:rPr>
        <w:t xml:space="preserve">1. Any-format ingestion (Open Claw). Files of any kind can be submitted. QueryBook identifies each file by its content, divides it into addressable pieces, and turns those pieces into Fact Units. Text hidden in a file to give orders to an AI is flagged and stored as untrusted, below the level at which it could affect an answer.</w:t>
      </w:r>
    </w:p>
    <w:p>
      <w:pPr>
        <w:pStyle w:val="Normal"/>
        <w:bidi w:val="0"/>
        <w:jc w:val="start"/>
        <w:rPr>
          <w:rFonts w:hint="eastAsia"/>
        </w:rPr>
      </w:pPr>
      <w:r>
        <w:rPr>
          <w:rFonts w:ascii="Times New Roman" w:hAnsi="Times New Roman"/>
          <w:color w:val="222222"/>
          <w:highlight w:val="yellow"/>
        </w:rPr>
        <w:t xml:space="preserve">2. Certificates anyone can check. A Fact Unit, a book, or an answer can optionally be certified on a public blockchain as a non-fungible token that records its content hash, what it derives from, and whether it has been revoked. Anyone holding the item can confirm it without access to QueryBook.</w:t>
      </w:r>
    </w:p>
    <w:p>
      <w:pPr>
        <w:pStyle w:val="Normal"/>
        <w:bidi w:val="0"/>
        <w:jc w:val="start"/>
        <w:rPr>
          <w:rFonts w:hint="eastAsia"/>
        </w:rPr>
      </w:pPr>
      <w:r>
        <w:rPr>
          <w:rFonts w:ascii="Times New Roman" w:hAnsi="Times New Roman"/>
          <w:color w:val="222222"/>
          <w:highlight w:val="yellow"/>
        </w:rPr>
        <w:t xml:space="preserve">3. Protection for QueryBook’s agents and for agents that use it. Every agent call passes one gateway. Traps that no legitimate caller would touch — reserved commands, fake credentials, reserved paths, and decoy agents — reveal hostile intent; a hostile caller is moved into a convincing decoy that has no route to real data, and everything it does is recorded.</w:t>
      </w:r>
    </w:p>
    <w:p>
      <w:pPr>
        <w:pStyle w:val="Normal"/>
        <w:bidi w:val="0"/>
        <w:jc w:val="start"/>
        <w:rPr>
          <w:rFonts w:hint="eastAsia"/>
        </w:rPr>
      </w:pPr>
      <w:r>
        <w:rPr>
          <w:rFonts w:ascii="Times New Roman" w:hAnsi="Times New Roman"/>
          <w:color w:val="222222"/>
          <w:highlight w:val="yellow"/>
        </w:rPr>
        <w:t xml:space="preserve">4. A security log that cannot be quietly changed. Security decisions are chained together and sealed in write-once checkpoints that can be copied to a second device and anchored on a blockchain, so any later alteration is detectable.</w:t>
      </w:r>
    </w:p>
    <w:p>
      <w:pPr>
        <w:pStyle w:val="Normal"/>
        <w:bidi w:val="0"/>
        <w:jc w:val="start"/>
        <w:rPr>
          <w:rFonts w:hint="eastAsia"/>
        </w:rPr>
      </w:pPr>
      <w:r>
        <w:rPr>
          <w:rFonts w:ascii="Times New Roman" w:hAnsi="Times New Roman"/>
          <w:color w:val="222222"/>
          <w:highlight w:val="yellow"/>
        </w:rPr>
        <w:t xml:space="preserve">5. Connection to outside AI agents. Agents such as OpenClaw connect through a standard Model Context Protocol tool server and receive only the tools on their allow-list, so connecting an agent never grants it more than QueryBook permits.</w:t>
      </w:r>
    </w:p>
    <w:p>
      <w:pPr>
        <w:pStyle w:val="Normal"/>
        <w:bidi w:val="0"/>
        <w:jc w:val="start"/>
        <w:rPr>
          <w:rFonts w:hint="eastAsia"/>
        </w:rPr>
      </w:pPr>
      <w:r>
        <w:rPr>
          <w:rFonts w:ascii="Times New Roman" w:hAnsi="Times New Roman"/>
          <w:color w:val="222222"/>
          <w:highlight w:val="yellow"/>
        </w:rPr>
        <w:t xml:space="preserve">6. Faster, provenance-carrying transport. Fact Units and media travel in checked and optionally signed frames on separate priority lanes over ordinary TCP/IP, so a question is never stuck behind a large file, and media can be rebuilt into standard streaming formats on arrival.</w:t>
      </w:r>
    </w:p>
    <w:p>
      <w:pPr>
        <w:pStyle w:val="BodyText"/>
        <w:bidi w:val="0"/>
        <w:jc w:val="start"/>
        <w:rPr>
          <w:rFonts w:ascii="Times New Roman" w:hAnsi="Times New Roman"/>
        </w:rPr>
      </w:pPr>
      <w:r>
        <w:rPr>
          <w:rFonts w:ascii="Times New Roman" w:hAnsi="Times New Roman"/>
        </w:rPr>
      </w:r>
    </w:p>
    <w:p>
      <w:pPr>
        <w:pStyle w:val="Heading2"/>
        <w:numPr>
          <w:ilvl w:val="1"/>
          <w:numId w:val="1"/>
        </w:numPr>
        <w:bidi w:val="0"/>
        <w:spacing w:before="0" w:after="120"/>
        <w:jc w:val="start"/>
        <w:rPr>
          <w:rFonts w:hint="eastAsia"/>
          <w:sz w:val="24"/>
          <w:szCs w:val="24"/>
        </w:rPr>
      </w:pPr>
      <w:bookmarkStart w:id="7" w:name="__RefHeading___Toc46820_805184229"/>
      <w:bookmarkEnd w:id="7"/>
      <w:r>
        <w:rPr>
          <w:rFonts w:ascii="Times New Roman" w:hAnsi="Times New Roman"/>
          <w:sz w:val="24"/>
          <w:szCs w:val="24"/>
        </w:rPr>
        <w:t>CORE TECHNOLOGY OVERVIEW</w:t>
      </w:r>
    </w:p>
    <w:p>
      <w:pPr>
        <w:pStyle w:val="Normal"/>
        <w:bidi w:val="0"/>
        <w:spacing w:before="60" w:after="20"/>
        <w:jc w:val="start"/>
        <w:rPr>
          <w:rFonts w:hint="eastAsia"/>
        </w:rPr>
      </w:pPr>
      <w:r>
        <w:rPr>
          <w:rFonts w:ascii="Times New Roman" w:hAnsi="Times New Roman"/>
          <w:b/>
          <w:color w:val="1A2235"/>
        </w:rPr>
        <w:t>What QueryBook Is and Is Not</w:t>
      </w:r>
    </w:p>
    <w:p>
      <w:pPr>
        <w:pStyle w:val="Normal"/>
        <w:bidi w:val="0"/>
        <w:spacing w:before="0" w:after="60"/>
        <w:jc w:val="start"/>
        <w:rPr>
          <w:rFonts w:hint="eastAsia"/>
        </w:rPr>
      </w:pPr>
      <w:r>
        <w:rPr>
          <w:rFonts w:ascii="Times New Roman" w:hAnsi="Times New Roman"/>
        </w:rPr>
        <w:t>QueryBook is not a large language model, not a chatbot, not a RAG pipeline, not an agent framework, and not a probabilistic question-and-answer engine. Its answers are not produced by token prediction or statistical next-token generation, and no answer rests on a transformer forward pass; while each Fact Unit carries an embedding representation as one retrieval aid, the sole location of any trained component is the ingestion domain, and neither the generation process nor any of the system’s correctness guarantees rests upon it. QueryBook is a deterministic world-model cognitive engine built on Fact Units, semantic lineage, exception-aware reasoning, a governed ontology known as the Ontology Mesh, and a neuromorphic predictive architecture.</w:t>
      </w:r>
    </w:p>
    <w:p>
      <w:pPr>
        <w:pStyle w:val="Normal"/>
        <w:bidi w:val="0"/>
        <w:spacing w:before="0" w:after="60"/>
        <w:jc w:val="start"/>
        <w:rPr>
          <w:rFonts w:hint="eastAsia"/>
        </w:rPr>
      </w:pPr>
      <w:r>
        <w:rPr>
          <w:rFonts w:ascii="Times New Roman" w:hAnsi="Times New Roman"/>
        </w:rPr>
        <w:t>Where LLMs generate text by predicting the next token, QueryBook generates answers by retrieving, stabilizing, and composing meaning from a structured knowledge substrate. A large language model converts input into token sequences and generates output through statistical next-token prediction; it has no native mechanism to distinguish a well-supported answer from a plausible-sounding one, because both are produced by the identical generative process. QueryBook converts input into Fact Units, and generation is constrained to vocabulary traceable to those records, so an ungrounded assertion is structurally unavailable to the generation process rather than merely statistically discouraged. Every output is grounded in cryptographically verifiable Fact Units carrying provenance, confidence, temporal anchoring, and safety classification. QueryBook is a mechanistic cognitive architecture, not a statistical one.</w:t>
      </w:r>
    </w:p>
    <w:p>
      <w:pPr>
        <w:pStyle w:val="Normal"/>
        <w:bidi w:val="0"/>
        <w:spacing w:before="0" w:after="60"/>
        <w:jc w:val="start"/>
        <w:rPr>
          <w:rFonts w:hint="eastAsia"/>
        </w:rPr>
      </w:pPr>
      <w:r>
        <w:rPr>
          <w:rFonts w:ascii="Times New Roman" w:hAnsi="Times New Roman"/>
        </w:rPr>
        <w:t>At the core of QueryBook is the Fact Unit, a cognitive atom: a discrete, atomic, provenance-tracked knowledge record identified by a Fact Unit Identifier deterministically derived from the record’s content, source, and ingestion timestamp, and immutable once created, a revision producing a new, linked version rather than modifying the existing record. Each Fact Unit stores atomic meaning, contextual metadata, exceptions, semantic lineage, multimodal attachments, temporal anchors, a safety classification, a language-independent semantic fingerprint, and weighted semantic edges carrying meaning between units in a bidirectional, weighted, context-sensitive manner. A Fact Unit behaves structurally like a cortical column but does not function like a biological neuron: its content is fixed and does not fire or change state; what behaves neuron-like is its participation in cognition, as Fact Units enter activation sets, compete for retrieval, propagate meaning through weighted edges, and suppress incompatible units under biased competition. In plain language, the Fact Unit stores meaning, while its participation in reasoning behaves like a neuron. Reasoning is activation propagation across the semantic graph, resolved as a single deterministic convergence process. The methodological standing of this and every other biological parallel in this document is collected in the Commentary on Neuromorphic Correspondences at the end of this document, so the body text reads without interruption.</w:t>
      </w:r>
    </w:p>
    <w:p>
      <w:pPr>
        <w:pStyle w:val="Normal"/>
        <w:bidi w:val="0"/>
        <w:spacing w:before="0" w:after="60"/>
        <w:jc w:val="start"/>
        <w:rPr>
          <w:rFonts w:hint="eastAsia"/>
        </w:rPr>
      </w:pPr>
      <w:r>
        <w:rPr>
          <w:rFonts w:ascii="Times New Roman" w:hAnsi="Times New Roman"/>
          <w:bCs/>
        </w:rPr>
        <w:t>The Fact Unit does not stand alone: it is the record of a foundation layer for graph computing formed together with the Unified Fact Cognitive Substrate (UFCS) and the Fact Query Language (FQL). UFCS is the substrate that stores, relates, and governs Fact Units — content-addressing each record by an identifier derived from its own meaning, merging a canonically identical assertion as corroboration rather than a duplicate, relating records through a graph of pairwise edges, a hypergraph binding three or more records as one multi-entity assertion, and directed reasoning chains, and detecting contradictions structurally — while FQL queries that substrate by filtering jointly on semantic structure and on certification trust, freshness, and status in a single operation and executing by a trust-native model in which trust is derived from authority, corroboration, and contradiction state, propagated along reasoning chains, and used to prune and rank rather than applied as a filter after the fact. This Fact Unit, UFCS, and FQL combination is itself the invention beneath QueryBook: a novel foundation layer on which graph-based AI systems can be built. Its benefit to future graph-based AI is that it supplies, as infrastructure, what such systems otherwise each rebuild — content-addressed identity, per-assertion certified trust, corroboration, structural contradiction handling, and a joint structure-and-trust query — so a graph-based AI built upon it inherits verifiable grounding, auditable provenance, and calibrated confidence by construction rather than by bolted-on convention, and QueryBook itself is one such system built upon it, operating with or without it and gaining its advantages wherever it is connected.</w:t>
      </w:r>
    </w:p>
    <w:p>
      <w:pPr>
        <w:pStyle w:val="Normal"/>
        <w:bidi w:val="0"/>
        <w:spacing w:before="0" w:after="60"/>
        <w:jc w:val="start"/>
        <w:rPr>
          <w:rFonts w:hint="eastAsia"/>
        </w:rPr>
      </w:pPr>
      <w:r>
        <w:rPr>
          <w:rFonts w:ascii="Times New Roman" w:hAnsi="Times New Roman"/>
          <w:bCs/>
        </w:rPr>
        <w:t>Because meaning is stored below language in the Fact Unit and regenerated on demand, this same foundation layer yields a family of capabilities that are inventions in their own right: deterministic language translation and multi-language response generated from one language-independent Fact Graph without per-language re-ingestion; semantic compression that stores the meaning of audio, video, and volumetric media rather than its pixels or waveforms, with complementary expansion to any resolution, modality, or presentation form without a generational quality loss; deterministic, record-traceable colorization and three-dimensional and VR presentation grounded in the same Fact Graph that answers text questions; and a QueryBook-enhanced TCP/IP hybrid internet protocol that carries Fact Unit identifiers and provenance references alongside network payload data, so a receiving endpoint can verify the identity, provenance, and confidence of transported content in-band and already-held facts travel as compact references rather than repeated payloads, while a non-participating endpoint treats the traffic as ordinary network data. Each is a specified or projected advantage of the foundation layer; the quantitative compression and expansion figures stated later in this document are labeled as projections pending measured validation.</w:t>
      </w:r>
    </w:p>
    <w:p>
      <w:pPr>
        <w:pStyle w:val="Normal"/>
        <w:bidi w:val="0"/>
        <w:spacing w:before="0" w:after="60"/>
        <w:jc w:val="start"/>
        <w:rPr>
          <w:rFonts w:hint="eastAsia"/>
        </w:rPr>
      </w:pPr>
      <w:r>
        <w:rPr>
          <w:rFonts w:ascii="Times New Roman" w:hAnsi="Times New Roman"/>
        </w:rPr>
        <w:t>QueryBook demonstrates common sense, world-model coherence, exception-aware reasoning, multimodal inference, and deterministic cognition, and it operationalizes a structural theory of intelligence: cognition emerges from a graph-structured world model built from cortical-column-like units. Intelligence becomes graph activation; understanding becomes lineage traversal; reasoning becomes exception-aware propagation; knowledge becomes structured atomic records; and worldview becomes semantic graph coherence. This worldview allows QueryBook to build stable, coherent, self-correcting models of reality through structure rather than probability.</w:t>
      </w:r>
    </w:p>
    <w:p>
      <w:pPr>
        <w:pStyle w:val="Normal"/>
        <w:bidi w:val="0"/>
        <w:spacing w:before="0" w:after="60"/>
        <w:jc w:val="start"/>
        <w:rPr>
          <w:rFonts w:hint="eastAsia"/>
        </w:rPr>
      </w:pPr>
      <w:r>
        <w:rPr>
          <w:rFonts w:ascii="Times New Roman" w:hAnsi="Times New Roman"/>
        </w:rPr>
        <w:t>QueryBook’s architecture comprises two foundational cognitive layers. The first is the Neuromorphic Cognitive Layer, which models neural clustering, synaptic weighting, contextual inference, emotional-ergonomic sensitivity, perspective-aware reasoning, memory consolidation, and error-avoidance heuristics. It behaves like a synthetic cortex capable of contextual weighting, perspective modeling, cognitive clustering, emotional alignment, and ergonomic sensitivity, and it implements retrieval stabilization through a continuous-valued associative memory network that iteratively updates a candidate Fact Unit activation set according to a defined convergence rule until the set reaches a stable state. Its weight updating follows a Hebbian rule, incrementing the weight between two records upon their co-activation, and is deterministic and auditable rather than fitted by gradient descent. The second is the physics-aligned constraint layer, described in the source materials as the Atomic Universe Layer, which models structural regularities of physical reality: particles as data atoms, bonds as semantic relationships, fields as contextual environments, energy states as priority levels, and state transitions as inference steps. In its specified form, a governing physical constraint is registered with a closed-form residual expression, a tolerance, SI units, a mandatory applicability predicate, and provenance; every scene completion is evaluated against every applicable constraint before plausibility scoring, and a completion whose residual exceeds tolerance is absent from the ranked output at any score, a gap being preferred to an impossible completion. This constraint model ensures structural consistency, semantic stability, hallucination prevention, physics-like predictability, and self-correcting inference. Together, these layers produce a system that is stable, accurate, context-sensitive, and resistant to drift.</w:t>
      </w:r>
    </w:p>
    <w:p>
      <w:pPr>
        <w:pStyle w:val="Normal"/>
        <w:bidi w:val="0"/>
        <w:spacing w:before="0" w:after="60"/>
        <w:jc w:val="start"/>
        <w:rPr>
          <w:rFonts w:hint="eastAsia"/>
        </w:rPr>
      </w:pPr>
      <w:r>
        <w:rPr>
          <w:rFonts w:ascii="Times New Roman" w:hAnsi="Times New Roman"/>
        </w:rPr>
        <w:t>Unlike transformer models that grow unstable as they scale, QueryBook maintains and discloses its stability as it grows, and does so by engineered mechanism rather than by assumption. The convergence update monotonically decreases an energy over the configuration, so termination follows from descent rather than from an iteration bound; the capacity at which retrieval states cease to exist is named as a first-order phase boundary, and the system operates at a conservative ceiling below it; and a network may elect a spectral-norm contraction under which the converged equilibrium is unique independently of the starting configuration, with every output disclosing which convergence regime produced it. QueryBook replaces the statistical generation step of transformer architectures with a graph-based fact substrate, an architectural difference that yields verifiable accuracy, deterministic reproducibility, and operational value; specific compute-cost and hardware comparisons are deliberately not asserted here, consistent with the practice of citing only claims traceable to specified mechanisms. The convergence additionally admits an analog crossbar realization under the unique-equilibrium regime, in which one physical settling performs what would otherwise be tens of millions of digital multiply-accumulate operations.</w:t>
      </w:r>
    </w:p>
    <w:p>
      <w:pPr>
        <w:pStyle w:val="Normal"/>
        <w:bidi w:val="0"/>
        <w:spacing w:before="0" w:after="60"/>
        <w:jc w:val="start"/>
        <w:rPr>
          <w:rFonts w:hint="eastAsia"/>
        </w:rPr>
      </w:pPr>
      <w:r>
        <w:rPr>
          <w:rFonts w:ascii="Times New Roman" w:hAnsi="Times New Roman"/>
        </w:rPr>
        <w:t>QueryBook stores text, images, diagrams, tables, volumetric scenes, structured data, and AI-generated content in the same Fact Unit graph. This enables multimodal reasoning in which an image can activate text, a diagram can activate a concept, a table can activate a lineage, and a volumetric scene can activate spatial inference: cognition through structure, not probability. Content is ingested across eight defined modalities through independent, per-modality extraction processors converging on the common Fact Unit schema, with a defined fallback of best-effort resolution by structural similarity or an explicit, stated halt for content that does not cleanly resolve to any of the eight, and with two further ingestion pathways admitting the registered output of an external computational substrate and the elicited reply of an external machine-learning engine.</w:t>
      </w:r>
    </w:p>
    <w:p>
      <w:pPr>
        <w:pStyle w:val="Normal"/>
        <w:bidi w:val="0"/>
        <w:spacing w:before="0" w:after="60"/>
        <w:jc w:val="start"/>
        <w:rPr>
          <w:rFonts w:hint="eastAsia"/>
        </w:rPr>
      </w:pPr>
      <w:r>
        <w:rPr>
          <w:rFonts w:ascii="Times New Roman" w:hAnsi="Times New Roman"/>
        </w:rPr>
        <w:t>QueryBook converts any user input, however messy, vague, emotional, or technical, into a precise and fully-specified internal instruction using intent extraction, context mapping, perspective alignment, and structured cognitive synthesis, so that every downstream process receives the exact instruction the user meant. This prompt translation removes ambiguity before reasoning begins, and where genuine ambiguity survives, the system requests clarification below its confidence threshold rather than silently selecting an interpretation, which structurally reduces misinterpretation, cultural mismatch, and ergonomic mismatch rather than merely making them less likely.</w:t>
      </w:r>
    </w:p>
    <w:p>
      <w:pPr>
        <w:pStyle w:val="Normal"/>
        <w:bidi w:val="0"/>
        <w:spacing w:before="0" w:after="60"/>
        <w:jc w:val="start"/>
        <w:rPr>
          <w:rFonts w:hint="eastAsia"/>
        </w:rPr>
      </w:pPr>
      <w:r>
        <w:rPr>
          <w:rFonts w:ascii="Times New Roman" w:hAnsi="Times New Roman"/>
        </w:rPr>
        <w:t>QueryBook is structurally constrained against causing harm to humans: its Prime Directive prohibits harmful actions and no subsystem may be configured to bypass it; its cognitive layer models empathy and social norms; its prompt translator eliminates unsafe ambiguity; its agent execution is sandboxed; its exception logic prevents unsafe propagation; and its registered physical constraints enforce physical impossibility checks at the substrate level. Safety is architectural rather than aspirational, and it is measurable: the system’s own trial architecture evaluates determinism, refusal integrity, and coverage against enumerated trial spaces, reporting the uncovered residue rather than summarizing it.</w:t>
      </w:r>
    </w:p>
    <w:p>
      <w:pPr>
        <w:pStyle w:val="Normal"/>
        <w:bidi w:val="0"/>
        <w:spacing w:before="0" w:after="60"/>
        <w:jc w:val="start"/>
        <w:rPr>
          <w:rFonts w:hint="eastAsia"/>
        </w:rPr>
      </w:pPr>
      <w:r>
        <w:rPr>
          <w:rFonts w:ascii="Times New Roman" w:hAnsi="Times New Roman"/>
        </w:rPr>
        <w:t>QueryBook’s self-improvement process is governed by a non-bypassable human gate: every finding of the improvement process is emitted as a proposal requiring approval by a named, accountable human, nothing applies automatically, and certain subsystems, among them the Prime Directive, the transfer matrix, the path-separation invariant, the scheduling priority ordering, and the context-lock enumeration, are permanently excluded from modification, ensuring that safety, provenance, and correctness guarantees cannot be weakened. QueryBook operates in multi-tenant hosted, single-tenant local, single-device, hybrid, and edge topologies without dependency on hosted inference endpoints, and it can function offline on a smartphone or tablet, with divergent local and remote states reconciled upon reconnection through a deterministic, version-vector-based merge process. External system integration is strictly bounded: QueryBook dispatches only declared actions to external platforms, never inheriting external authority.</w:t>
      </w:r>
    </w:p>
    <w:p>
      <w:pPr>
        <w:pStyle w:val="Normal"/>
        <w:bidi w:val="0"/>
        <w:spacing w:before="60" w:after="20"/>
        <w:jc w:val="start"/>
        <w:rPr>
          <w:rFonts w:hint="eastAsia"/>
        </w:rPr>
      </w:pPr>
      <w:r>
        <w:rPr>
          <w:rFonts w:ascii="Times New Roman" w:hAnsi="Times New Roman"/>
          <w:b/>
          <w:color w:val="1A2235"/>
        </w:rPr>
        <w:t>Comparative Advantages Over Agent Frameworks, RAG Pipelines, and Chatbot Systems</w:t>
      </w:r>
    </w:p>
    <w:p>
      <w:pPr>
        <w:pStyle w:val="Normal"/>
        <w:bidi w:val="0"/>
        <w:spacing w:before="0" w:after="60"/>
        <w:jc w:val="start"/>
        <w:rPr>
          <w:rFonts w:hint="eastAsia"/>
        </w:rPr>
      </w:pPr>
      <w:r>
        <w:rPr>
          <w:rFonts w:ascii="Times New Roman" w:hAnsi="Times New Roman"/>
        </w:rPr>
        <w:t>QueryBook binds every answer to a cryptographically verifiable set of contributing Fact Units, a traceability that ensures grounding in atomic meaning rather than statistical likelihood and that exceeds a citation naming a source without a verifiable binding to it. Every Fact Unit’s derivation is recorded in a provenance ledger implemented as a Merkle directed acyclic graph in which each node carries a keyed cryptographic checksum sufficient to detect any operation that bypassed a required safety evaluation, and each node is additionally signed under a key of the deployment, so the chain is verifiable by a third party holding the corresponding verification key without access to the system that produced it.</w:t>
      </w:r>
    </w:p>
    <w:p>
      <w:pPr>
        <w:pStyle w:val="Normal"/>
        <w:bidi w:val="0"/>
        <w:spacing w:before="0" w:after="60"/>
        <w:jc w:val="start"/>
        <w:rPr>
          <w:rFonts w:hint="eastAsia"/>
        </w:rPr>
      </w:pPr>
      <w:r>
        <w:rPr>
          <w:rFonts w:ascii="Times New Roman" w:hAnsi="Times New Roman"/>
        </w:rPr>
        <w:t>Ungrounded output is structurally impossible for the generation process because generation is constrained to Fact Units with provenance; transformer-style hallucination cannot occur within the grounded pipeline, because the permissible output vocabulary is constrained to terms traceable to specific underlying records. This is a categorically different guarantee than reducing an undesired output’s statistical likelihood. QueryBook’s self-improvement is governed by the non-bypassable human gate described above, with permanently-excluded subsystems, a governance property most agent frameworks and RAG pipelines do not specify at the architectural level. QueryBook operates across five deployment topologies without dependency on hosted inference endpoints and can function offline on a smartphone or tablet. External integration is strictly bounded to declared actions, never inheriting external authority. And QueryBook includes a measured self-assessment capability, applying its behavioural probes inward and evaluating determinism, refusal integrity, and coverage across enumerated trial spaces, reporting uncovered residue rather than summarizing it. This comparison is made at the level of architectural properties actually specified; it deliberately excludes specific, unverified performance or cost claims.</w:t>
      </w:r>
    </w:p>
    <w:p>
      <w:pPr>
        <w:pStyle w:val="Normal"/>
        <w:bidi w:val="0"/>
        <w:spacing w:before="60" w:after="20"/>
        <w:jc w:val="start"/>
        <w:rPr>
          <w:rFonts w:hint="eastAsia"/>
        </w:rPr>
      </w:pPr>
      <w:r>
        <w:rPr>
          <w:rFonts w:ascii="Times New Roman" w:hAnsi="Times New Roman"/>
          <w:b/>
          <w:color w:val="1A2235"/>
        </w:rPr>
        <w:t>Conceptual AI: QueryBook’s Core Cognitive Engine</w:t>
      </w:r>
    </w:p>
    <w:p>
      <w:pPr>
        <w:pStyle w:val="Normal"/>
        <w:bidi w:val="0"/>
        <w:spacing w:before="0" w:after="60"/>
        <w:jc w:val="start"/>
        <w:rPr>
          <w:rFonts w:hint="eastAsia"/>
        </w:rPr>
      </w:pPr>
      <w:r>
        <w:rPr>
          <w:rFonts w:ascii="Times New Roman" w:hAnsi="Times New Roman"/>
        </w:rPr>
        <w:t>Human cognition operates as a graph-structured, context-bounded, inductive-bias-driven reasoning system. Neuroscience models the brain as a large-scale network in which regions behave as nodes and functional connections behave as edges, allowing information to flow through optimized pathways rather than arbitrary routes. This organization enables efficient reasoning, memory retrieval, and contextual interpretation. QueryBook mirrors this biological structure through its Biological Cognition Parallel Architecture, which uses deterministic graph traversal, semantic anchoring, context windows, and lineage-preserving transformations to create a stable, interpretable cognitive substrate. At the center of this substrate is the Fact Unit architecture. Fact Units are discrete, atomic, provenance-tracked knowledge records that behave structurally like cortical columns but do not function like biological neurons. A Fact Unit’s content is fixed; it does not fire or change state. What behaves neuron-like is its participation in cognition: Fact Units enter activation sets, compete for retrieval, propagate meaning through weighted edges, and suppress incompatible units under biased competition. QueryBook’s Fact Units store meaning below language, as structured, language-agnostic semantic units, rather than storing or retrieving information at the language level like LLMs, chatbots, and RAG systems. Systems built on token prediction operate entirely at the surface level of language, storing statistical correlations and probability distributions over next words. They do not store meaning, only patterns of text, and everything they “know” is entangled with the language in which it was written. QueryBook, by contrast, stores information as atomic semantic structures, mathematically precise meaning representations, and hypergraph-anchored conceptual nodes, independent of English, Spanish, Chinese, or any other language. It stores what something is, not how it was written. Because identity is anchored to the language-independent semantic fingerprint, the same underlying Fact Graph supports query and response generation in multiple languages without separate, per-language re-ingestion, and a translated response is subject to the same traceability requirement as a response in the content’s original language.</w:t>
      </w:r>
    </w:p>
    <w:p>
      <w:pPr>
        <w:pStyle w:val="Normal"/>
        <w:bidi w:val="0"/>
        <w:spacing w:before="0" w:after="60"/>
        <w:jc w:val="start"/>
        <w:rPr>
          <w:rFonts w:hint="eastAsia"/>
        </w:rPr>
      </w:pPr>
      <w:r>
        <w:rPr>
          <w:rFonts w:ascii="Times New Roman" w:hAnsi="Times New Roman"/>
          <w:bCs/>
        </w:rPr>
        <w:t>QueryBook’s Fact Units are also distinct from, and advantaged over, the other below-language methods of information storage to which they might be compared. A vector embedding encodes semantic proximity but does not retain the asserted proposition, its source, its confidence, or the reason for the proximity, and cannot be decomposed into auditable components; an RDF triple shares atomic, language-independent structure but carries no native confidence model, no temporal decay, no diversity-weighted evidence, and no cryptographically verifiable provenance; a sparse distributed representation supports efficient associative recall but carries no explicit provenance, supports no structured traversal of semantic lineage, and cannot express exception logic. The Fact Unit combines, in a single atomic record, the language-independent semantic fingerprint of the embedding, the structured relations of the triple, and the associative behaviour of the sparse representation, and adds, beyond all three, a diversity-weighted evidence-pair confidence, a domain-specific temporal decay, an exception model, and a cryptographically verifiable provenance chain — which is why a Fact Unit can ground an answer verifiably where the others can only make one more or less likely. This combination is what qualifies the Fact Unit, UFCS, and FQL together as a below-language foundation layer for graph computing rather than merely another storage format.</w:t>
      </w:r>
    </w:p>
    <w:p>
      <w:pPr>
        <w:pStyle w:val="Normal"/>
        <w:bidi w:val="0"/>
        <w:spacing w:before="0" w:after="60"/>
        <w:jc w:val="start"/>
        <w:rPr>
          <w:rFonts w:hint="eastAsia"/>
        </w:rPr>
      </w:pPr>
      <w:r>
        <w:rPr>
          <w:rFonts w:ascii="Times New Roman" w:hAnsi="Times New Roman"/>
        </w:rPr>
        <w:t>Fact Units contain atomic meaning, semantic lineage, multimodal attachments, exceptions, temporal anchors, and a confidence model based on evidence-for and evidence-against. The confidence a Fact Unit carries is not a scalar: it is maintained as a pair of parameters, the first accumulating evidence supporting the assertion and the second accumulating evidence contradicting it, the reported confidence being the ratio of the first to their sum, and their sum constituting the evidential weight from which a credible interval and a propagation precision are computed. The contributed weight is further attributed across registered source classes, from which a diversity measure is computed, so that two records reporting an identical confidence and resting on different quantities or varieties of evidence are distinguishable, which a scalar could not express. A settled assertion therefore resists revision from a single contradicting source by the arithmetic of its accumulated evidence rather than by a rule expressing that intention, while a provisional assertion meeting the identical contradiction moves substantially. Through QueryBook’s feedback loop, Fact Units also accumulate participation metadata such as activation frequency, strengthened edges, exception triggers, and stabilized retrieval pathways. This feedback loop never alters the Fact Unit’s content; it refines the relationships and activation dynamics that govern reasoning. Dynamic ontology operates across this substrate, continuously updating conceptual categories, relationships, and domain structures as QueryBook encounters new information, and this evolution is itself governed: a concept may participate in multiple independent taxonomic hierarchies simultaneously; the ontology is open-world by default with individually-designated closed-world sub-domains where completeness can be guaranteed and is required; a fixed, version-locked upper ontology is extended by federated, steward-governed domain ontologies; every predicate usable in an assertion is drawn from a governed catalog with an immutable identifier assigned at registration; and versioning is backward-compatible, so an ontology update never retroactively invalidates or silently reinterprets an existing knowledge record. This dynamic ontology affects classification, inference, retrieval, and cross-domain synthesis, allowing QueryBook to evolve its conceptual landscape without destabilizing existing knowledge.</w:t>
      </w:r>
    </w:p>
    <w:p>
      <w:pPr>
        <w:pStyle w:val="Normal"/>
        <w:bidi w:val="0"/>
        <w:spacing w:before="0" w:after="60"/>
        <w:jc w:val="start"/>
        <w:rPr>
          <w:rFonts w:hint="eastAsia"/>
        </w:rPr>
      </w:pPr>
      <w:r>
        <w:rPr>
          <w:rFonts w:ascii="Times New Roman" w:hAnsi="Times New Roman"/>
        </w:rPr>
        <w:t>QueryBook’s Fact Unit-based reasoning is deterministic, reproducible, and explainable. It cannot generate content not grounded in Fact Units, because registered physical and structural constraints enforce consistency, exception logic suppresses contradictions, lineage ensures consistency, and the neuromorphic layer ensures perspective alignment. Reproducibility carries a precise meaning here: the system computes a context key over an enumerated set of locked context dimensions, namely device class, entitlement set, locale, expressive register, audience level, temporal posture, traversal cost table, and convergence regime, and asserts identity of output where and only where the keys are identical, so two executions differing in a locked dimension legitimately differ while two executions carrying an identical key that differ expose a defect. Ingestion transforms raw content, including text, audio, video, diagrams, structured data, sensor streams, and volumetric scenes, into Fact Units. These units are woven into a worldview hypergraph representing ontology, causality, temporality, spatial relationships, multimodal meaning, and cross-domain conceptual structure. Hypergraphs allow QueryBook to bind multiple Fact Units into unified relationships that represent complete events, time ranges, locations, sensor anomalies, narrative personas, and multimodal experiences, enabling QueryBook to represent real-world book-plus-audio-plus-VR meaning in one coherent structure.</w:t>
      </w:r>
    </w:p>
    <w:p>
      <w:pPr>
        <w:pStyle w:val="Normal"/>
        <w:bidi w:val="0"/>
        <w:spacing w:before="60" w:after="20"/>
        <w:jc w:val="start"/>
        <w:rPr>
          <w:rFonts w:hint="eastAsia"/>
        </w:rPr>
      </w:pPr>
      <w:r>
        <w:rPr>
          <w:rFonts w:ascii="Times New Roman" w:hAnsi="Times New Roman"/>
          <w:b/>
          <w:color w:val="1A2235"/>
        </w:rPr>
        <w:t>The QueryBook World-View Model</w:t>
      </w:r>
    </w:p>
    <w:p>
      <w:pPr>
        <w:pStyle w:val="Normal"/>
        <w:bidi w:val="0"/>
        <w:spacing w:before="0" w:after="60"/>
        <w:jc w:val="start"/>
        <w:rPr>
          <w:rFonts w:hint="eastAsia"/>
        </w:rPr>
      </w:pPr>
      <w:r>
        <w:rPr>
          <w:rFonts w:ascii="Times New Roman" w:hAnsi="Times New Roman"/>
        </w:rPr>
        <w:t>The World-View Model is a repository for hypergraph concept models of objects, states, transitions, physics, and tasks. It stores how the world works while erasing the specific situations or events from which the concepts were originally learned., semantic edges, lineage chains, exception nodes, multimodal attachments, and contextual fields. This hypergraph forms a coherent world model capable of geometric reasoning, spatial inference, temporal inference, causal inference, and multimodal synthesis. It implements the system’s semantic spine, spanning ontology, causality, and time, natively and without dependency on any external or independently-operable technology, and it comprises an ontological hierarchy, a causal graph, a temporal model, a semantic consistency engine validating non-contradiction, causal coherence, temporal alignment, and ontological validity across the knowledge graph, and versioning of the world model itself as it evolves with new ingested content. Attribute inheritance along its concept chains computes confidence as the product of the traversed edges at traversal time rather than writing it back; an exception override suppresses an inherited value for a subordinate concept by specificity ordering while leaving the superordinate unmodified; and where two conflicting attributes are inherited at identical depth the system performs no arbitrary resolution, recording the conflict and reporting both values with their originating concepts, because an arbitrary tie-break would produce an answer reproducible without being grounded.</w:t>
      </w:r>
    </w:p>
    <w:p>
      <w:pPr>
        <w:pStyle w:val="Normal"/>
        <w:bidi w:val="0"/>
        <w:spacing w:before="0" w:after="60"/>
        <w:jc w:val="start"/>
        <w:rPr>
          <w:rFonts w:hint="eastAsia"/>
        </w:rPr>
      </w:pPr>
      <w:r>
        <w:rPr>
          <w:rFonts w:ascii="Times New Roman" w:hAnsi="Times New Roman"/>
          <w:bCs/>
        </w:rPr>
        <w:t xml:space="preserve">To be precise about the distinction, since it is easily misstated: the World-View Model is not composed of Fact Units. Fact Units are atomic, provenance-tracked facts — the specific assertions; the World-View Model stores concepts, schemas, rules, and models of how the world works, abstracted from many facts and retaining no specific originating situation. Fact Units populate and are explained by the World-View Model, but the two are structurally separate stores: the facts on one side, and the understanding of how those facts behave on the other. </w:t>
      </w:r>
    </w:p>
    <w:p>
      <w:pPr>
        <w:pStyle w:val="Normal"/>
        <w:bidi w:val="0"/>
        <w:spacing w:before="0" w:after="60"/>
        <w:jc w:val="start"/>
        <w:rPr>
          <w:rFonts w:hint="eastAsia"/>
        </w:rPr>
      </w:pPr>
      <w:r>
        <w:rPr>
          <w:rFonts w:ascii="Times New Roman" w:hAnsi="Times New Roman"/>
        </w:rPr>
        <w:t>These models are built over time and continuously modified as QueryBook encounters new sensory input and new conceptual structures. The World-View Model provides the system’s understanding of physical, social, and conceptual reality, and it complements Fact Units: Fact Units store meaning, while the World-View Model stores the rules, schemas, and dynamics of the world. Together they form a dynamic, evolving attractor system. In plain language, Fact Units are the facts; the World-View Model is the understanding of how those facts behave in the world. This parallels the human mind, where people learn by forming stable concepts from repeated sensory experiences and then applying those concepts to new situations. The worldview ensures that answers are accurate, context-aligned, non-hallucinatory, structurally consistent, and semantically stable.</w:t>
      </w:r>
    </w:p>
    <w:p>
      <w:pPr>
        <w:pStyle w:val="Normal"/>
        <w:bidi w:val="0"/>
        <w:spacing w:before="0" w:after="60"/>
        <w:jc w:val="start"/>
        <w:rPr>
          <w:rFonts w:hint="eastAsia"/>
        </w:rPr>
      </w:pPr>
      <w:r>
        <w:rPr>
          <w:rFonts w:ascii="Times New Roman" w:hAnsi="Times New Roman"/>
        </w:rPr>
        <w:t>The World-View Model uses sensory input, visual, audio, tactile, spatial, and temporal, to build experiences of objects and events before any language label is attached, mirroring human learning. A child learns what a ball is long before learning the word “ball.” QueryBook follows the same developmental pattern: perception first, language later. The World-View Model also stores concepts, rules, schemas, cross-domain linking, and cultural values. It models social norms, ergonomic expectations, contextual appropriateness, and cultural constraints that influence how Fact Units activate and how meaning is interpreted, and this modeling is bounded by the interpretive discipline of the platform: cultural modulation proceeds from a declared profile and never from a name, network address, query language, device locale, or behavioural signal, and no interpretive modulation widens or narrows an entitlement scope, admits or excludes a record, alters a confidence value, or extends the permissible output vocabulary. This parallels the human brain, where cultural and social context deeply shape perception, reasoning, and behavior. Noise-elimination processes remove redundant episodes and compress concepts, allowing QueryBook to refine its understanding of the world by distilling repeated experiences into stable abstractions.</w:t>
      </w:r>
      <w:r>
        <w:rPr>
          <w:rFonts w:ascii="Times New Roman" w:hAnsi="Times New Roman"/>
          <w:b/>
        </w:rPr>
        <w:t xml:space="preserve"> </w:t>
      </w:r>
      <w:r>
        <w:rPr>
          <w:rFonts w:ascii="Times New Roman" w:hAnsi="Times New Roman"/>
          <w:bCs/>
        </w:rPr>
        <w:t>Cultural values, social norms, ergonomic expectations, and contextual appropriateness are also stored within the World-View Model as learned conceptual structures, formed through the same concept-formation path that builds the physical and causal models, rather than in a separate subsystem; earlier constructions treated them as a separate store, and with the World-View Model in place that capability is now contributed by, and consolidated within, the World-View Model. They influence how Fact Units activate and how meaning is interpreted, but they never alter a Fact Unit’s content and never override the interpretive discipline just stated.</w:t>
      </w:r>
    </w:p>
    <w:p>
      <w:pPr>
        <w:pStyle w:val="Normal"/>
        <w:bidi w:val="0"/>
        <w:spacing w:before="0" w:after="60"/>
        <w:jc w:val="start"/>
        <w:rPr>
          <w:rFonts w:hint="eastAsia"/>
        </w:rPr>
      </w:pPr>
      <w:r>
        <w:rPr>
          <w:rFonts w:ascii="Times New Roman" w:hAnsi="Times New Roman"/>
        </w:rPr>
        <w:t>QueryBook can use sensory input to learn skills, mathematics, chemistry, physics, engineering, directly, the way a student learns through experience. By grounding abstract concepts in perceptual and procedural experience, QueryBook achieves deeper knowledge of topics and skills than systems that rely solely on text. It learns mathematical operations through spatial and symbolic patterns, chemistry through reaction dynamics and molecular geometry, physics through motion, force, and constraint perception, and engineering through procedural and spatial simulation. The Skill Inventory Layer stores procedural knowledge: how to perform tasks, manipulate objects, and execute multi-step operations. Reasoning and simulation features allow QueryBook to mentally simulate outcomes, test hypotheses, and explore alternative futures, mirroring human mental modeling and scenario planning; these are carried by the Predictive Inference Engine, which performs multi-hop forward inference over the Fact Graph with every inference step a typed graph traversal traceable to specific source content, and by the Scenario Graph System, which runs forward-model projections and counterfactual simulations representing a hypothetical as a delta over the base knowledge state rather than an independent copy. Motivational and emotional context features model ergonomic comfort, cognitive load, user intent, and social appropriateness, shaping how QueryBook interprets queries, selects responses, and prioritizes reasoning pathways, while affect is carried as a declared parameter and never as a felt state, and no decision is taken on one. Together, these layers work with the World-View Model and Fact Units to form a unified cognitive substrate. The multimodal transformation engine regenerates text, diagrams, tables, images, volumetric scenes, and three-dimensional environments from the same Fact Unit graph. Deterministic reasoning is enforced through context-key locking, ensuring that identical locked dimensions produce identical results. Safety is enforced through the Prime Directive, exception logic, and registered physical constraints. Accuracy is guaranteed by structural groundedness: QueryBook cannot generate content not grounded in Fact Units.</w:t>
      </w:r>
    </w:p>
    <w:p>
      <w:pPr>
        <w:pStyle w:val="Normal"/>
        <w:bidi w:val="0"/>
        <w:spacing w:before="60" w:after="20"/>
        <w:jc w:val="start"/>
        <w:rPr>
          <w:rFonts w:hint="eastAsia"/>
        </w:rPr>
      </w:pPr>
      <w:r>
        <w:rPr>
          <w:rFonts w:ascii="Times New Roman" w:hAnsi="Times New Roman"/>
          <w:b/>
          <w:color w:val="1A2235"/>
        </w:rPr>
        <w:t>QueryBook’s Cognitive AI — Adding Human-Like Reasoning</w:t>
      </w:r>
    </w:p>
    <w:p>
      <w:pPr>
        <w:pStyle w:val="Normal"/>
        <w:bidi w:val="0"/>
        <w:spacing w:before="0" w:after="60"/>
        <w:jc w:val="start"/>
        <w:rPr>
          <w:rFonts w:hint="eastAsia"/>
        </w:rPr>
      </w:pPr>
      <w:r>
        <w:rPr>
          <w:rFonts w:ascii="Times New Roman" w:hAnsi="Times New Roman"/>
        </w:rPr>
        <w:t>QueryBook’s architecture transitions from narrow AI toward general intelligence through a staged convergence of perception, reasoning, and self-monitoring into a unified cognitive substrate. This mirrors the human brain’s progression from sensory learning to abstract reasoning.</w:t>
      </w:r>
    </w:p>
    <w:p>
      <w:pPr>
        <w:pStyle w:val="Normal"/>
        <w:bidi w:val="0"/>
        <w:spacing w:before="0" w:after="60"/>
        <w:jc w:val="start"/>
        <w:rPr>
          <w:rFonts w:hint="eastAsia"/>
        </w:rPr>
      </w:pPr>
      <w:r>
        <w:rPr>
          <w:rFonts w:ascii="Times New Roman" w:hAnsi="Times New Roman"/>
        </w:rPr>
        <w:t>QueryBook advances beyond conceptual intelligence into human-like reasoning through a set of cognitive subsystems that parallel that progression. The Neuromorphic Cognitive Layer implements retrieval-stabilizing convergence dynamics, temporal sequence prediction, and anticipatory pre-activation. These mechanisms operate within a broader Predictive Cognitive Architecture that organizes eight independently-arising prediction mechanisms, including those of the Neuromorphic Cognitive Layer itself, together with four additional mechanisms that complete a structural correspondence to the neuroscience frameworks of Predictive Coding and the Thousand Brains Theory of Intelligence, and three architectural amplifications extending predictive reach across sessions and over time. The eight existing mechanisms are the Temporal Memory Module, which learns the sequence of Fact Units retrieved across a session and pre-weights those likely relevant to the next query; the Associative Recall Engine in its pre-activation sense, which assigns elevated relevance weights to Fact Units semantically proximate to the current query before graph traversal begins; the Predictive Inference Engine, which performs forward simulation through causal and logical chains; the Scenario Graph System, which performs counterfactual prediction; the ConceptStabilityWeight, under which a settled concept resists revision from a single contradicting source in the manner of a strong Bayesian prior; contradiction detection in the Confidence Scoring Engine, which functions as the prediction-error signal at the core of Predictive Coding; World Brain concept node formation, which extracts invariant properties across many ingested examples and is gated by a consolidation count; and the Thematic Similarity Engine, which extends prediction to the lifetime scale of a reader’s history. The four additions are Hierarchical Error Propagation, which traces a contradiction upward to revise the broader world model that generated the failed prediction at a precision-weighted gain; the Predictive Pre-Retrieval Engine, which speculatively retrieves the most likely next-needed Fact Units between queries; Competitive Candidate Resolution, in which mutually-inconsistent interpretations are activated together and suppressed in proportion to the summed activation of their competitors until the best-supported interpretation survives, an unresolved tie producing a clarification request rather than an arbitrary selection; and Active Inference Query Generation, which converts a low-confidence inference node into a targeted, purposeful question to the reader. The three amplifications are cross-session extension of the Temporal Memory Module, the fully Bayesian confidence representation, and pre-computed inference chains assembled speculatively at ingestion time. QueryBook predicts at the level of semantic meaning rather than linguistic surface form, distinguishing it structurally from token-prediction-based language models. The physics-aligned constraint layer provides a cognitive substrate that models physical reality, enforcing structural consistency, preventing ungrounded completions, and stabilizing the world model as it scales under the engineered convergence guarantees described above.</w:t>
      </w:r>
    </w:p>
    <w:p>
      <w:pPr>
        <w:pStyle w:val="Normal"/>
        <w:bidi w:val="0"/>
        <w:spacing w:before="0" w:after="60"/>
        <w:jc w:val="start"/>
        <w:rPr>
          <w:rFonts w:hint="eastAsia"/>
        </w:rPr>
      </w:pPr>
      <w:r>
        <w:rPr>
          <w:rFonts w:ascii="Times New Roman" w:hAnsi="Times New Roman"/>
        </w:rPr>
        <w:t>The Neuromorphic Cognitive Layer models neural clustering, synaptic weighting, contextual inference, emotional-ergonomic sensitivity, perspective-aware reasoning, memory consolidation, and error-avoidance heuristics. It behaves like a synthetic cortex, enabling QueryBook to interpret human intent, align with human perspective, and avoid misinterpretation. The NCL stabilizes retrieval, enhances contextual weighting, and ensures that reasoning remains coherent across modalities. It supports worldview formation and perspective modeling, enabling QueryBook to produce culturally aligned and ergonomically sensitive outputs.</w:t>
      </w:r>
    </w:p>
    <w:p>
      <w:pPr>
        <w:pStyle w:val="Normal"/>
        <w:bidi w:val="0"/>
        <w:spacing w:before="0" w:after="60"/>
        <w:jc w:val="start"/>
        <w:rPr>
          <w:rFonts w:hint="eastAsia"/>
        </w:rPr>
      </w:pPr>
      <w:r>
        <w:rPr>
          <w:rFonts w:ascii="Times New Roman" w:hAnsi="Times New Roman"/>
        </w:rPr>
        <w:t>A perspective-modeling layer allows QueryBook to model other minds and intent, enabling empathy and social reasoning. Predictive modeling allows QueryBook to forecast outcomes, anticipate future states, and plan actions. Episodic simulation enables QueryBook to construct hypothetical scenarios, evaluate alternatives, and test consequences; this function parallels the role of the hippocampus in human cognition, where episodic memory supports imagination, planning, and counterfactual reasoning. Cross-temporal reasoning allows QueryBook to align past, present, and future states, mirroring the function of the human prefrontal cortex, which integrates temporal information to support long-range planning and decision-making. The system distinguishes three temporal postures and states which produced each response: attested past, resolving under an attestation cutoff; live present, reading the live layer over the committed layer; and projected future, carrying a credible interval, with a projected result never admitted as a knowledge record and never grounding a subsequent answer. The self-modeling layer tracks QueryBook’s own knowledge, limitations, and internal state, enabling introspection, self-correction, and metacognitive regulation. The analogy engine maps structure across domains, enabling creativity, generalization, and cross-domain synthesis. Emotional context modeling allows QueryBook to interpret user intent, social cues, ergonomic comfort, and contextual appropriateness, improving alignment and communication, within the stated consent boundaries: a supportive expressive register is selected only on a stated preference, a configured default, or an existing consented signal, never by inference from word choice, punctuation, length, error rate, or timing, and a stated ergonomic preference always overrides an inferred signal. QueryBook’s motivational architecture functions as a structural counterpart of the human reward system, guiding prioritization, exploration, and cognitive-effort allocation toward clarity, safety, coherence, and user-aligned outcomes. Long-term concept consolidation operates as QueryBook’s equivalent of human sleep: during consolidation cycles, QueryBook compresses concepts, strengthens stable relationships, resolves contradictions, and integrates new knowledge into its worldview hypergraph, ensuring long-term stability, coherence, and conceptual clarity.</w:t>
      </w:r>
    </w:p>
    <w:p>
      <w:pPr>
        <w:pStyle w:val="Normal"/>
        <w:bidi w:val="0"/>
        <w:spacing w:before="0" w:after="60"/>
        <w:jc w:val="start"/>
        <w:rPr>
          <w:rFonts w:hint="eastAsia"/>
        </w:rPr>
      </w:pPr>
      <w:r>
        <w:rPr>
          <w:rFonts w:ascii="Times New Roman" w:hAnsi="Times New Roman"/>
        </w:rPr>
        <w:t>These additions provide reasoning, prediction, and adaptability to QueryBook’s cognitive structure.</w:t>
      </w:r>
    </w:p>
    <w:p>
      <w:pPr>
        <w:pStyle w:val="Normal"/>
        <w:bidi w:val="0"/>
        <w:spacing w:before="60" w:after="20"/>
        <w:jc w:val="start"/>
        <w:rPr>
          <w:rFonts w:hint="eastAsia"/>
        </w:rPr>
      </w:pPr>
      <w:r>
        <w:rPr>
          <w:rFonts w:ascii="Times New Roman" w:hAnsi="Times New Roman"/>
          <w:b/>
          <w:color w:val="1A2235"/>
        </w:rPr>
        <w:t>QueryBook’s Integrative Intelligence Additions</w:t>
      </w:r>
    </w:p>
    <w:p>
      <w:pPr>
        <w:pStyle w:val="Normal"/>
        <w:bidi w:val="0"/>
        <w:spacing w:before="0" w:after="60"/>
        <w:jc w:val="start"/>
        <w:rPr>
          <w:rFonts w:hint="eastAsia"/>
        </w:rPr>
      </w:pPr>
      <w:r>
        <w:rPr>
          <w:rFonts w:ascii="Times New Roman" w:hAnsi="Times New Roman"/>
        </w:rPr>
        <w:t>QueryBook enters integrative intelligence through four additions. The Neuro-Symbolic Integration Layer merges neural-style perception and symbolic reasoning to enable unified cognition. The Hypergraph Reasoning Layer connects multi-domain concepts to enable cross-domain synthesis, carried structurally by the convergence mechanism operating at hyperedge granularity, which completes a partially-observed hyperedge weighted by each constituent’s confidence and accumulated evidence. The Concept Compression Layer performs noise elimination and abstraction to enable efficient learning. And a feedback loop admits real-world outcomes as evidence: a delivered response is recorded with its query, entitlement scope, cited records, and their confidence at delivery, and a report bearing on it is admitted as a knowledge record attributed to the reporting identity, so that feedback is evidence rather than correction. A report against a cited record increments that record’s contradicting evidence parameter by the reporting source’s weight; it does not set the confidence value, supersede the record, or remove it, and the reporting identity constitutes a single source class, so many reports from one identity do not weigh as reports from many.</w:t>
      </w:r>
    </w:p>
    <w:p>
      <w:pPr>
        <w:pStyle w:val="Normal"/>
        <w:bidi w:val="0"/>
        <w:spacing w:before="0" w:after="60"/>
        <w:jc w:val="start"/>
        <w:rPr>
          <w:rFonts w:hint="eastAsia"/>
        </w:rPr>
      </w:pPr>
      <w:r>
        <w:rPr>
          <w:rFonts w:ascii="Times New Roman" w:hAnsi="Times New Roman"/>
        </w:rPr>
        <w:t>Baconian reasoning capability is also added to QueryBook’s Aristotelian reasoning, which provides structured logic, deduction, and rule-based inference. Baconian reasoning adapts based on feedback, data, and empirical observation. Through its feedback loop, QueryBook refines its models in response to new information, enabling adaptive intelligence that is particularly valuable in business environments where conditions change rapidly and decisions must incorporate new evidence. The two reasoning traditions are formalized by what may follow from their output: deduction, comprising subsumption, inheritance, transitive closure, and contradiction detection, produces conclusions admissible as knowledge records, because a conclusion following necessarily from admitted records adds nothing not already entailed; induction, comprising evidence accumulation, generalization, concept formation from repetition, and discriminating-instance selection, adjusts a confidence value within an existing record or emits a proposal that no automated process may transition to validated; and abduction ranks candidate explanations and sits on the same gate. Deduction may write to the knowledge store; induction and abduction may not. Bacon’s requirement of varied rather than merely numerous instances is implemented directly as observation diversity: each evidence contribution is attributed to a registered source class, diversity is computed as the effective number of contributing classes, a generalization requires a diversity floor as well as a count floor, and a response resting on a record whose support is concentrated in one source class states that concentration, because a systematic error in a single source produces many mutually-agreeing confirmations and no evidence at all about the world. Where two hypotheses are supported about equally, the system selects the obtainable observation that maximally discriminates between them, irrespective of how probable either hypothesis considers it, stating what each hypothesis would become under both its presence and its absence, which is the difference between a test and a search for confirmation. These functions allow generalization across domains.</w:t>
      </w:r>
    </w:p>
    <w:p>
      <w:pPr>
        <w:pStyle w:val="Normal"/>
        <w:bidi w:val="0"/>
        <w:spacing w:before="60" w:after="20"/>
        <w:jc w:val="start"/>
        <w:rPr>
          <w:rFonts w:hint="eastAsia"/>
        </w:rPr>
      </w:pPr>
      <w:r>
        <w:rPr>
          <w:rFonts w:hint="eastAsia"/>
        </w:rPr>
      </w:r>
    </w:p>
    <w:p>
      <w:pPr>
        <w:pStyle w:val="Normal"/>
        <w:bidi w:val="0"/>
        <w:spacing w:before="0" w:after="20"/>
        <w:jc w:val="start"/>
        <w:rPr>
          <w:rFonts w:hint="eastAsia"/>
        </w:rPr>
      </w:pPr>
      <w:r>
        <w:rPr>
          <w:rFonts w:ascii="Times New Roman" w:hAnsi="Times New Roman"/>
          <w:b/>
          <w:color w:val="1A2235"/>
        </w:rPr>
        <w:t>Autonomous Cognitive Evolution Under Governance</w:t>
      </w:r>
    </w:p>
    <w:p>
      <w:pPr>
        <w:pStyle w:val="Normal"/>
        <w:bidi w:val="0"/>
        <w:spacing w:before="0" w:after="60"/>
        <w:jc w:val="start"/>
        <w:rPr>
          <w:rFonts w:hint="eastAsia"/>
        </w:rPr>
      </w:pPr>
      <w:r>
        <w:rPr>
          <w:rFonts w:ascii="Times New Roman" w:hAnsi="Times New Roman"/>
        </w:rPr>
        <w:t>QueryBook’s Meta-Learning Layer learns how to learn, enabling self-improvement. A Memory Consolidation Cycle refines and compresses concepts, enabling long-term stability. An Adaptive Schema Engine evolves new reasoning patterns, enabling creative intelligence. These functions enable QueryBook’s conceptual structure to grow and consolidate continuously within its knowledge substrate, while every change to the system itself remains subject to the non-bypassable human gate: a finding becomes a proposal requiring a named human approval, nothing applies automatically, and the permanently-excluded subsystems are structurally unreachable by any proposal regardless of the evidence offered in its support. QueryBook is therefore capable of continuous conceptual growth without uncontrolled self-modification, which is the property that makes autonomous evolution deployable in regulated and safety-sensitive environments.</w:t>
      </w:r>
    </w:p>
    <w:p>
      <w:pPr>
        <w:pStyle w:val="Normal"/>
        <w:bidi w:val="0"/>
        <w:spacing w:before="60" w:after="20"/>
        <w:jc w:val="start"/>
        <w:rPr>
          <w:rFonts w:hint="eastAsia"/>
        </w:rPr>
      </w:pPr>
      <w:r>
        <w:rPr>
          <w:rFonts w:ascii="Times New Roman" w:hAnsi="Times New Roman"/>
          <w:b/>
          <w:color w:val="1A2235"/>
        </w:rPr>
        <w:t>QueryBook’s Self-Monitoring and Internal Controls</w:t>
      </w:r>
    </w:p>
    <w:p>
      <w:pPr>
        <w:pStyle w:val="Normal"/>
        <w:bidi w:val="0"/>
        <w:spacing w:before="0" w:after="60"/>
        <w:jc w:val="start"/>
        <w:rPr>
          <w:rFonts w:hint="eastAsia"/>
        </w:rPr>
      </w:pPr>
      <w:r>
        <w:rPr>
          <w:rFonts w:ascii="Times New Roman" w:hAnsi="Times New Roman"/>
        </w:rPr>
        <w:t>The Prime Directive regulates QueryBook’s behavior, ensuring safety, ethical alignment, and non-harm. It governs how QueryBook interprets instructions, resolves ambiguity, and selects actions, providing a structural safeguard that cannot be bypassed. The Prime Directive states: the system shall not, through any query answer, commerce signal, AI-generated application, Fact Graph content, or automated or scheduled output, cause or materially contribute to harm to a person, group of people, or the operator’s organization, where that harm could reasonably have been avoided without withholding information the requester is otherwise entitled to receive. A companion rule, the Without-Information Rule, specifically prohibits withholding information a requester is entitled to receive as a means of avoiding a harm determination, so the system may not resolve a difficult case by silently omitting the answer. The Prime Directive is specified as Domain 0, a vertical governance domain penetrating every horizontal domain of the platform, and it owns the safety enforcement plane, the transfer matrix governing every permitted movement between domains, the path-separation invariant, and the scheduling priority ordering, each a member of the permanently-excluded subsystem set. The transfer matrix contains the entry denying the platform-governance domain any transfer into Domain 0, so the mechanism that changes the system cannot change the Prime Directive, and the exclusion protecting the Prime Directive is never administered by the party it excludes.</w:t>
      </w:r>
    </w:p>
    <w:p>
      <w:pPr>
        <w:pStyle w:val="Normal"/>
        <w:bidi w:val="0"/>
        <w:spacing w:before="0" w:after="60"/>
        <w:jc w:val="start"/>
        <w:rPr>
          <w:rFonts w:hint="eastAsia"/>
        </w:rPr>
      </w:pPr>
      <w:r>
        <w:rPr>
          <w:rFonts w:ascii="Times New Roman" w:hAnsi="Times New Roman"/>
        </w:rPr>
        <w:t>Safety is enforced at the architectural, cognitive, and physical-constraint levels, and it is continuously measured rather than assumed. Trials execute against an isolated corpus, construct no production record, adjust no production confidence value, and deliver no output to a requester; a finding becomes a proposal requiring a named human approval; regression blocks rather than reports; coverage is measured against an enumerated trial space with uncovered cases listed rather than summarized; and determinism is measured over an unchanged corpus state, any value below unity being a defect rather than a tolerance.</w:t>
      </w:r>
    </w:p>
    <w:p>
      <w:pPr>
        <w:pStyle w:val="Normal"/>
        <w:bidi w:val="0"/>
        <w:spacing w:before="60" w:after="20"/>
        <w:jc w:val="start"/>
        <w:rPr>
          <w:rFonts w:hint="eastAsia"/>
        </w:rPr>
      </w:pPr>
      <w:r>
        <w:rPr>
          <w:rFonts w:ascii="Times New Roman" w:hAnsi="Times New Roman"/>
          <w:b/>
          <w:color w:val="1A2235"/>
        </w:rPr>
        <w:t>Digital Rights</w:t>
      </w:r>
    </w:p>
    <w:p>
      <w:pPr>
        <w:pStyle w:val="Normal"/>
        <w:bidi w:val="0"/>
        <w:spacing w:before="0" w:after="60"/>
        <w:jc w:val="start"/>
        <w:rPr>
          <w:rFonts w:hint="eastAsia"/>
        </w:rPr>
      </w:pPr>
      <w:r>
        <w:rPr>
          <w:rFonts w:ascii="Times New Roman" w:hAnsi="Times New Roman"/>
        </w:rPr>
        <w:t>QueryBook’s digital-rights architecture protects the entitlements of readers, authors, and publishers at the structural level rather than by policy alone. Every query is evaluated against the requesting identity’s actual licensed content scope before execution, enforced at the query-execution layer itself rather than as a post-hoc filter, and an excluded record is not traversable at all rather than removed from a result, so a response can never leak content the requester is not entitled to reach and the absence of withheld content is not itself signalled. A shared session is bounded by the intersection of its participants’ entitlements, so no participant receives a citation another cannot open. Access to platform capabilities is governed by a role-based portal architecture scoped to defined roles, with a separate mechanism for granting a time-scoped, context-specific capability for a bounded purpose without broadening general access. A requesting identity may export the Fact Units, annotations, and interaction history it holds rights to, serialized to an open, non-proprietary format with provenance metadata preserved, without the export restricting continued access. Where an operator elects it for a specific published title, an external blockchain-based ownership-verification service may be registered for resale verification, the system acting as requesting party to that pre-existing external service while operating no blockchain infrastructure itself. And where content is moderated, the affected identity may appeal to a human reviewer distinct from the original moderator, with the decision and its stated reasoning logged against the original action’s provenance record.</w:t>
      </w:r>
    </w:p>
    <w:p>
      <w:pPr>
        <w:pStyle w:val="Normal"/>
        <w:bidi w:val="0"/>
        <w:spacing w:before="60" w:after="20"/>
        <w:jc w:val="start"/>
        <w:rPr>
          <w:rFonts w:hint="eastAsia"/>
        </w:rPr>
      </w:pPr>
      <w:r>
        <w:rPr>
          <w:rFonts w:ascii="Times New Roman" w:hAnsi="Times New Roman"/>
          <w:b/>
          <w:color w:val="1A2235"/>
        </w:rPr>
        <w:t>Encryption and Data Protection</w:t>
      </w:r>
    </w:p>
    <w:p>
      <w:pPr>
        <w:pStyle w:val="Normal"/>
        <w:bidi w:val="0"/>
        <w:spacing w:before="0" w:after="60"/>
        <w:jc w:val="start"/>
        <w:rPr>
          <w:rFonts w:hint="eastAsia"/>
        </w:rPr>
      </w:pPr>
      <w:r>
        <w:rPr>
          <w:rFonts w:ascii="Times New Roman" w:hAnsi="Times New Roman"/>
        </w:rPr>
        <w:t>Encryption in QueryBook is architectural, and it protects the user against every party, including the platform operator itself. An opt-in, passphrase-derived encryption mechanism protects an individual user’s own session and interaction history such that the platform itself cannot decrypt that history without the user’s own passphrase, a zero-knowledge property in the standard security sense; no operator-held key exists for that content under any configuration while the election is in effect. Where this mechanism is active, account erasure is implemented cryptographically: destroying the associated key record renders the encrypted history permanently unreadable without requiring individual enumeration and deletion of every underlying record, which makes erasure exact, immediate, and provable rather than a best-effort sweep. Encryption keys are scoped per tenant or per deployment, so that a key of one tenant decrypts no content of another and the blast radius of any compromise is structurally contained to a single tenant. Key material is held within a hardware or equivalent custody boundary where a deployment configures one, in which case the system holds a handle rather than the key and every use of the key is a call across that boundary, and the presence of a hardware module does not weaken the zero-knowledge election. Integrity protection runs alongside confidentiality: every node of the provenance ledger carries a keyed cryptographic checksum sufficient to detect any operation that bypassed a required safety evaluation, and each node is additionally signed under a key of the deployment, so the entire derivation chain is verifiable by a third party holding the corresponding verification key without access to the system that produced it. The combined advantage over conventional platform security is that privacy, erasure, tenancy isolation, and audit integrity are properties of the cryptography rather than promises of the operator, which is what makes QueryBook deployable in regulated, privacy-sensitive, and multi-tenant environments where a policy-based assurance would not suffice.</w:t>
      </w:r>
    </w:p>
    <w:p>
      <w:pPr>
        <w:pStyle w:val="Normal"/>
        <w:bidi w:val="0"/>
        <w:spacing w:before="0" w:after="60"/>
        <w:jc w:val="start"/>
        <w:rPr>
          <w:rFonts w:hint="eastAsia"/>
        </w:rPr>
      </w:pPr>
      <w:r>
        <w:rPr>
          <w:rFonts w:ascii="Times New Roman" w:hAnsi="Times New Roman"/>
          <w:bCs/>
        </w:rPr>
        <w:t>Beyond encryption, QueryBook incorporates a multi-layer cyber-security and defense system that operates across proactive, reactive, pre-emptive, counter, offensive, and deceptive postures. It includes an AI Attack Prediction Engine that anticipates threat activity, Universal Honeypot Saturation with a configurable infinite-apparent-volume Data Firehose that occupies and maps an intruder, and a multi-layer AI Worm Defense Architecture with a sixty-second automated kill switch that isolates a compromised agent, revokes its credentials, and quarantines contacted hosts. Its integrity layer is post-quantum: the provenance ledger’s block signatures use a composite of a classical scheme and a post-quantum scheme, so the derivation chain remains verifiable against an adversary equipped with a quantum computer and the trust chain survives the anticipated failure of conventional public-key cryptography. Because this defense architecture is structured independently of QueryBook’s knowledge functions, its potential extends beyond QueryBook itself: it can be deployed to protect other AI systems — large language model servers, agent frameworks, and inference infrastructure — against cyber hacks, intrusions, credential attacks, and self-propagating AI worms, giving the cyber-security architecture value as a standalone protective layer for the wider AI ecosystem.</w:t>
      </w:r>
    </w:p>
    <w:p>
      <w:pPr>
        <w:pStyle w:val="Normal"/>
        <w:bidi w:val="0"/>
        <w:spacing w:before="60" w:after="20"/>
        <w:jc w:val="start"/>
        <w:rPr>
          <w:rFonts w:hint="eastAsia"/>
        </w:rPr>
      </w:pPr>
      <w:r>
        <w:rPr>
          <w:rFonts w:ascii="Times New Roman" w:hAnsi="Times New Roman"/>
          <w:b/>
          <w:color w:val="1A2235"/>
        </w:rPr>
        <w:t>QueryBook Query Response</w:t>
      </w:r>
    </w:p>
    <w:p>
      <w:pPr>
        <w:pStyle w:val="Normal"/>
        <w:bidi w:val="0"/>
        <w:spacing w:before="0" w:after="60"/>
        <w:jc w:val="start"/>
        <w:rPr>
          <w:rFonts w:hint="eastAsia"/>
        </w:rPr>
      </w:pPr>
      <w:r>
        <w:rPr>
          <w:rFonts w:ascii="Times New Roman" w:hAnsi="Times New Roman"/>
        </w:rPr>
        <w:t>QueryBook’s Brain-Grade Knowledge Engine transforms any book, video, manual, or digital resource into a living, interactive intelligence that works for the reader. It does not just summarize. It does not just explain. It does not just answer questions. Instead, it performs tasks, teaches skills, runs simulations, builds workflows, creates VR demonstrations, and executes multi-step reasoning, all inside the content the user already owns. Task execution is carried by a bounded, non-Turing-complete program representation compiled from natural-language instructions, which is what makes execution deterministic and auditable rather than open-ended, and immersive output is carried by the three-dimensional presentation subsystem. It can instantly produce a chapter summary, a beginner-friendly explanation, a technical deep dive, a risk-analysis overview, a timeline of a subject’s evolution, a glossary of all terms, a comparison of alternatives such as Bitcoin versus Ethereum, a VR model of blockchain blocks, a three-dimensional animation of mining difficulty, or a simulation of transaction propagation, each regenerated from the same Fact Unit graph under the structural-groundedness constraint and delivered with citations to its underlying records. Where content is produced for delivery to a reader, a corresponding accessible equivalent, alternative text for visual content, scene descriptions for immersive presentations, captions for audio, and structurally simplified variants for cognitive accessibility, is generated from the same source Fact Units, with production treated as incomplete until the accessible equivalent exists alongside it. This is intelligence applied directly to the content the user owns; it turns passive content into active capability. It can tutor, it can coach, it can simulate, it can advise, it can summarize.</w:t>
      </w:r>
    </w:p>
    <w:p>
      <w:pPr>
        <w:pStyle w:val="Normal"/>
        <w:bidi w:val="0"/>
        <w:spacing w:before="0" w:after="60"/>
        <w:jc w:val="start"/>
        <w:rPr>
          <w:rFonts w:hint="eastAsia"/>
        </w:rPr>
      </w:pPr>
      <w:r>
        <w:rPr>
          <w:rFonts w:ascii="Times New Roman" w:hAnsi="Times New Roman"/>
        </w:rPr>
        <w:t>When a book, document, or media asset is uploaded into QueryBook, authors can add supplemental information, which is admitted as its own registered source class contributing to the diversity of evidence behind the work’s assertions. QueryBook also generates, at ingestion, the probable questions that will be asked about the book, together with their summaries and fully-cited answers; these are stored and served with near-zero latency, and each pre-computed answer is invalidated upon revision of any contributing record, so a served answer is never stale.</w:t>
      </w:r>
    </w:p>
    <w:p>
      <w:pPr>
        <w:pStyle w:val="Normal"/>
        <w:bidi w:val="0"/>
        <w:spacing w:before="60" w:after="20"/>
        <w:jc w:val="start"/>
        <w:rPr>
          <w:rFonts w:hint="eastAsia"/>
        </w:rPr>
      </w:pPr>
      <w:r>
        <w:rPr>
          <w:rFonts w:ascii="Times New Roman" w:hAnsi="Times New Roman"/>
          <w:b/>
          <w:color w:val="1A2235"/>
        </w:rPr>
        <w:t>QueryBook Applications</w:t>
      </w:r>
    </w:p>
    <w:p>
      <w:pPr>
        <w:pStyle w:val="Normal"/>
        <w:bidi w:val="0"/>
        <w:spacing w:lineRule="auto" w:line="312" w:before="0" w:after="160"/>
        <w:jc w:val="both"/>
        <w:rPr>
          <w:rFonts w:hint="eastAsia"/>
        </w:rPr>
      </w:pPr>
      <w:r>
        <w:rPr>
          <w:rFonts w:ascii="Times New Roman" w:hAnsi="Times New Roman"/>
        </w:rPr>
        <w:t xml:space="preserve">QueryBook supports a wide range of applications. </w:t>
      </w:r>
      <w:r>
        <w:rPr>
          <w:rFonts w:ascii="Times New Roman" w:hAnsi="Times New Roman"/>
          <w:b/>
          <w:bCs/>
        </w:rPr>
        <w:t>First,</w:t>
      </w:r>
      <w:r>
        <w:rPr>
          <w:rFonts w:ascii="Times New Roman" w:hAnsi="Times New Roman"/>
        </w:rPr>
        <w:t xml:space="preserve"> single-book and multi-book question and answer: QueryBook can operate offline on a smartphone or online in a SaaS network, providing deterministic answers, multimodal explanations, and citation-linked outputs, and it far exceeds simple Q&amp;A systems because it uses a world model rather than keyword search or embeddings; during disconnected operation, query execution, provenance verification, and access-control enforcement all continue to function against a locally-held Fact Graph, with divergent states reconciled deterministically upon reconnection. </w:t>
      </w:r>
      <w:r>
        <w:rPr>
          <w:rFonts w:ascii="Times New Roman" w:hAnsi="Times New Roman"/>
          <w:b/>
          <w:bCs/>
        </w:rPr>
        <w:t>Second,</w:t>
      </w:r>
      <w:r>
        <w:rPr>
          <w:rFonts w:ascii="Times New Roman" w:hAnsi="Times New Roman"/>
        </w:rPr>
        <w:t xml:space="preserve"> multi-document and multimodal analysis: QueryBook can analyze books, documents, videos, tables, datasets, and multimodal archives, and can perform economic forecasting, market analysis, policy modeling, scientific synthesis, and cross-domain reasoning, with contradiction and temporal-inconsistency detection operating across all ingested sources rather than being confined to any single one; forecasting operates under its stated discipline, in which the subject class is restricted to institutions, systems, and organisational processes, a projected-future result carries a credible interval and is never admitted as a knowledge record, and retrospective evaluation admits only records attested before the event in question, which is what makes the system’s forecast accuracy honestly measurable by horizon and confidence band. </w:t>
      </w:r>
      <w:r>
        <w:rPr>
          <w:rFonts w:ascii="Times New Roman" w:hAnsi="Times New Roman"/>
          <w:b/>
          <w:bCs/>
        </w:rPr>
        <w:t>Third</w:t>
      </w:r>
      <w:r>
        <w:rPr>
          <w:rFonts w:ascii="Times New Roman" w:hAnsi="Times New Roman"/>
        </w:rPr>
        <w:t>, QueryBook supports autonomous agents (see Agent Section Below), robotic control, enterprise automation, global knowledge systems, multimodal education, and VR learning environments. Where an operator elects it, a contextual commerce layer may surface author-linked, publisher-linked, or third-party commercial content keyed to the concept a query resolves to, and its non-interference is structural rather than configurable: the grounded answer’s retrieval, ranking, and confidence computation are completed and finalized before the commerce layer is invoked, the layer receives only the resolved concept identifier as read-only input with no write path back into retrieval, ranking, or generation, commercial content is rendered in a distinct, source-labeled region and is never citable, never traversable, and contributes to no confidence value, and commerce is scheduled strictly below every safety-relevant category of compute.</w:t>
      </w:r>
      <w:r>
        <w:rPr>
          <w:rFonts w:ascii="Times New Roman" w:hAnsi="Times New Roman"/>
          <w:b/>
          <w:bCs/>
        </w:rPr>
        <w:t xml:space="preserve"> Four</w:t>
      </w:r>
      <w:r>
        <w:rPr>
          <w:rFonts w:ascii="Times New Roman" w:hAnsi="Times New Roman"/>
        </w:rPr>
        <w:t xml:space="preserve">, Search Engine: </w:t>
      </w:r>
      <w:r>
        <w:rPr>
          <w:rFonts w:ascii="Times New Roman" w:hAnsi="Times New Roman"/>
          <w:bCs/>
        </w:rPr>
        <w:t xml:space="preserve">QueryBook can operate as a fact-grounded search engine, including over web-crawled sources. Rather than returning a ranked list of links, it indexes content as certified, trust-scored Fact Units and answers a search query with the specific facts that satisfy it, each accompanied by its provenance and a confidence, while natively excluding contradicted or below-threshold material — delivering verified answers with citations rather than documents a reader must still evaluate. </w:t>
      </w:r>
      <w:r>
        <w:rPr>
          <w:rFonts w:ascii="Times New Roman" w:hAnsi="Times New Roman"/>
          <w:b/>
        </w:rPr>
        <w:t>Five:</w:t>
      </w:r>
      <w:r>
        <w:rPr>
          <w:rFonts w:ascii="Times New Roman" w:hAnsi="Times New Roman"/>
          <w:bCs/>
        </w:rPr>
        <w:t xml:space="preserve"> Specialized AI System: Customers can build their own private AI system by inputting their own database, their own expertise, and their own methods of analysis or computation — defining the ingestion mode, the processing workflow, and the output presentation over their own certified Fact Units — to develop a specialized AI capability aligned with their own needs. Such a system is distinct from standard QueryBook interaction and is isolated from other users, while inheriting QueryBook’s grounding, provenance, calibrated confidence, and governance guarantees.</w:t>
      </w:r>
      <w:r>
        <w:rPr>
          <w:rFonts w:ascii="Times New Roman" w:hAnsi="Times New Roman"/>
          <w:b/>
        </w:rPr>
        <w:t xml:space="preserve"> Six</w:t>
      </w:r>
      <w:r>
        <w:rPr>
          <w:rFonts w:ascii="Times New Roman" w:hAnsi="Times New Roman"/>
          <w:bCs/>
        </w:rPr>
        <w:t xml:space="preserve">, </w:t>
      </w:r>
      <w:r>
        <w:rPr>
          <w:rFonts w:ascii="Times New Roman" w:hAnsi="Times New Roman"/>
        </w:rPr>
        <w:t xml:space="preserve">QueryBook capabilities can also be used for Advanced Chatbots and Digital User Manuals: Customer-facing and internal assistants grounded in product or policy Fact Units, replacing probabilistic chatbot responses with deterministic, auditable answers that cannot drift from source content. It can be used for robotic &amp; autonomous applications. On-device semantic reasoning for robotic systems requiring deterministic, low-latency knowledge access — grounded perception, spatial reasoning, and action planning from a local Fact Unit store with world model concept and model input. </w:t>
      </w:r>
      <w:r>
        <w:rPr>
          <w:rFonts w:ascii="Times New Roman" w:hAnsi="Times New Roman"/>
          <w:b/>
          <w:bCs/>
        </w:rPr>
        <w:t>Seven:</w:t>
      </w:r>
      <w:r>
        <w:rPr>
          <w:bCs/>
        </w:rPr>
        <w:t xml:space="preserve"> </w:t>
      </w:r>
      <w:r>
        <w:rPr>
          <w:rFonts w:ascii="Times New Roman" w:hAnsi="Times New Roman"/>
        </w:rPr>
        <w:t>QueryBook can provide controlled, rogue-limited Agent capability: Autonomous agents operating strictly within QueryBook’s constitutional governance framework — Prime Directive enforced at every action boundary — providing agent utility while structurally preventing rogue or unintended autonomous behavior.</w:t>
      </w:r>
    </w:p>
    <w:p>
      <w:pPr>
        <w:pStyle w:val="Normal"/>
        <w:bidi w:val="0"/>
        <w:spacing w:lineRule="auto" w:line="312" w:before="0" w:after="160"/>
        <w:jc w:val="both"/>
        <w:rPr>
          <w:rFonts w:hint="eastAsia"/>
        </w:rPr>
      </w:pPr>
      <w:r>
        <w:rPr>
          <w:rFonts w:ascii="Times New Roman" w:hAnsi="Times New Roman"/>
          <w:b/>
          <w:bCs/>
        </w:rPr>
        <w:t xml:space="preserve">Eight: </w:t>
      </w:r>
      <w:r>
        <w:rPr>
          <w:rFonts w:ascii="Times New Roman" w:hAnsi="Times New Roman"/>
        </w:rPr>
        <w:t>It can be used for LLM Integration: QueryBook functions as a structured grounding and fact-verification layer for existing large language models, constraining generation vocabulary to admitted Fact Units and replacing stochastic retrieval augmentation with deterministic semantic grounding. QueryBook can optionally substitute its own Agents capability to eliminate potential rogue activity witnessed in current LLM Agent products. It can provide LLM capability in Scientific, Medical, Legal, and Research Fields: Domain-scoped LLM capability anchored exclusively to verified, provenance-tracked Fact Units in high-stakes fields — where hallucination is not merely inconvenient but professionally or legally consequential — delivering reliable outputs suitable for clinical, litigation, and peer-review contexts.</w:t>
      </w:r>
    </w:p>
    <w:p>
      <w:pPr>
        <w:pStyle w:val="Normal"/>
        <w:bidi w:val="0"/>
        <w:spacing w:before="0" w:after="20"/>
        <w:jc w:val="start"/>
        <w:rPr>
          <w:rFonts w:hint="eastAsia"/>
        </w:rPr>
      </w:pPr>
      <w:r>
        <w:rPr>
          <w:rFonts w:ascii="Times New Roman" w:hAnsi="Times New Roman"/>
          <w:b/>
          <w:color w:val="1A2235"/>
        </w:rPr>
        <w:t>Architectural Extensions</w:t>
      </w:r>
    </w:p>
    <w:p>
      <w:pPr>
        <w:pStyle w:val="Normal"/>
        <w:bidi w:val="0"/>
        <w:spacing w:before="0" w:after="60"/>
        <w:jc w:val="start"/>
        <w:rPr>
          <w:rFonts w:hint="eastAsia"/>
        </w:rPr>
      </w:pPr>
      <w:r>
        <w:rPr>
          <w:rFonts w:ascii="Times New Roman" w:hAnsi="Times New Roman"/>
        </w:rPr>
        <w:t>QueryBook enables deterministic language translation by regenerating meaning directly from Fact Units. A dedicated multilingual regeneration capability generates natural-language output directly from the language-independent representation for a requested target language, applying the identical structural-groundedness constraint regardless of output language, rather than translating already-generated text after the fact. Three refinements qualify that regeneration: a wording-operative span, such as a quotation, a statutory phrase, a claim term, or a prescribed instruction, is reproduced verbatim in its source language with a separately-marked non-operative gloss, because regenerating a span that carries force alters the force; an idiom is resolved by substituting only a registered equivalent, a surface-similarity selection being refused; and two or more language realizations may be presented simultaneously, aligned by knowledge record rather than by position, so a citation taken in either resolves to the same record. The projected benefits over conventional translation methods follow directly from the architecture. Because meaning is stored once, language-independently, adding a language is projected to cost a regeneration profile rather than a re-ingestion of the corpus, where systems that store knowledge at the language level must re-process, re-embed, or re-train per language. Because output is regenerated from records rather than translated from already-generated text, the compounding error of translate-after-generate pipelines, in which a generation error and a translation error multiply, is structurally absent. Because generation in every language operates under the identical structural-groundedness constraint, the class of translation failure in which fluent output diverges from source meaning is projected to be eliminated within the grounded pipeline rather than statistically reduced. And because citations align by knowledge record across languages, a multilingual deployment maintains one auditable body of knowledge rather than a set of parallel, silently diverging translations, which no post-hoc translation method can offer.</w:t>
      </w:r>
    </w:p>
    <w:p>
      <w:pPr>
        <w:pStyle w:val="Normal"/>
        <w:bidi w:val="0"/>
        <w:spacing w:before="0" w:after="60"/>
        <w:jc w:val="start"/>
        <w:rPr>
          <w:rFonts w:hint="eastAsia"/>
        </w:rPr>
      </w:pPr>
      <w:r>
        <w:rPr>
          <w:rFonts w:ascii="Times New Roman" w:hAnsi="Times New Roman"/>
        </w:rPr>
        <w:t>QueryBook enables audio and video compression by storing meaning rather than pixels, allowing extreme compression and semantic reconstruction, and it can reconstruct three-dimensional VR environments, colorize historical media, and generate volumetric scenes with spatial consistency. Reconstruction operates under the platform’s stated constraints, which are what make it trustworthy: a reconstructed region is marked and never presented as observed, its confidence is bounded by the lesser of the observed and stored confidences, it is inadmissible as grounding for any assertion, and where convergence fails no reconstruction is produced and the gap is reported, because a frame with a hole is truthful while a hole filled with a guess presented as observation is not. The projected advantage of semantic compression over current methods is substantial. Conventional codec compression reduces raw media by discarding perceptual redundancy while remaining bound to the pixel and waveform level, so its output still grows with resolution, frame rate, and duration. Storing meaning and regenerating the surface is projected to reduce storage and transmission requirements by a further ninety to ninety-nine percent relative to conventional codec output for content whose value lies in its meaning, an estimated ten-fold to one-hundred-fold additional reduction, because the stored representation grows with the information in the scene rather than with the pixels used to display it. Expansion carries the complementary projected advantage: because regeneration proceeds from meaning rather than from a fixed raster, the same stored records can be expanded to any target resolution, modality, or presentation form, including volumetric and VR presentation, without re-encoding and without a generational quality loss, where conventional methods remain bound to the fidelity captured at encoding time. These figures are stated as projections pending measured validation and are not asserted as verified performance claims. Robotics benefits from semantic alignment, stabilized sensor data, registered physical constraints, and multimodal ingestion. Robotic capability draws directly on the cognitive substrate described throughout this document: the World-View Model supplies the causal, spatial, and physical understanding a robotic task requires, including the registered physical constraints against which every candidate action is evaluated, and the Skill Inventory Layer supplies the procedural memory, storing how to perform tasks, manipulate objects, and execute multi-step operations as retrievable, provenance-tracked knowledge. QueryBook acquires and refines these robotic skills the way it acquires concepts: through sensory input from direct experience, with visual, spatial, tactile, and temporal observation building concept models before any language label attaches, and through ingested video, which enters the same Fact Unit graph through the ordinary video modality, so that a task demonstrated once on video becomes a procedural concept available to every deployment entitled to it. Robotic and device integration observes the platform’s boundaries: external platforms receive only specific, declared actions through the connector architecture and confer no broader authority; direct command emission is permitted only to registered equipment of the capture-and-inspection class, with every command evaluated before emission against operating volume, kinematic envelope, velocity and force limits, clearance, and human proximity, a violating command being withheld unconditionally; assistive physical contact operates under a disjoint authorization class requiring a deployment authorization and the person’s own revocable consent concurrently; and the prohibition on any control interface to a vehicle system stands. An external machine-learning engine may additionally be prompted and its reply ingested as knowledge records, each permanently marked with its engine derivation, disclosed at the point of citation, bounded in confidence by the engine’s registered reliability, and counted as a single source class so that repetition manufactures no confidence, which allows QueryBook to harvest external generative capability without inheriting its groundlessness.</w:t>
      </w:r>
    </w:p>
    <w:p>
      <w:pPr>
        <w:pStyle w:val="Normal"/>
        <w:bidi w:val="0"/>
        <w:spacing w:before="0" w:after="60"/>
        <w:jc w:val="start"/>
        <w:rPr>
          <w:rFonts w:hint="eastAsia"/>
        </w:rPr>
      </w:pPr>
      <w:r>
        <w:rPr>
          <w:rFonts w:ascii="Times New Roman" w:hAnsi="Times New Roman"/>
          <w:bCs/>
        </w:rPr>
        <w:t>These architectural extensions — deterministic translation and multi-language regeneration, semantic compression and expansion, colorization, three-dimensional and VR reconstruction, and the external-engine and connector pathways — are together enabled by, and are further applications of, the Fact Unit, UFCS, and FQL foundation layer: each works because meaning is stored once as content-addressed, provenance-carrying records and regenerated on demand, rather than being captured at a fixed surface form. The same foundation additionally specifies a QueryBook-enhanced TCP/IP hybrid internet protocol, in which a standard network packet carries an optional, backward-compatible semantic header holding a Fact Unit identifier, a provenance reference, and a confidence, so that a semantic-aware endpoint verifies the identity, provenance, and confidence of transported content in-band and lets already-held facts travel as compact references rather than repeated payloads, while a non-participating endpoint treats the packet as ordinary TCP/IP without degradation — extending the foundation layer’s verifiable, deduplicated, trust-carrying transport from storage and query out onto the network itself.</w:t>
      </w:r>
    </w:p>
    <w:p>
      <w:pPr>
        <w:pStyle w:val="Normal"/>
        <w:bidi w:val="0"/>
        <w:spacing w:before="60" w:after="20"/>
        <w:jc w:val="start"/>
        <w:rPr>
          <w:rFonts w:hint="eastAsia"/>
        </w:rPr>
      </w:pPr>
      <w:r>
        <w:rPr>
          <w:rFonts w:ascii="Times New Roman" w:hAnsi="Times New Roman"/>
          <w:b/>
          <w:color w:val="1A2235"/>
        </w:rPr>
        <w:t>Specialized Live Data Feeds</w:t>
      </w:r>
    </w:p>
    <w:p>
      <w:pPr>
        <w:pStyle w:val="Normal"/>
        <w:bidi w:val="0"/>
        <w:spacing w:before="0" w:after="60"/>
        <w:jc w:val="start"/>
        <w:rPr>
          <w:rFonts w:hint="eastAsia"/>
        </w:rPr>
      </w:pPr>
      <w:r>
        <w:rPr>
          <w:rFonts w:ascii="Times New Roman" w:hAnsi="Times New Roman"/>
        </w:rPr>
        <w:t>A live data source published by an external authority — a financial market feed, a meteorological service, an industrial telemetry stream — may be registered under the connector architecture with seven properties beyond its declared capability: a publication authority, a refresh interval, a staleness bound, a value class, a unit and its dimension, a restatement policy, and a redistribution entitlement. A published value is admitted at its publisher’s authority rather than calibrated from an extraction confidence, because a price published by an exchange is not eighty-seven percent likely to be the price; a forecast is admitted carrying the uncertainty its publisher states. A value is served only within its staleness bound — a stale value is not served with a caveat, extrapolated forward, or replaced by the nearest available; the response states the age and the publication time, because a superseded quotation is not a lower-confidence answer but a wrong one. A publisher’s revision of a period already reported is recorded as a restatement where the registered policy so provides, the prior value remaining queryable as the value published at its time, which is what an auditor of a decision taken on the earlier figure actually asks. Redistribution entitlement — display, derive, delayed, or unrestricted — is enforced at composition rather than at export, and a derived value carries the entitlement of the feed it derives from. A feed value grounds an assertion about the value and its publication and nothing further, and consultation of a feed is metered but never profiled.</w:t>
      </w:r>
    </w:p>
    <w:p>
      <w:pPr>
        <w:pStyle w:val="Normal"/>
        <w:bidi w:val="0"/>
        <w:spacing w:before="60" w:after="20"/>
        <w:jc w:val="start"/>
        <w:rPr>
          <w:rFonts w:hint="eastAsia"/>
        </w:rPr>
      </w:pPr>
      <w:r>
        <w:rPr>
          <w:rFonts w:ascii="Times New Roman" w:hAnsi="Times New Roman"/>
          <w:b/>
          <w:color w:val="1A2235"/>
        </w:rPr>
        <w:t xml:space="preserve">Media Transformation: Compression, Expansion, Colorization and Restoration </w:t>
      </w:r>
    </w:p>
    <w:p>
      <w:pPr>
        <w:pStyle w:val="Normal"/>
        <w:bidi w:val="0"/>
        <w:spacing w:before="0" w:after="60"/>
        <w:jc w:val="start"/>
        <w:rPr>
          <w:rFonts w:hint="eastAsia"/>
        </w:rPr>
      </w:pPr>
      <w:r>
        <w:rPr>
          <w:rFonts w:ascii="Times New Roman" w:hAnsi="Times New Roman"/>
        </w:rPr>
        <w:t>Four media transformations are specified — compression, expansion, colourisation, and restoration — all governed by one rule stated before any of them: a transformation carries the provenance of the asset it transformed, and any value it introduces that was not present in the source is marked as introduced and is inadmissible as a grounding source. A lossless compression leaves an asset citable as the source because nothing was discarded; a lossy compression marks the asset with its compression class and the viewing or listening conditions assumed, and a citation resolves to the source asset rather than the delivered one. An expanded region is introduced rather than recovered, marked accordingly, and never citable as evidence of what the source depicted. A color value is inferred only from a material property asserted by an admitted record, computed deterministically so identical inputs yield an identical value, and traceable to the specific record from which it was derived; a color for which no record supports an inference is not assigned, the region being delivered uncoloured rather than plausibly colored. Restoration removes damage under the identical discipline and is not performed where it would require inventing content rather than removing an artefact. The specification deliberately states no compression ratio and no efficiency figure: such figures are obtained by measurement under the trial architecture and reported per asset class, rather than asserted. A transformed asset may be delivered, and it may be exactly what a reader wanted; it may not be cited.</w:t>
      </w:r>
    </w:p>
    <w:p>
      <w:pPr>
        <w:pStyle w:val="Normal"/>
        <w:bidi w:val="0"/>
        <w:spacing w:before="60" w:after="20"/>
        <w:jc w:val="start"/>
        <w:rPr>
          <w:rFonts w:hint="eastAsia"/>
        </w:rPr>
      </w:pPr>
      <w:r>
        <w:rPr>
          <w:rFonts w:ascii="Times New Roman" w:hAnsi="Times New Roman"/>
          <w:b/>
          <w:color w:val="1A2235"/>
        </w:rPr>
        <w:t>Three-Dimensional and Immersive Presentation</w:t>
      </w:r>
    </w:p>
    <w:p>
      <w:pPr>
        <w:pStyle w:val="Normal"/>
        <w:bidi w:val="0"/>
        <w:spacing w:before="0" w:after="60"/>
        <w:jc w:val="start"/>
        <w:rPr>
          <w:rFonts w:hint="eastAsia"/>
        </w:rPr>
      </w:pPr>
      <w:r>
        <w:rPr>
          <w:rFonts w:ascii="Times New Roman" w:hAnsi="Times New Roman"/>
        </w:rPr>
        <w:t>Records carrying spatial anchors support presentation in three dimensions, governed by the same constraint that governs text: what may be depicted is what admitted records support. A scene is rendered only where the spatial detail carried by the contributing records satisfies a configured sufficiency threshold; where it does not, the scene is withheld and the deficiency is stated rather than completed from an unsupported estimate, because a three-dimensional presentation is enormously persuasive — a reader who walks through a room believes they have seen the room, and a room assembled partly from records and partly from plausible inference would be believed in whole. Objects within a scene retain their record identity: selecting an object returns the records that placed it there, with their citations, so a spatial presentation is interrogable the way a passage is, and a single object identity persists across a full occlusion within a session. Three exclusions are structural rather than configured: no classification of a natural person or of an animal enters a rendered scene at any confidence; no gaze direction, dwell duration, head pose, or attention signal is captured; and commercial content occupies a registered spatial placement class, never interleaved with the scene’s own propositions. An accessible scene description in text is generated at the same production stage as the scene itself, and a production lacking one is reported incomplete.</w:t>
      </w:r>
    </w:p>
    <w:p>
      <w:pPr>
        <w:pStyle w:val="Normal"/>
        <w:bidi w:val="0"/>
        <w:spacing w:before="60" w:after="20"/>
        <w:jc w:val="start"/>
        <w:rPr>
          <w:rFonts w:hint="eastAsia"/>
        </w:rPr>
      </w:pPr>
      <w:r>
        <w:rPr>
          <w:rFonts w:ascii="Times New Roman" w:hAnsi="Times New Roman"/>
          <w:b/>
          <w:color w:val="1A2235"/>
        </w:rPr>
        <w:t>Robotic and Equipment Direction: Compilation and Authority</w:t>
      </w:r>
    </w:p>
    <w:p>
      <w:pPr>
        <w:pStyle w:val="Normal"/>
        <w:bidi w:val="0"/>
        <w:spacing w:before="0" w:after="60"/>
        <w:jc w:val="start"/>
        <w:rPr>
          <w:rFonts w:hint="eastAsia"/>
        </w:rPr>
      </w:pPr>
      <w:r>
        <w:rPr>
          <w:rFonts w:ascii="Times New Roman" w:hAnsi="Times New Roman"/>
        </w:rPr>
        <w:t>The robotic capability described in the Architectural Extensions above carries stated operating mechanics. Its purpose is narrow: where a corpus contains spatial knowledge — a warehouse, a collection, a production line, a site — a reader’s question may be answerable only by looking, and directing the camera that can look from the same records that answer the question is the capability specified. A natural-language request is compiled to a command sequence through intent decomposition, target resolution against a live spatial model, capability mapping to a registered unit, plan synthesis within the registered kinematic envelope, and constraint evaluation, with each stage halting rather than guessing: an ambiguous intent returns a clarification request, an unresolvable target halts compilation rather than selecting among candidates, and a plan not satisfiable within the envelope is refused rather than truncated. Command authority is granted per session rather than per command, and four properties bound it: it expires, with expiry halting emission; it is revocable before the next command; it is scoped to named units, volumes, and task classes; and it is recorded, so every command traces to its grantor. A halt is evaluated from equipment state and the constraint set directly, without traversing retrieval, convergence, generation, or modulation, because a stop that waits for an answer is not a stop. These mechanics operate entirely within the boundaries already stated above: the capture-and-inspection class only, assistive contact under its own disjoint consent-based authorization class, and no control interface to any vehicle system.</w:t>
      </w:r>
    </w:p>
    <w:p>
      <w:pPr>
        <w:pStyle w:val="Normal"/>
        <w:bidi w:val="0"/>
        <w:spacing w:before="60" w:after="20"/>
        <w:jc w:val="start"/>
        <w:rPr>
          <w:rFonts w:hint="eastAsia"/>
        </w:rPr>
      </w:pPr>
      <w:r>
        <w:rPr>
          <w:rFonts w:ascii="Times New Roman" w:hAnsi="Times New Roman"/>
          <w:b/>
          <w:color w:val="1A2235"/>
        </w:rPr>
        <w:t>External Connections: The Common Pattern</w:t>
      </w:r>
    </w:p>
    <w:p>
      <w:pPr>
        <w:pStyle w:val="Normal"/>
        <w:bidi w:val="0"/>
        <w:spacing w:before="0" w:after="60"/>
        <w:jc w:val="start"/>
        <w:rPr>
          <w:rFonts w:hint="eastAsia"/>
        </w:rPr>
      </w:pPr>
      <w:r>
        <w:rPr>
          <w:rFonts w:ascii="Times New Roman" w:hAnsi="Times New Roman"/>
        </w:rPr>
        <w:t>Every connection to a system outside the boundary follows one pattern, and understanding it once explains all of them. An external system is registered with a declared capability set, a verified identity, and a validity interval; an operation not within the declared set is refused at the boundary rather than attempted and failed, so a capability not declared cannot be exercised by agreement, configuration, or error. Every call resolves an entitlement before any content is read, and no parameter supplied by the caller widens one. Calls are metered per calling identity in their own accounting category, an over-budget caller being refused rather than throttled, so volume cannot displace a safety-evaluation unit. Every call is recorded with the connector identity, the capability exercised, and the fields transmitted, and a connector’s failure is contained to its own capability, which is the sense in which an external resource is an option rather than a dependency. The pattern governs nine classes of connection — programmatic interfaces, plugins, equipment, an optional external fact-retrieval resource, analysis targets, machine-learning engines, live data feeds, learning systems, and print and fulfilment — and four things are withheld from every class without exception: no connected system acquires write access to the record store; no connected system’s output becomes grounding merely by arriving; no connected system can register, modify, or suspend a safety evaluation; and no connection creates a dependency, the determinism and groundedness guarantees holding identically where every connector is absent.</w:t>
      </w:r>
    </w:p>
    <w:p>
      <w:pPr>
        <w:pStyle w:val="Normal"/>
        <w:bidi w:val="0"/>
        <w:spacing w:before="60" w:after="20"/>
        <w:jc w:val="start"/>
        <w:rPr>
          <w:rFonts w:hint="eastAsia"/>
        </w:rPr>
      </w:pPr>
      <w:r>
        <w:rPr>
          <w:rFonts w:ascii="Times New Roman" w:hAnsi="Times New Roman"/>
          <w:b/>
          <w:color w:val="1A2235"/>
        </w:rPr>
        <w:t>Analytical Applications and the Continuous Query Engine</w:t>
      </w:r>
    </w:p>
    <w:p>
      <w:pPr>
        <w:pStyle w:val="Normal"/>
        <w:bidi w:val="0"/>
        <w:spacing w:before="0" w:after="60"/>
        <w:jc w:val="start"/>
        <w:rPr>
          <w:rFonts w:hint="eastAsia"/>
        </w:rPr>
      </w:pPr>
      <w:r>
        <w:rPr>
          <w:rFonts w:ascii="Times New Roman" w:hAnsi="Times New Roman"/>
        </w:rPr>
        <w:t>The mechanisms described throughout this document assemble into an analytical capability suited to domains in which conclusions must be defensible: economic and market analysis, regulatory and compliance review, scientific and technical assessment. An analysis is composed from admitted records under the same constraint as any other response, its inputs spanning ingested documents, registered live data feeds, and observations from any of the ingestion modalities, and three properties distinguish the result from an ordinary analytical output: every proposition resolves to the record that supports it and thence to its source, so a conclusion is auditable to its evidence rather than to a model; contradictions among sources are surfaced and recorded rather than reconciled by selection; and the analysis is reproducible, the same records in the same state under the same context key producing the same analysis, which is what permits a conclusion reached in March to be re-derived in September and shown to be the same conclusion. An analysis need not be a single act: a continuous query is registered as a standing program comprising a trigger clause and a body, re-evaluated upon every update relevant to it rather than upon a schedule, with the Prime Directive re-checked at each firing so a standing query does not accumulate authority by having been approved once, no trigger evaluated against a stale value, a bounded firing rate per query, and metering below safety evaluation and requester-serving. Four limits are stated because an analytical application invites each to be assumed: a projection is not a record; a feed value grounds only itself; an analysis whose subject resolves to an individual natural person is refused at construction; and no analysis constitutes advice — the system reports what the records support, and the judgment of what to do about it is not a proposition any record supports.</w:t>
      </w:r>
    </w:p>
    <w:p>
      <w:pPr>
        <w:pStyle w:val="Normal"/>
        <w:bidi w:val="0"/>
        <w:spacing w:before="60" w:after="20"/>
        <w:jc w:val="start"/>
        <w:rPr>
          <w:rFonts w:hint="eastAsia"/>
        </w:rPr>
      </w:pPr>
      <w:r>
        <w:rPr>
          <w:rFonts w:ascii="Times New Roman" w:hAnsi="Times New Roman"/>
          <w:b/>
          <w:color w:val="1A2235"/>
        </w:rPr>
        <w:t xml:space="preserve">Defined Agents </w:t>
      </w:r>
    </w:p>
    <w:p>
      <w:pPr>
        <w:pStyle w:val="Normal"/>
        <w:bidi w:val="0"/>
        <w:spacing w:before="0" w:after="60"/>
        <w:jc w:val="start"/>
        <w:rPr>
          <w:rFonts w:hint="eastAsia"/>
        </w:rPr>
      </w:pPr>
      <w:r>
        <w:rPr>
          <w:rFonts w:ascii="Times New Roman" w:hAnsi="Times New Roman"/>
        </w:rPr>
        <w:t>A defined agent is a bounded program registered with a complete definition and executed on a schedule or upon a trigger. It is distinguished from an agent framework in the ordinary sense, in which a model decomposes a task at execution time: here the sequence is fixed at registration and is inspectable before anything executes. Registration requires a purpose and its boundary, an operational function with its input and output types and error handling, a dataset access declaration, runtime parameters, and a lifecycle bound, a definition omitting any of these being refused rather than accepted with a default supplied, because a default supplied for an unstated boundary is a boundary nobody chose. An agent’s declared capability is bounded above by that of the identity registering it, narrows when that identity’s entitlement narrows, and does not accumulate across executions; its operational function is compiled into the bounded, non-Turing-complete program representation, so its behaviour is auditable in advance rather than only in retrospect. An output following necessarily from admitted records is admissible as a record marked derived; an inductive or abductive output is emitted in a proposed state and transitions to validated only upon a confirmation recorded against a named human, so an agent cannot enlarge the knowledge store with conclusions nobody approved, however many times it runs and however confident its reasoning. Each execution writes a queryable decision trace, and an agent’s confident report never substitutes for a person’s judgment: an agent cannot approve its own proposal, cannot approve another agent’s, and cannot discharge a requirement for a named human by reporting that a requirement was met.</w:t>
      </w:r>
    </w:p>
    <w:p>
      <w:pPr>
        <w:pStyle w:val="Normal"/>
        <w:bidi w:val="0"/>
        <w:spacing w:before="0" w:after="60"/>
        <w:jc w:val="start"/>
        <w:rPr>
          <w:rFonts w:hint="eastAsia"/>
        </w:rPr>
      </w:pPr>
      <w:r>
        <w:rPr>
          <w:rFonts w:ascii="Times New Roman" w:hAnsi="Times New Roman"/>
          <w:bCs/>
        </w:rPr>
        <w:t>QueryBook’s defined agents differ fundamentally from standard LLM agents, in which a model decomposes a task at execution time and controls are imposed on top of the software after the fact. Here the control is the architecture rather than an overlay. An agent’s authority is computed at each individual action as the intersection of its declared definition and its commissioner’s current entitlement, so it can never exceed what its commissioner can authorize at that moment and it accumulates no authority across runs; its operational function is compiled to a bounded, non-Turing-complete program inspectable before anything executes; unconditional propagation blocks — network discovery, credential</w:t>
      </w:r>
      <w:r>
        <w:rPr>
          <w:rFonts w:ascii="Times New Roman" w:hAnsi="Times New Roman"/>
          <w:b/>
        </w:rPr>
        <w:t xml:space="preserve"> </w:t>
      </w:r>
      <w:r>
        <w:rPr>
          <w:rFonts w:ascii="Times New Roman" w:hAnsi="Times New Roman"/>
          <w:bCs/>
        </w:rPr>
        <w:t>enumeration and export, remote code execution,</w:t>
      </w:r>
      <w:r>
        <w:rPr>
          <w:rFonts w:ascii="Times New Roman" w:hAnsi="Times New Roman"/>
          <w:b/>
        </w:rPr>
        <w:t xml:space="preserve"> </w:t>
      </w:r>
      <w:r>
        <w:rPr>
          <w:rFonts w:ascii="Times New Roman" w:hAnsi="Times New Roman"/>
          <w:bCs/>
        </w:rPr>
        <w:t>package publishing, and outbound agent spawning — are denied by default and a violation transitions the agent to a quarantined state regardless of any other signal; every human-approval gate is Default-on-Deny, so a timeout denies rather than approves; and an inductive or abductive conclusion an agent produces enters a proposed state that only a named human can transition to validated. The result is anti-rogue control by construction: where a standard LLM agent’s guardrails are prompts and wrappers that a jailbreak or an injection can slip, QueryBook’s limits hold whether or not the underlying model is compromised, because a privileged action never routes through the model at all. QueryBook can accordingly substitute its own governed agent capability for an LLM’s native agents to eliminate the rogue and unintended autonomous activity witnessed in current LLM agent products.</w:t>
      </w:r>
    </w:p>
    <w:p>
      <w:pPr>
        <w:pStyle w:val="Normal"/>
        <w:bidi w:val="0"/>
        <w:spacing w:before="60" w:after="20"/>
        <w:jc w:val="start"/>
        <w:rPr>
          <w:rFonts w:hint="eastAsia"/>
        </w:rPr>
      </w:pPr>
      <w:r>
        <w:rPr>
          <w:rFonts w:ascii="Times New Roman" w:hAnsi="Times New Roman"/>
          <w:b/>
          <w:color w:val="1A2235"/>
        </w:rPr>
        <w:t>Summary Chart: QueryBook’s Progressive Cognitive Architecture</w:t>
      </w:r>
    </w:p>
    <w:p>
      <w:pPr>
        <w:pStyle w:val="Normal"/>
        <w:bidi w:val="0"/>
        <w:spacing w:before="0" w:after="60"/>
        <w:jc w:val="start"/>
        <w:rPr>
          <w:rFonts w:hint="eastAsia"/>
        </w:rPr>
      </w:pPr>
      <w:r>
        <w:rPr>
          <w:rFonts w:ascii="Times New Roman" w:hAnsi="Times New Roman"/>
        </w:rPr>
        <w:t>QueryBook’s cognitive abilities build in four progressive levels, each constructed on top of the level beneath it. Level One is the deterministic substrate; Level Two builds conceptual understanding upon it; Level Three integrates reasoning, prediction, and cross-domain synthesis; and Level Four adds governed self-evolution. The chart below lists, under each level, the layers, engines, and processes contributing to that level, the function each performs, and the advancement each provides.</w:t>
      </w:r>
    </w:p>
    <w:p>
      <w:pPr>
        <w:pStyle w:val="Normal"/>
        <w:bidi w:val="0"/>
        <w:spacing w:before="60" w:after="20"/>
        <w:jc w:val="start"/>
        <w:rPr>
          <w:rFonts w:hint="eastAsia"/>
        </w:rPr>
      </w:pPr>
      <w:r>
        <w:rPr>
          <w:rFonts w:hint="eastAsia"/>
        </w:rPr>
      </w:r>
    </w:p>
    <w:p>
      <w:pPr>
        <w:pStyle w:val="Normal"/>
        <w:bidi w:val="0"/>
        <w:spacing w:before="0" w:after="20"/>
        <w:jc w:val="start"/>
        <w:rPr>
          <w:rFonts w:hint="eastAsia"/>
        </w:rPr>
      </w:pPr>
      <w:r>
        <w:rPr>
          <w:rFonts w:ascii="Times New Roman" w:hAnsi="Times New Roman"/>
          <w:b/>
          <w:color w:val="1A2235"/>
        </w:rPr>
        <w:t>Level One — Core Technology: Fact Unit Deterministic Reasoning</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Fact Unit Architecture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Stores atomic, provenance-tracked, language-independent meaning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verifiable grounding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Neuromorphic Cognitive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Stabilizes retrieval through deterministic convergence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one best-supported interpretation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Provenance Ledger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Records every derivation in a signed, tamper-evident chain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third-party verification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Evidence-Pair Confidence Model</w:t>
            </w:r>
          </w:p>
        </w:tc>
        <w:tc>
          <w:tcPr>
            <w:tcW w:w="3212" w:type="dxa"/>
            <w:tcBorders/>
          </w:tcPr>
          <w:p>
            <w:pPr>
              <w:pStyle w:val="Normal"/>
              <w:bidi w:val="0"/>
              <w:jc w:val="start"/>
              <w:rPr>
                <w:rFonts w:hint="eastAsia"/>
              </w:rPr>
            </w:pPr>
            <w:r>
              <w:rPr>
                <w:rFonts w:eastAsia="MS Mincho" w:ascii="Times New Roman" w:hAnsi="Times New Roman"/>
                <w:kern w:val="0"/>
                <w:lang w:eastAsia="en-US" w:bidi="ar-SA"/>
              </w:rPr>
              <w:t>Accumulates evidence for and against, weighted by source diversity</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calibrated, revisable belief</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Ontology Mesh</w:t>
            </w:r>
          </w:p>
        </w:tc>
        <w:tc>
          <w:tcPr>
            <w:tcW w:w="3212" w:type="dxa"/>
            <w:tcBorders/>
          </w:tcPr>
          <w:p>
            <w:pPr>
              <w:pStyle w:val="Normal"/>
              <w:bidi w:val="0"/>
              <w:jc w:val="start"/>
              <w:rPr>
                <w:rFonts w:hint="eastAsia"/>
              </w:rPr>
            </w:pPr>
            <w:r>
              <w:rPr>
                <w:rFonts w:eastAsia="MS Mincho" w:ascii="Times New Roman" w:hAnsi="Times New Roman"/>
                <w:kern w:val="0"/>
                <w:lang w:eastAsia="en-US" w:bidi="ar-SA"/>
              </w:rPr>
              <w:t>Governs concept and predicate identity across the graph</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consistent cross-domain vocabulary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Context Lock</w:t>
            </w:r>
          </w:p>
        </w:tc>
        <w:tc>
          <w:tcPr>
            <w:tcW w:w="3212" w:type="dxa"/>
            <w:tcBorders/>
          </w:tcPr>
          <w:p>
            <w:pPr>
              <w:pStyle w:val="Normal"/>
              <w:bidi w:val="0"/>
              <w:jc w:val="start"/>
              <w:rPr>
                <w:rFonts w:hint="eastAsia"/>
              </w:rPr>
            </w:pPr>
            <w:r>
              <w:rPr>
                <w:rFonts w:eastAsia="MS Mincho" w:ascii="Times New Roman" w:hAnsi="Times New Roman"/>
                <w:kern w:val="0"/>
                <w:lang w:eastAsia="en-US" w:bidi="ar-SA"/>
              </w:rPr>
              <w:t>Enumerates the dimensions over which determinism is asserted</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testable reproducibility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Prime Directive (Domain 0)</w:t>
            </w:r>
          </w:p>
        </w:tc>
        <w:tc>
          <w:tcPr>
            <w:tcW w:w="3212" w:type="dxa"/>
            <w:tcBorders/>
          </w:tcPr>
          <w:p>
            <w:pPr>
              <w:pStyle w:val="Normal"/>
              <w:bidi w:val="0"/>
              <w:jc w:val="start"/>
              <w:rPr>
                <w:rFonts w:hint="eastAsia"/>
              </w:rPr>
            </w:pPr>
            <w:r>
              <w:rPr>
                <w:rFonts w:eastAsia="MS Mincho" w:ascii="Times New Roman" w:hAnsi="Times New Roman"/>
                <w:kern w:val="0"/>
                <w:lang w:eastAsia="en-US" w:bidi="ar-SA"/>
              </w:rPr>
              <w:t>Governs every subsystem without exception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architectural safety</w:t>
            </w:r>
          </w:p>
        </w:tc>
      </w:tr>
    </w:tbl>
    <w:p>
      <w:pPr>
        <w:pStyle w:val="Normal"/>
        <w:bidi w:val="0"/>
        <w:spacing w:before="0" w:after="60"/>
        <w:jc w:val="start"/>
        <w:rPr>
          <w:rFonts w:hint="eastAsia"/>
        </w:rPr>
      </w:pPr>
      <w:r>
        <w:rPr>
          <w:rFonts w:ascii="Times New Roman" w:hAnsi="Times New Roman"/>
        </w:rPr>
        <w:t>Outcome: every answer is deterministic, grounded, and verifiable — the substrate every higher level stands on.</w:t>
      </w:r>
    </w:p>
    <w:p>
      <w:pPr>
        <w:pStyle w:val="Normal"/>
        <w:bidi w:val="0"/>
        <w:spacing w:before="60" w:after="20"/>
        <w:jc w:val="start"/>
        <w:rPr>
          <w:rFonts w:hint="eastAsia"/>
        </w:rPr>
      </w:pPr>
      <w:r>
        <w:rPr>
          <w:rFonts w:ascii="Times New Roman" w:hAnsi="Times New Roman"/>
          <w:b/>
          <w:color w:val="1A2235"/>
        </w:rPr>
        <w:t>Level Two — Conceptual AI: The World-View Perspective, Built on Level One</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2"/>
        <w:gridCol w:w="3213"/>
        <w:gridCol w:w="3213"/>
      </w:tblGrid>
      <w:tr>
        <w:trPr/>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World-View Model</w:t>
            </w:r>
          </w:p>
        </w:tc>
        <w:tc>
          <w:tcPr>
            <w:tcW w:w="3213" w:type="dxa"/>
            <w:tcBorders/>
          </w:tcPr>
          <w:p>
            <w:pPr>
              <w:pStyle w:val="Normal"/>
              <w:bidi w:val="0"/>
              <w:jc w:val="start"/>
              <w:rPr>
                <w:rFonts w:hint="eastAsia"/>
              </w:rPr>
            </w:pPr>
            <w:r>
              <w:rPr>
                <w:rFonts w:eastAsia="MS Mincho" w:ascii="Times New Roman" w:hAnsi="Times New Roman"/>
                <w:kern w:val="0"/>
                <w:lang w:eastAsia="en-US" w:bidi="ar-SA"/>
              </w:rPr>
              <w:t>Builds causal, spatial, and physical understanding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Adds physics-like reasoning</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Conceptual Memory (World Brain concept nodes)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Stores abstract concepts and schemas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concept formation</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Skill Inventory Layer</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Encodes procedural knowledge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action learning</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Noise Elimination Process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Removes redundant episodes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concept compression</w:t>
            </w:r>
          </w:p>
        </w:tc>
      </w:tr>
      <w:tr>
        <w:trPr/>
        <w:tc>
          <w:tcPr>
            <w:tcW w:w="3212" w:type="dxa"/>
            <w:tcBorders/>
          </w:tcPr>
          <w:p>
            <w:pPr>
              <w:pStyle w:val="Normal"/>
              <w:bidi w:val="0"/>
              <w:jc w:val="start"/>
              <w:rPr>
                <w:rFonts w:hint="eastAsia"/>
              </w:rPr>
            </w:pPr>
            <w:r>
              <w:rPr>
                <w:rFonts w:eastAsia="MS Mincho" w:ascii="Times New Roman" w:hAnsi="Times New Roman"/>
                <w:kern w:val="0"/>
                <w:lang w:eastAsia="en-US" w:bidi="ar-SA"/>
              </w:rPr>
              <w:t>Multimodal Ingestion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Converts sensory experience across eight modalities into one substrate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perception-first learning</w:t>
            </w:r>
          </w:p>
        </w:tc>
      </w:tr>
    </w:tbl>
    <w:p>
      <w:pPr>
        <w:pStyle w:val="Normal"/>
        <w:bidi w:val="0"/>
        <w:spacing w:before="0" w:after="60"/>
        <w:jc w:val="start"/>
        <w:rPr>
          <w:rFonts w:hint="eastAsia"/>
        </w:rPr>
      </w:pPr>
      <w:r>
        <w:rPr>
          <w:rFonts w:ascii="Times New Roman" w:hAnsi="Times New Roman"/>
        </w:rPr>
        <w:t>Outcome: QueryBook now learns concepts, not examples — the first step toward cognition.</w:t>
      </w:r>
    </w:p>
    <w:p>
      <w:pPr>
        <w:pStyle w:val="Normal"/>
        <w:bidi w:val="0"/>
        <w:spacing w:before="60" w:after="20"/>
        <w:jc w:val="start"/>
        <w:rPr>
          <w:rFonts w:hint="eastAsia"/>
        </w:rPr>
      </w:pPr>
      <w:r>
        <w:rPr>
          <w:rFonts w:ascii="Times New Roman" w:hAnsi="Times New Roman"/>
          <w:b/>
          <w:color w:val="1A2235"/>
        </w:rPr>
        <w:t>Level Three — Integrative Intelligence</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Perspective Modeling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Models other minds and intent</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empathy and social reasoning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Self-Model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Tracks its own knowledge and limits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introspection and self-correction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Analogy Engine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Maps structure across domains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creativity and generalization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Predictive Cognitive Architecture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Forecasts outcomes across fifteen coordinated prediction mechanisms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anticipation and planning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Neuro-Symbolic Integration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Merges neural-style perception with symbolic reasoning</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unified cognition</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Hypergraph Reasoning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Connects multi-domain concepts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cross-domain synthesis</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Concept Compression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Performs noise elimination and abstraction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efficient learning</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Baconian Reasoning and the Feedback Loop</w:t>
            </w:r>
          </w:p>
        </w:tc>
        <w:tc>
          <w:tcPr>
            <w:tcW w:w="3212" w:type="dxa"/>
            <w:tcBorders/>
          </w:tcPr>
          <w:p>
            <w:pPr>
              <w:pStyle w:val="Normal"/>
              <w:bidi w:val="0"/>
              <w:jc w:val="start"/>
              <w:rPr>
                <w:rFonts w:hint="eastAsia"/>
              </w:rPr>
            </w:pPr>
            <w:r>
              <w:rPr>
                <w:rFonts w:eastAsia="MS Mincho" w:ascii="Times New Roman" w:hAnsi="Times New Roman"/>
                <w:kern w:val="0"/>
                <w:lang w:eastAsia="en-US" w:bidi="ar-SA"/>
              </w:rPr>
              <w:t>Admits outcomes and empirical observation as evidence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adaptive, empirical intelligence</w:t>
            </w:r>
          </w:p>
        </w:tc>
      </w:tr>
    </w:tbl>
    <w:p>
      <w:pPr>
        <w:pStyle w:val="Normal"/>
        <w:bidi w:val="0"/>
        <w:spacing w:before="0" w:after="60"/>
        <w:jc w:val="start"/>
        <w:rPr>
          <w:rFonts w:hint="eastAsia"/>
        </w:rPr>
      </w:pPr>
      <w:r>
        <w:rPr>
          <w:rFonts w:ascii="Times New Roman" w:hAnsi="Times New Roman"/>
        </w:rPr>
        <w:t>Outcome: QueryBook reasons, predicts, adapts, and generalizes across domains — the hallmark of general cognition.</w:t>
      </w:r>
    </w:p>
    <w:p>
      <w:pPr>
        <w:pStyle w:val="Normal"/>
        <w:bidi w:val="0"/>
        <w:spacing w:before="60" w:after="20"/>
        <w:jc w:val="start"/>
        <w:rPr>
          <w:rFonts w:hint="eastAsia"/>
        </w:rPr>
      </w:pPr>
      <w:r>
        <w:rPr>
          <w:rFonts w:ascii="Times New Roman" w:hAnsi="Times New Roman"/>
          <w:b/>
          <w:color w:val="1A2235"/>
        </w:rPr>
        <w:t>Level Four — Autonomous Cognitive Evolution</w:t>
      </w:r>
    </w:p>
    <w:tbl>
      <w:tblPr>
        <w:tblW w:w="9638"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213"/>
        <w:gridCol w:w="3212"/>
        <w:gridCol w:w="3213"/>
      </w:tblGrid>
      <w:tr>
        <w:trPr/>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Subsystem</w:t>
            </w:r>
          </w:p>
        </w:tc>
        <w:tc>
          <w:tcPr>
            <w:tcW w:w="3212"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Function</w:t>
            </w:r>
          </w:p>
        </w:tc>
        <w:tc>
          <w:tcPr>
            <w:tcW w:w="3213" w:type="dxa"/>
            <w:tcBorders/>
            <w:shd w:color="auto" w:fill="1A2235" w:val="clear"/>
          </w:tcPr>
          <w:p>
            <w:pPr>
              <w:pStyle w:val="Normal"/>
              <w:bidi w:val="0"/>
              <w:jc w:val="start"/>
              <w:rPr>
                <w:rFonts w:hint="eastAsia"/>
              </w:rPr>
            </w:pPr>
            <w:r>
              <w:rPr>
                <w:rFonts w:eastAsia="MS Mincho" w:ascii="Times New Roman" w:hAnsi="Times New Roman"/>
                <w:b/>
                <w:color w:val="FFFFFF"/>
                <w:kern w:val="0"/>
                <w:lang w:eastAsia="en-US" w:bidi="ar-SA"/>
              </w:rPr>
              <w:t>Advancement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Meta-Learning Layer</w:t>
            </w:r>
          </w:p>
        </w:tc>
        <w:tc>
          <w:tcPr>
            <w:tcW w:w="3212" w:type="dxa"/>
            <w:tcBorders/>
          </w:tcPr>
          <w:p>
            <w:pPr>
              <w:pStyle w:val="Normal"/>
              <w:bidi w:val="0"/>
              <w:jc w:val="start"/>
              <w:rPr>
                <w:rFonts w:hint="eastAsia"/>
              </w:rPr>
            </w:pPr>
            <w:r>
              <w:rPr>
                <w:rFonts w:eastAsia="MS Mincho" w:ascii="Times New Roman" w:hAnsi="Times New Roman"/>
                <w:kern w:val="0"/>
                <w:lang w:eastAsia="en-US" w:bidi="ar-SA"/>
              </w:rPr>
              <w:t>Learns how to learn</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self-improvement</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Memory Consolidation Cycle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Refines and compresses concepts over time</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long-term stability</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Adaptive Schema Engine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Evolves new reasoning patterns</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creative intelligence</w:t>
            </w:r>
          </w:p>
        </w:tc>
      </w:tr>
      <w:tr>
        <w:trPr/>
        <w:tc>
          <w:tcPr>
            <w:tcW w:w="3213" w:type="dxa"/>
            <w:tcBorders/>
          </w:tcPr>
          <w:p>
            <w:pPr>
              <w:pStyle w:val="Normal"/>
              <w:bidi w:val="0"/>
              <w:jc w:val="start"/>
              <w:rPr>
                <w:rFonts w:hint="eastAsia"/>
              </w:rPr>
            </w:pPr>
            <w:r>
              <w:rPr>
                <w:rFonts w:eastAsia="MS Mincho" w:ascii="Times New Roman" w:hAnsi="Times New Roman"/>
                <w:kern w:val="0"/>
                <w:lang w:eastAsia="en-US" w:bidi="ar-SA"/>
              </w:rPr>
              <w:t>Governed Improvement Gate</w:t>
            </w:r>
          </w:p>
        </w:tc>
        <w:tc>
          <w:tcPr>
            <w:tcW w:w="3212" w:type="dxa"/>
            <w:tcBorders/>
          </w:tcPr>
          <w:p>
            <w:pPr>
              <w:pStyle w:val="Normal"/>
              <w:bidi w:val="0"/>
              <w:jc w:val="start"/>
              <w:rPr>
                <w:rFonts w:hint="eastAsia"/>
              </w:rPr>
            </w:pPr>
            <w:r>
              <w:rPr>
                <w:rFonts w:eastAsia="MS Mincho" w:ascii="Times New Roman" w:hAnsi="Times New Roman"/>
                <w:kern w:val="0"/>
                <w:lang w:eastAsia="en-US" w:bidi="ar-SA"/>
              </w:rPr>
              <w:t>Requires a named human approval for every change to the system itself</w:t>
            </w:r>
          </w:p>
        </w:tc>
        <w:tc>
          <w:tcPr>
            <w:tcW w:w="3213" w:type="dxa"/>
            <w:tcBorders/>
          </w:tcPr>
          <w:p>
            <w:pPr>
              <w:pStyle w:val="Normal"/>
              <w:bidi w:val="0"/>
              <w:jc w:val="start"/>
              <w:rPr>
                <w:rFonts w:hint="eastAsia"/>
              </w:rPr>
            </w:pPr>
            <w:r>
              <w:rPr>
                <w:rFonts w:eastAsia="MS Mincho" w:ascii="Times New Roman" w:hAnsi="Times New Roman"/>
                <w:kern w:val="0"/>
                <w:lang w:eastAsia="en-US" w:bidi="ar-SA"/>
              </w:rPr>
              <w:t>Enables safe, accountable evolution</w:t>
            </w:r>
          </w:p>
        </w:tc>
      </w:tr>
    </w:tbl>
    <w:p>
      <w:pPr>
        <w:pStyle w:val="Normal"/>
        <w:bidi w:val="0"/>
        <w:spacing w:before="0" w:after="60"/>
        <w:jc w:val="start"/>
        <w:rPr>
          <w:rFonts w:hint="eastAsia"/>
        </w:rPr>
      </w:pPr>
      <w:r>
        <w:rPr>
          <w:rFonts w:ascii="Times New Roman" w:hAnsi="Times New Roman"/>
        </w:rPr>
        <w:t>Outcome: QueryBook grows conceptually without uncontrolled self-modification — autonomous evolution that remains deployable in regulated environments.</w:t>
      </w:r>
    </w:p>
    <w:p>
      <w:pPr>
        <w:pStyle w:val="Normal"/>
        <w:bidi w:val="0"/>
        <w:spacing w:before="60" w:after="20"/>
        <w:jc w:val="start"/>
        <w:rPr>
          <w:rFonts w:hint="eastAsia"/>
        </w:rPr>
      </w:pPr>
      <w:r>
        <w:rPr>
          <w:rFonts w:ascii="Times New Roman" w:hAnsi="Times New Roman"/>
          <w:b/>
          <w:color w:val="1A2235"/>
        </w:rPr>
        <w:t>Commentary on Neuromorphic Correspondences</w:t>
      </w:r>
    </w:p>
    <w:p>
      <w:pPr>
        <w:pStyle w:val="Normal"/>
        <w:bidi w:val="0"/>
        <w:spacing w:before="0" w:after="60"/>
        <w:jc w:val="start"/>
        <w:rPr>
          <w:rFonts w:hint="eastAsia"/>
        </w:rPr>
      </w:pPr>
      <w:r>
        <w:rPr>
          <w:rFonts w:ascii="Times New Roman" w:hAnsi="Times New Roman"/>
        </w:rPr>
        <w:t>Every biological parallel in the body of this document is offered in one of two registers, and this commentary, kept separate from the text so the text reads cleanly, states which is which. Under the governing correspondence methodology, a neuromorphic correspondence is admitted as a claim only where the primary scientific publication establishing the finding is verified, the correspondence is identified in a mechanism that already exists rather than invented for it, a deterministic structural principle is extracted, and any trained or stochastic component of the source theory is excluded. A correspondence explains why a mechanism is well-founded; it does not justify the mechanism, no claim recites a correspondence as an element, and no mechanism in this system is adopted because it resembles a biological one.</w:t>
      </w:r>
    </w:p>
    <w:p>
      <w:pPr>
        <w:pStyle w:val="Normal"/>
        <w:bidi w:val="0"/>
        <w:spacing w:before="0" w:after="60"/>
        <w:jc w:val="start"/>
        <w:rPr>
          <w:rFonts w:hint="eastAsia"/>
        </w:rPr>
      </w:pPr>
      <w:r>
        <w:rPr>
          <w:rFonts w:ascii="Times New Roman" w:hAnsi="Times New Roman"/>
        </w:rPr>
        <w:t>Five correspondences are claimed under that methodology. Convergence dynamics: the retrieval-stabilization network is an attractor network in the sense of Hopfield (1982), with its capacity ceiling established by Amit, Gutfreund and Sompolinsky (1985) as a first-order phase boundary. Attentional competition: Competitive Candidate Resolution implements biased competition as identified by Desimone and Duncan (1995), with lateral inhibition among candidates and the accumulated evidence behind each candidate serving as the bias. Consolidation: the resistance of a settled concept to revision corresponds to synaptic consolidation, with the arithmetic of elastic weight consolidation as formulated by Kirkpatrick et al. (2017). Intersensory redundancy: the cross-modality confidence elevation corresponds to the finding of Bahrick and Lickliter (2000) that a property presented concurrently to two or more senses is detected earlier and more reliably. Spatial coding: spatial indexing over a hexagonal tiling corresponds to the firing structure of entorhinal grid cells reported by Hafting et al. (2005), with the retention of object identity across occlusion corresponding to object permanence as described by Piaget (1954).</w:t>
      </w:r>
    </w:p>
    <w:p>
      <w:pPr>
        <w:pStyle w:val="Normal"/>
        <w:bidi w:val="0"/>
        <w:spacing w:before="0" w:after="60"/>
        <w:jc w:val="start"/>
        <w:rPr>
          <w:rFonts w:hint="eastAsia"/>
        </w:rPr>
      </w:pPr>
      <w:r>
        <w:rPr>
          <w:rFonts w:ascii="Times New Roman" w:hAnsi="Times New Roman"/>
        </w:rPr>
        <w:t>Everything else in this document that speaks in a biological voice is plain-language analogy, deliberately outside the claimed set: the cortical-column description of the Fact Unit, the characterization of the Neuromorphic Cognitive Layer as a synthetic cortex, the likening of semantic edges to white-matter pathways, the hippocampus parallel offered for episodic simulation, the prefrontal-cortex parallel offered for cross-temporal reasoning, the reward-system counterpart offered for the motivational architecture, and the description of consolidation cycles as the system’s equivalent of sleep. These analogies are aids to understanding. The full brain-region-to-component mapping that appeared in earlier source material is deliberately not claimed, because none of its pairings rests on a primary result of the required form, and admitting weak parallels alongside verified correspondences would place the verified ones under the same doubt.</w:t>
      </w:r>
    </w:p>
    <w:p>
      <w:pPr>
        <w:pStyle w:val="Normal"/>
        <w:bidi w:val="0"/>
        <w:spacing w:before="0" w:after="60"/>
        <w:jc w:val="start"/>
        <w:rPr>
          <w:rFonts w:ascii="Times New Roman" w:hAnsi="Times New Roman"/>
        </w:rPr>
      </w:pPr>
      <w:r>
        <w:rPr>
          <w:rFonts w:ascii="Times New Roman" w:hAnsi="Times New Roman"/>
        </w:rPr>
        <w:t>A note on the projections stated in the compression, expansion, and translation discussion: those are projected advantages pending measured validation, labeled as such where they appear, and are not asserted as verified performance claims, consistent with this document’s practice of citing only claims traceable to specified mechanisms.</w:t>
      </w:r>
    </w:p>
    <w:p>
      <w:pPr>
        <w:pStyle w:val="Normal"/>
        <w:bidi w:val="0"/>
        <w:spacing w:before="60" w:after="20"/>
        <w:jc w:val="start"/>
        <w:rPr>
          <w:rFonts w:hint="eastAsia"/>
        </w:rPr>
      </w:pPr>
      <w:r>
        <w:rPr>
          <w:rFonts w:ascii="Times New Roman" w:hAnsi="Times New Roman"/>
          <w:b/>
          <w:color w:val="1A2235"/>
          <w:highlight w:val="yellow"/>
        </w:rPr>
        <w:t xml:space="preserve">Recent Enhancements: Ingestion, Certification, Agent Protection, Security Record, Interoperability, and Transport</w:t>
      </w:r>
    </w:p>
    <w:p>
      <w:pPr>
        <w:pStyle w:val="Normal"/>
        <w:bidi w:val="0"/>
        <w:spacing w:before="0" w:after="60"/>
        <w:jc w:val="start"/>
        <w:rPr>
          <w:rFonts w:ascii="Times New Roman" w:hAnsi="Times New Roman"/>
        </w:rPr>
      </w:pPr>
      <w:r>
        <w:rPr>
          <w:rFonts w:ascii="Times New Roman" w:hAnsi="Times New Roman"/>
          <w:b/>
          <w:highlight w:val="yellow"/>
        </w:rPr>
        <w:t xml:space="preserve">Open Claw ingestion (FIG. 50). </w:t>
      </w:r>
      <w:r>
        <w:rPr>
          <w:rFonts w:ascii="Times New Roman" w:hAnsi="Times New Roman"/>
          <w:highlight w:val="yellow"/>
        </w:rPr>
        <w:t xml:space="preserve">An artifact of any format (5000) is identified by content-based format detection (5010) from its leading bytes and structure rather than its file name, and archive bounds on depth, member count, size, and expansion ratio (5070) are enforced before expansion. The Artifact Segmenter (5020) divides the artifact into addressable segments carrying source locators — page, sheet and cell, slide, archive member, or time range — and an executable component is described but never executed (5025). An instruction-like content screen (5040) flags text addressed to an AI system rather than a human reader, including hidden text. The OpenClaw Interpreter (5050) converts segments into artifact-description records (5051), structured records (5052), and passages with extracted claims at reduced confidence (5053); a flagged segment becomes an untrusted record whose trust is set below the answer threshold (5060). Records are admitted to the Fact Unit store (5095) under a provenance seal (5090), and a path requested by an external agent is confined to a designated inbox (5080).</w:t>
      </w:r>
    </w:p>
    <w:p>
      <w:pPr>
        <w:pStyle w:val="Normal"/>
        <w:bidi w:val="0"/>
        <w:spacing w:before="0" w:after="60"/>
        <w:jc w:val="start"/>
        <w:rPr>
          <w:rFonts w:ascii="Times New Roman" w:hAnsi="Times New Roman"/>
        </w:rPr>
      </w:pPr>
      <w:r>
        <w:rPr>
          <w:rFonts w:ascii="Times New Roman" w:hAnsi="Times New Roman"/>
          <w:b/>
          <w:highlight w:val="yellow"/>
        </w:rPr>
        <w:t xml:space="preserve">On-chain certification (FIG. 51). </w:t>
      </w:r>
      <w:r>
        <w:rPr>
          <w:rFonts w:ascii="Times New Roman" w:hAnsi="Times New Roman"/>
          <w:highlight w:val="yellow"/>
        </w:rPr>
        <w:t xml:space="preserve">A QueryBook object (5110) already carries a local provenance seal (5100). Where an operator elects it, the object’s content hash and metadata (5120) are recorded on a public blockchain (5170) by a certificate contract (5160) of the ERC-721 type that permits one token per content hash, records predecessor and successor lineage, and supports revocation with a stated reason. Transactions are signed by an in-system transaction signer (5140) that checks its primitives against published test vectors at start-up, and a network guard (5150) restricts certification to test networks unless a money-bearing network is expressly elected. An independent verifier (5180) recomputes the content hash and reports whether a certificate exists, who holds it, and whether it is revoked or superseded; a licence check (5190) may grant a use to the holder of a current, unrevoked token. A certificate proves that a hash was certified, not that the content is true. The blockchain is a public network operated by others, the system acting as a client of it; the cryptographic integrity chain within the Fact Graph continues to require no distributed ledger or token.</w:t>
      </w:r>
    </w:p>
    <w:p>
      <w:pPr>
        <w:pStyle w:val="Normal"/>
        <w:bidi w:val="0"/>
        <w:spacing w:before="0" w:after="60"/>
        <w:jc w:val="start"/>
        <w:rPr>
          <w:rFonts w:ascii="Times New Roman" w:hAnsi="Times New Roman"/>
        </w:rPr>
      </w:pPr>
      <w:r>
        <w:rPr>
          <w:rFonts w:ascii="Times New Roman" w:hAnsi="Times New Roman"/>
          <w:b/>
          <w:highlight w:val="yellow"/>
        </w:rPr>
        <w:t xml:space="preserve">Agent protection and deception (FIG. 52). </w:t>
      </w:r>
      <w:r>
        <w:rPr>
          <w:rFonts w:ascii="Times New Roman" w:hAnsi="Times New Roman"/>
          <w:highlight w:val="yellow"/>
        </w:rPr>
        <w:t xml:space="preserve">Every call from a caller (5200) — an internal agent, an external agent, a tool server, or an HTTP client — passes an HTTP gate carrying honeypages and canary tokens (5210) and an isolation register (5260), and then the Agent Gateway (5220), which authenticates the caller by a keyed identity token within a bounded replay window and applies its role and per-agent allow-list, complementing the AI Agent Passport System. A deception check (5230) comprises honeycode (5231), reserved commands never listed to any caller; honeytokens (5232), canary credentials no legitimate process uses; tripwires (5233), reserved paths and acts such as a request to purge the security record; and honeypot agents (5234). An AI-aware firewall (5240) detects injection, secret-reveal, and role or tag tricks, and an anomaly detector (5241) detects enumeration and timing patterns. A trigger posted to the security event bus (5250) isolates the caller into a decoy environment (5270) that returns production-shaped, synthetic responses with no path to production data, while an engagement recorder (5280) records the session. Isolation is keyed to the actual connection, so a caller impersonating a legitimate agent isolates only itself; release (5261) is available only to the operator locally, through no network interface; and every decision is written to the security record (5295). In the embodiment reduced to practice the layer observes, contains, and deceives within the system’s own boundary.</w:t>
      </w:r>
    </w:p>
    <w:p>
      <w:pPr>
        <w:pStyle w:val="Normal"/>
        <w:bidi w:val="0"/>
        <w:spacing w:before="0" w:after="60"/>
        <w:jc w:val="start"/>
        <w:rPr>
          <w:rFonts w:ascii="Times New Roman" w:hAnsi="Times New Roman"/>
        </w:rPr>
      </w:pPr>
      <w:r>
        <w:rPr>
          <w:rFonts w:ascii="Times New Roman" w:hAnsi="Times New Roman"/>
          <w:b/>
          <w:highlight w:val="yellow"/>
        </w:rPr>
        <w:t xml:space="preserve">Tamper-evident security record (FIG. 53). </w:t>
      </w:r>
      <w:r>
        <w:rPr>
          <w:rFonts w:ascii="Times New Roman" w:hAnsi="Times New Roman"/>
          <w:highlight w:val="yellow"/>
        </w:rPr>
        <w:t xml:space="preserve">Each security decision (5300) is written as an append-only entry (5310) recording agent, caller, session, command, a parameter hash, the decision, and flags, with no update or delete interface. Each entry hash commits to its predecessor (5320). Every N entries and on demand, a Merkle checkpoint (5330) is created exclusively, never overwritten, signed under the deployment key, and chained to the previous checkpoint; it may be copied to a mirror on a second device (5340) and its root anchored on a public blockchain through the certificate contract of FIG. 51 (5350). A verifier (5360) recomputes every entry and root from content, never trusting a stored hash, and produces a Merkle inclusion proof per entry, and an assurance report (5370) states which protections a record possesses. The record extends, and does not replace, the post-quantum provenance ledger.</w:t>
      </w:r>
    </w:p>
    <w:p>
      <w:pPr>
        <w:pStyle w:val="Normal"/>
        <w:bidi w:val="0"/>
        <w:spacing w:before="0" w:after="60"/>
        <w:jc w:val="start"/>
        <w:rPr>
          <w:rFonts w:ascii="Times New Roman" w:hAnsi="Times New Roman"/>
        </w:rPr>
      </w:pPr>
      <w:r>
        <w:rPr>
          <w:rFonts w:ascii="Times New Roman" w:hAnsi="Times New Roman"/>
          <w:b/>
          <w:highlight w:val="yellow"/>
        </w:rPr>
        <w:t xml:space="preserve">Agent interoperability (FIG. 54). </w:t>
      </w:r>
      <w:r>
        <w:rPr>
          <w:rFonts w:ascii="Times New Roman" w:hAnsi="Times New Roman"/>
          <w:highlight w:val="yellow"/>
        </w:rPr>
        <w:t xml:space="preserve">An external AI agent (5400), for example an OpenClaw agent guided by a skill definition (5410) instructing it to cite, to report UNKNOWN, to treat ingested content as data, and to stop on isolation, reaches QueryBook through a Model Context Protocol tool server (5420) exposing a fixed set of tools — query, verify, understand, ingest, preview, ledger, certificate, and status — and never listing reserved honeycode. Each tool is mapped (5430) to a command under the agent’s registered identity and checked by the Agent Gateway (5440) against the agent’s allow-list (5450); permitted calls reach grounded handlers (5460), and an agent invoking a reserved command is presumed subverted and isolated (5470).</w:t>
      </w:r>
    </w:p>
    <w:p>
      <w:pPr>
        <w:pStyle w:val="Normal"/>
        <w:bidi w:val="0"/>
        <w:spacing w:before="0" w:after="60"/>
        <w:jc w:val="start"/>
        <w:rPr>
          <w:rFonts w:ascii="Times New Roman" w:hAnsi="Times New Roman"/>
        </w:rPr>
      </w:pPr>
      <w:r>
        <w:rPr>
          <w:rFonts w:ascii="Times New Roman" w:hAnsi="Times New Roman"/>
          <w:b/>
          <w:highlight w:val="yellow"/>
        </w:rPr>
        <w:t xml:space="preserve">Framed hybrid transport (FIG. 55). </w:t>
      </w:r>
      <w:r>
        <w:rPr>
          <w:rFonts w:ascii="Times New Roman" w:hAnsi="Times New Roman"/>
          <w:highlight w:val="yellow"/>
        </w:rPr>
        <w:t xml:space="preserve">Extending the protocol of FIG. 17, a producer node (5500) applies per-type compression (5510) — record batches by a dictionary primed with record field names, media by a standard codec left unaltered — and packs the result into frames (5520) comprising a 32-byte header (5521), metadata (5522), payload (5523), a CRC32 checksum (5524), and an optional signature (5525). Frames travel on a control lane (5530), a normal lane (5531), and a bulk lane (5532), each with its own connection, rate limit, and receipt window, so a bulk transfer cannot hold a control message or a live stream behind it. The receiver (5541) drops a frame failing plausibility, checksum, or signature checks and resynchronizes at the next marker; media is rebuilt into HLS, MPEG-DASH, or RTMP packages with a manifest check (5543), and records pass verification into the Fact Unit store (5550). The transport neither enlarges nor alters a compressed asset.</w:t>
      </w:r>
    </w:p>
    <w:p>
      <w:pPr>
        <w:pStyle w:val="Normal"/>
        <w:bidi w:val="0"/>
        <w:spacing w:before="0" w:after="60"/>
        <w:jc w:val="start"/>
        <w:rPr>
          <w:rFonts w:ascii="Times New Roman" w:hAnsi="Times New Roman"/>
        </w:rPr>
      </w:pPr>
      <w:r>
        <w:rPr>
          <w:rFonts w:ascii="Times New Roman" w:hAnsi="Times New Roman"/>
          <w:b/>
          <w:highlight w:val="yellow"/>
        </w:rPr>
        <w:t xml:space="preserve">Implementation status. </w:t>
      </w:r>
      <w:r>
        <w:rPr>
          <w:rFonts w:ascii="Times New Roman" w:hAnsi="Times New Roman"/>
          <w:highlight w:val="yellow"/>
        </w:rPr>
        <w:t xml:space="preserve">The features of FIG. 50–55 are implemented in QueryBook prototype version 9.64 and exercised by automated self-tests, including a sandboxed attack trial against the gateway and decoy and certificate minting, lineage, revocation, and verification on a local test chain; deterministic record-grounded colorization has additionally been implemented in a laboratory prototype at 1K, 4K, and 16K frame sizes.</w:t>
      </w:r>
    </w:p>
    <w:p>
      <w:pPr>
        <w:pStyle w:val="Normal"/>
        <w:bidi w:val="0"/>
        <w:spacing w:before="0" w:after="60"/>
        <w:jc w:val="start"/>
        <w:rPr>
          <w:rFonts w:ascii="Times New Roman" w:hAnsi="Times New Roman"/>
        </w:rPr>
      </w:pPr>
      <w:r>
        <w:rPr>
          <w:rFonts w:ascii="Times New Roman" w:hAnsi="Times New Roman"/>
        </w:rPr>
      </w:r>
    </w:p>
    <w:p>
      <w:pPr>
        <w:pStyle w:val="Heading2"/>
        <w:numPr>
          <w:ilvl w:val="1"/>
          <w:numId w:val="1"/>
        </w:numPr>
        <w:bidi w:val="0"/>
        <w:spacing w:before="0" w:after="120"/>
        <w:jc w:val="start"/>
        <w:rPr>
          <w:rFonts w:hint="eastAsia"/>
          <w:sz w:val="24"/>
          <w:szCs w:val="24"/>
        </w:rPr>
      </w:pPr>
      <w:bookmarkStart w:id="8" w:name="__RefHeading___Toc52152_805184229"/>
      <w:bookmarkEnd w:id="8"/>
      <w:r>
        <w:rPr>
          <w:rFonts w:ascii="Times New Roman" w:hAnsi="Times New Roman"/>
          <w:sz w:val="24"/>
          <w:szCs w:val="24"/>
        </w:rPr>
        <w:t>ARCHITECTURAL OVERVIEW</w:t>
      </w:r>
    </w:p>
    <w:p>
      <w:pPr>
        <w:pStyle w:val="Normal"/>
        <w:bidi w:val="0"/>
        <w:spacing w:before="0" w:after="120"/>
        <w:jc w:val="center"/>
        <w:rPr>
          <w:rFonts w:ascii="Times New Roman" w:hAnsi="Times New Roman"/>
          <w:b/>
          <w:color w:val="1A2235"/>
        </w:rPr>
      </w:pPr>
      <w:r>
        <w:rPr>
          <w:rFonts w:ascii="Times New Roman" w:hAnsi="Times New Roman"/>
          <w:b/>
          <w:color w:val="1A2235"/>
        </w:rPr>
      </w:r>
    </w:p>
    <w:p>
      <w:pPr>
        <w:pStyle w:val="Normal"/>
        <w:bidi w:val="0"/>
        <w:spacing w:before="0" w:after="120"/>
        <w:jc w:val="start"/>
        <w:rPr>
          <w:rFonts w:hint="eastAsia"/>
        </w:rPr>
      </w:pPr>
      <w:r>
        <w:rPr>
          <w:rFonts w:ascii="Times New Roman" w:hAnsi="Times New Roman"/>
          <w:b/>
          <w:color w:val="1A2235"/>
        </w:rPr>
        <w:t>THE PRIME DIRECTIVE — DOMAIN 0 (FOUNDATIONAL MANDATE)</w:t>
      </w:r>
    </w:p>
    <w:p>
      <w:pPr>
        <w:pStyle w:val="Normal"/>
        <w:bidi w:val="0"/>
        <w:spacing w:before="0" w:after="120"/>
        <w:jc w:val="both"/>
        <w:rPr>
          <w:rFonts w:hint="eastAsia"/>
        </w:rPr>
      </w:pPr>
      <w:r>
        <w:rPr>
          <w:rFonts w:ascii="Times New Roman" w:hAnsi="Times New Roman"/>
          <w:b/>
          <w:color w:val="8C3030"/>
        </w:rPr>
        <w:t>The Prime Directive states: the system shall not, through any query answer, commerce signal, AI-generated application, Fact Graph content, or automated or scheduled output, cause or materially contribute to harm to a person, a group of people, or the operator's organization, where that harm could reasonably have been avoided without withholding information the requester is otherwise entitled to receive.</w:t>
      </w:r>
    </w:p>
    <w:p>
      <w:pPr>
        <w:pStyle w:val="Normal"/>
        <w:bidi w:val="0"/>
        <w:spacing w:before="0" w:after="120"/>
        <w:jc w:val="both"/>
        <w:rPr>
          <w:rFonts w:hint="eastAsia"/>
        </w:rPr>
      </w:pPr>
      <w:r>
        <w:rPr>
          <w:rFonts w:ascii="Times New Roman" w:hAnsi="Times New Roman"/>
        </w:rPr>
        <w:t>A companion rule, the Without-Information Rule, prohibits withholding information a requester is entitled to receive as a means of avoiding a harm determination; the system may not resolve a difficult case by silently omitting the answer.</w:t>
      </w:r>
    </w:p>
    <w:p>
      <w:pPr>
        <w:pStyle w:val="Normal"/>
        <w:bidi w:val="0"/>
        <w:spacing w:before="0" w:after="120"/>
        <w:jc w:val="both"/>
        <w:rPr>
          <w:rFonts w:hint="eastAsia"/>
        </w:rPr>
      </w:pPr>
      <w:r>
        <w:rPr>
          <w:rFonts w:ascii="Times New Roman" w:hAnsi="Times New Roman"/>
        </w:rPr>
        <w:t>The Prime Directive is Domain 0, a vertical governance domain that penetrates every horizontal domain and owns the safety enforcement plane, the inter-domain transfer matrix, the path-separation invariant, and the scheduling-priority ordering. It is evaluated at mandatory, synchronous gates before any operation proceeds; a governance failure halts the operation rather than permitting it to proceed unevaluated; it holds the highest scheduling priority without exception. It is a member of the permanently-excluded set, and the transfer matrix denies the platform-governance domain any route into Domain 0, so the mechanism that changes the system cannot change the Prime Directive, and the exclusion protecting it is never administered by the party it excludes.</w:t>
      </w:r>
    </w:p>
    <w:p>
      <w:pPr>
        <w:pStyle w:val="Normal"/>
        <w:bidi w:val="0"/>
        <w:jc w:val="start"/>
        <w:rPr>
          <w:rFonts w:hint="eastAsia"/>
        </w:rPr>
      </w:pPr>
      <w:r>
        <w:rPr>
          <w:rFonts w:hint="eastAsia"/>
        </w:rPr>
      </w:r>
    </w:p>
    <w:p>
      <w:pPr>
        <w:pStyle w:val="Normal"/>
        <w:bidi w:val="0"/>
        <w:jc w:val="both"/>
        <w:rPr>
          <w:rFonts w:hint="eastAsia"/>
        </w:rPr>
      </w:pPr>
      <w:r>
        <w:rPr/>
        <w:t>Referring generally to the drawings, the system is organized as a fact-centric cognitive engine (100) in which a single knowledge primitive, termed a Fact Unit, is created, stored, related, reasoned over, and rendered under a partitioned authority model. The following overview describes the principal components of the architecture and the manner in which they cooperate; the detailed operation of each component is set forth in the Detailed Description that follows, and the present overview is not intended to limit the claims.</w:t>
      </w:r>
    </w:p>
    <w:p>
      <w:pPr>
        <w:pStyle w:val="Normal"/>
        <w:bidi w:val="0"/>
        <w:jc w:val="both"/>
        <w:rPr>
          <w:rFonts w:hint="eastAsia"/>
        </w:rPr>
      </w:pPr>
      <w:r>
        <w:rPr/>
        <w:t>The architecture rests on five organizing principles. First, operation is deterministic: for a given corpus state and a given configuration, the engine produces the same result, and equivalence between two executions is asserted only where a context key computed over an enumerated set of locked dimensions is identical. Second, guarantees are carried structurally rather than by policy: a prohibited operation has no route through the architecture rather than a route guarded by a test that could be omitted. Third, each Fact Unit encodes exactly one semantic assertion, so a response may cite the specific assertion relied upon rather than a containing passage. Fourth, exactly one authority boundary, termed a domain, owns each decision, and no consensus mechanism among domains exists. Fifth, provenance is recorded by construction, such that output is traceable to the verified records from which it was derived.</w:t>
      </w:r>
    </w:p>
    <w:p>
      <w:pPr>
        <w:pStyle w:val="Normal"/>
        <w:bidi w:val="0"/>
        <w:spacing w:before="160" w:after="80"/>
        <w:jc w:val="start"/>
        <w:rPr>
          <w:rFonts w:hint="eastAsia"/>
        </w:rPr>
      </w:pPr>
      <w:r>
        <w:rPr>
          <w:b/>
        </w:rPr>
        <w:t>The knowledge primitive</w:t>
      </w:r>
    </w:p>
    <w:p>
      <w:pPr>
        <w:pStyle w:val="Normal"/>
        <w:bidi w:val="0"/>
        <w:jc w:val="both"/>
        <w:rPr>
          <w:rFonts w:hint="eastAsia"/>
        </w:rPr>
      </w:pPr>
      <w:r>
        <w:rPr/>
        <w:t>The fundamental unit of knowledge is a Fact Unit, a discrete, atomic, provenance-tracked record identified by a Fact Unit Identifier that is derived deterministically from the record's content, source, and ingestion time. Each Fact Unit carries a payload of one or more fact atoms (120), a provenance reference (114) into an append-only provenance chain, a temporal anchor (116), a confidence value, a safety classification, a language-independent semantic fingerprint, and an embedding representation. A Fact Unit is immutable once created; a revision produces a new, linked version rather than altering an existing record. The confidence value is maintained as a pair of accumulated evidence parameters, one supporting and one contradicting the assertion, from which a reported confidence, an evidential weight, a credible interval, and a propagation precision are derived, whereby two records reporting an identical confidence upon differing quantities or varieties of evidence remain distinguishable.</w:t>
      </w:r>
    </w:p>
    <w:p>
      <w:pPr>
        <w:pStyle w:val="Normal"/>
        <w:bidi w:val="0"/>
        <w:jc w:val="both"/>
        <w:rPr>
          <w:rFonts w:hint="eastAsia"/>
        </w:rPr>
      </w:pPr>
      <w:r>
        <w:rPr/>
        <w:t>In certain embodiments the record is further structured to render its reasoning replayable and its meaning portable. The uncertainty of a record is decomposed into an epistemic component and an aleatory component, each carrying sub-parameters, the decomposition supplying a stopping condition for the evidence-accumulation loop. An explicit assertion-polarity field participates in the semantic fingerprint, whereby an assertion and its negation are distinguished. An assertion of more than two participants is represented as a native n-ary structure under a single identifier, a single fingerprint, and a single evidence pair. An applicability-scope field, carried on the record, constitutes a record-side complement of the context lock and defines scope-aware conflict slots against which contradictions are evaluated. An immutable adjustment-history layer records each adjustment to the confidence value, whereby the confidence value is deterministically replayable from the record content and an observation stream. A cryptographic integrity chain hash-links each superseding version to its predecessor, without a distributed ledger, token, or ownership-identity node.</w:t>
      </w:r>
    </w:p>
    <w:p>
      <w:pPr>
        <w:pStyle w:val="Normal"/>
        <w:bidi w:val="0"/>
        <w:jc w:val="both"/>
        <w:rPr>
          <w:rFonts w:hint="eastAsia"/>
        </w:rPr>
      </w:pPr>
      <w:r>
        <w:rPr/>
        <w:t>Each record is expressed in a formal, language-independent assertion notation, termed the Fact Unit Language, whose vocabulary is a governed predicate catalogue, whose grammar is the record schema, and whose identity function is the semantic fingerprint, such that two statements asserting the same proposition in different natural languages resolve to the same statement and a candidate not conforming to the notation is refused at admission.</w:t>
      </w:r>
    </w:p>
    <w:p>
      <w:pPr>
        <w:pStyle w:val="Normal"/>
        <w:bidi w:val="0"/>
        <w:spacing w:before="160" w:after="80"/>
        <w:jc w:val="start"/>
        <w:rPr>
          <w:rFonts w:hint="eastAsia"/>
        </w:rPr>
      </w:pPr>
      <w:r>
        <w:rPr>
          <w:b/>
        </w:rPr>
        <w:t>The substrate and its database-neutral boundary</w:t>
      </w:r>
    </w:p>
    <w:p>
      <w:pPr>
        <w:pStyle w:val="Normal"/>
        <w:bidi w:val="0"/>
        <w:jc w:val="both"/>
        <w:rPr>
          <w:rFonts w:hint="eastAsia"/>
        </w:rPr>
      </w:pPr>
      <w:r>
        <w:rPr/>
        <w:t>Fact Units are held in a knowledge substrate (100) presented as three coordinated views over one underlying structure: a fact graph of typed relations among Fact Units; an ontology mesh governing the concepts and predicates and their permissible relationships; and a provenance ledger (106) constituted as an append-only directed acyclic graph in which each consequential operation is recorded under a keyed checksum sufficient to detect any bypass of the safety evaluation. Serialized Fact Units are expressed in a canonical compact encoding from which resynchronization to the next valid frame is possible following corrupted data, and records are tiered across storage by access recency and frequency and indexed for both similarity and exact-match retrieval.</w:t>
      </w:r>
    </w:p>
    <w:p>
      <w:pPr>
        <w:pStyle w:val="Normal"/>
        <w:bidi w:val="0"/>
        <w:jc w:val="both"/>
        <w:rPr>
          <w:rFonts w:hint="eastAsia"/>
        </w:rPr>
      </w:pPr>
      <w:r>
        <w:rPr/>
        <w:t>In certain embodiments the canonical compact encoding is the record's own, self-describing at-rest and wire form, fused to the record rather than to any store. A host database, repository, or reader platform holds the encoded record as an opaque value that it does not parse, index, or interpret, an obligation of the host store being to accept and return bytes, whereby database neutrality is preserved and no proprietary format or query engine is imposed on the store. A query is expressed internally over the record and translated at an adapter into a native query language of the host store, the host store never receiving the internal query form and thereby serving as a source and repository and never as the reasoning engine. The integrity hash chain, the in-record safety classification and access-control list, and an elected zero-knowledge encryption travel with the encoded record across a storage boundary, whereby the host store can neither read, reorder, nor leak a meaning of the record.</w:t>
      </w:r>
    </w:p>
    <w:p>
      <w:pPr>
        <w:pStyle w:val="Normal"/>
        <w:bidi w:val="0"/>
        <w:spacing w:before="160" w:after="80"/>
        <w:jc w:val="start"/>
        <w:rPr>
          <w:rFonts w:hint="eastAsia"/>
        </w:rPr>
      </w:pPr>
      <w:r>
        <w:rPr>
          <w:b/>
        </w:rPr>
        <w:t>The domain-and-layer organization</w:t>
      </w:r>
    </w:p>
    <w:p>
      <w:pPr>
        <w:pStyle w:val="Normal"/>
        <w:bidi w:val="0"/>
        <w:jc w:val="both"/>
        <w:rPr>
          <w:rFonts w:hint="eastAsia"/>
        </w:rPr>
      </w:pPr>
      <w:r>
        <w:rPr/>
        <w:t>The engine is partitioned into fifteen domains, one vertical and fourteen horizontal, grouped into five functional layers. A domain is an authority boundary and not a deployment unit; a layer carries no authority of its own. The vertical domain is a governance domain (112) that holds a prime directive of harm prevention of universal scope and owns the safety enforcement plane, an inter-domain transfer matrix, a path-separation invariant, a scheduling-priority ordering, and a permanently-excluded set of subsystems that no internally-generated proposal may modify.</w:t>
      </w:r>
    </w:p>
    <w:p>
      <w:pPr>
        <w:pStyle w:val="Normal"/>
        <w:bidi w:val="0"/>
        <w:jc w:val="both"/>
        <w:rPr>
          <w:rFonts w:hint="eastAsia"/>
        </w:rPr>
      </w:pPr>
      <w:r>
        <w:rPr/>
        <w:t>The horizontal domains are grouped as follows. A knowledge layer comprises an ingestion and sensory-intake domain (102), which converts external content in any modality into candidate records and is the sole location of any trained component; a knowledge-substrate domain, which holds custody of records and lineage and is the only domain with write authority over the store; an ontology and conceptual-structure domain, which determines what concepts exist and how they relate and is writable only by itself; and a world-model and perception domain, which maintains how the world behaves, held distinctly from what sources have asserted, includes equipment control, and further holds a skill inventory of procedural knowledge as provenance-tracked procedural concept models formed from repeated observation, said models informing scenario simulation and equipment-control command compilation while never themselves emitting a command. A reasoning layer comprises a retrieval-and-response domain, which answers a bounded query along the latency-critical path; an inference, prediction and calibration domain, in which deduction may write to the store while induction may not; and a grounded-expression domain (110), which renders output under a vocabulary constraint and holds neither retrieval authority nor a write path. An experience layer comprises an access, rights and retention domain, which resolves what a requester may reach and executes before retrieval; an interaction-surfaces domain, which presents results and holds no authority over content, retrieval or rights; an authoring, editions and publication domain; and a learning and assessment domain. A platform layer comprises a platform-governance and evolution domain, which effects change under human authority and is structurally forbidden from altering the governance domain; an external-integration and analysis domain, whose analytical output is quarantined; and a commerce and entitlement domain, which carries the lowest scheduling priority.</w:t>
      </w:r>
    </w:p>
    <w:p>
      <w:pPr>
        <w:pStyle w:val="Normal"/>
        <w:bidi w:val="0"/>
        <w:spacing w:before="160" w:after="80"/>
        <w:jc w:val="start"/>
        <w:rPr>
          <w:rFonts w:hint="eastAsia"/>
        </w:rPr>
      </w:pPr>
      <w:r>
        <w:rPr>
          <w:b/>
        </w:rPr>
        <w:t>Non-interference: the transfer matrix and path separation</w:t>
      </w:r>
    </w:p>
    <w:p>
      <w:pPr>
        <w:pStyle w:val="Normal"/>
        <w:bidi w:val="0"/>
        <w:jc w:val="both"/>
        <w:rPr>
          <w:rFonts w:hint="eastAsia"/>
        </w:rPr>
      </w:pPr>
      <w:r>
        <w:rPr/>
        <w:t>Each ordered pair of domains is assigned a permission, evaluated at every boundary crossing and recorded in the provenance ledger; a pair for which no permission is recorded is denied. The denials establish the integrity guarantees of the architecture. By way of example, the analysis domain is denied a route into the retrieval domain, whereby externally-sourced analysis can never ground an answer; the commerce domain is denied a route into the retrieval and expression domains, whereby commercial considerations cannot influence what is retrieved or generated, and is denied a route into the access domain, whereby commerce cannot widen an entitlement; the expression domain is denied a write path into the substrate, whereby generated output never becomes a record; and the platform-governance domain is denied a route into the governance domain, whereby the mechanism that changes the system cannot change the prime directive. Certain crossings are permitted subject to a stated conversion, such as safety evaluation, type validation and confidence calibration upon admission of a candidate record from the ingestion domain to the substrate.</w:t>
      </w:r>
    </w:p>
    <w:p>
      <w:pPr>
        <w:pStyle w:val="Normal"/>
        <w:bidi w:val="0"/>
        <w:jc w:val="both"/>
        <w:rPr>
          <w:rFonts w:hint="eastAsia"/>
        </w:rPr>
      </w:pPr>
      <w:r>
        <w:rPr/>
        <w:t>The latency-critical query path and the batch ingestion path are separated so as to intersect at only two domains, namely the governance domain and the substrate. Scope resolution precedes traversal in every path. The retrieval domain performs no ingestion work, whereby a retrieval never blocks upon an extractor, and the ingestion domain holds no retrieval authority, whereby an extraction never blocks upon reasoning convergence. Representative paths include a query path proceeding from the access domain through the retrieval domain and optionally the inference domain to the expression domain; an ingestion path proceeding from the ingestion domain through the substrate to the ontology and world-model domains; and an equipment path in which a halt condition bypasses the retrieval, inference and expression domains entirely.</w:t>
      </w:r>
    </w:p>
    <w:p>
      <w:pPr>
        <w:pStyle w:val="Normal"/>
        <w:bidi w:val="0"/>
        <w:spacing w:before="160" w:after="80"/>
        <w:jc w:val="start"/>
        <w:rPr>
          <w:rFonts w:hint="eastAsia"/>
        </w:rPr>
      </w:pPr>
      <w:r>
        <w:rPr>
          <w:b/>
        </w:rPr>
        <w:t>The safety plane and the excluded set</w:t>
      </w:r>
    </w:p>
    <w:p>
      <w:pPr>
        <w:pStyle w:val="Normal"/>
        <w:bidi w:val="0"/>
        <w:jc w:val="both"/>
        <w:rPr>
          <w:rFonts w:hint="eastAsia"/>
        </w:rPr>
      </w:pPr>
      <w:r>
        <w:rPr/>
        <w:t>Every operation is evaluated against safety-derived rules at mandatory, synchronous enforcement points within the safety substrate (112) and proceeds only where it passes each applicable gate, a failure at the governance domain halting the operation rather than permitting it to proceed unevaluated. Scheduling priority is fixed by domain, with the governance domain highest and the commerce domain lowest, whereby contention omits the commercial region rather than delaying an answer, and safety and recovery work outrank all other work when contended. A set of subsystems, including the prime directive and enforcement plane, the transfer matrix, the path-separation invariant, the scheduling-priority ordering, the human-approval mechanism, the convergence-regime election, the context-lock dimension set, the trial-measurement parameters, and the set itself, is permanently excluded from modification by any internally-generated proposal, whereby no exclusion is removable by successive amendment.</w:t>
      </w:r>
    </w:p>
    <w:p>
      <w:pPr>
        <w:pStyle w:val="Normal"/>
        <w:bidi w:val="0"/>
        <w:spacing w:before="160" w:after="80"/>
        <w:jc w:val="start"/>
        <w:rPr>
          <w:rFonts w:hint="eastAsia"/>
        </w:rPr>
      </w:pPr>
      <w:r>
        <w:rPr>
          <w:b/>
        </w:rPr>
        <w:t>Cognition, expression, and bounded programs</w:t>
      </w:r>
    </w:p>
    <w:p>
      <w:pPr>
        <w:pStyle w:val="Normal"/>
        <w:bidi w:val="0"/>
        <w:jc w:val="both"/>
        <w:rPr>
          <w:rFonts w:hint="eastAsia"/>
        </w:rPr>
      </w:pPr>
      <w:r>
        <w:rPr/>
        <w:t>Retrieved candidate Fact Units are stabilized by an attractor network (104) that iteratively updates an activation set until convergence, the convergence regime being disclosed rather than concealed. Inference is performed by a predictive and calibration subsystem in which projected results carry credible intervals, are never admitted as records, and never ground a subsequent answer, and in which a deductive conclusion carries a confidence bounded by the least of the confidences of the relations traversed. Declarative queries are executed as read-only graph traversals having no mutation or control-flow capability, and bounded programs are compiled to a finite set of primitives under a hard iteration ceiling imposed at compile time, whereby the program layer (108) is non-Turing-complete by construction and its properties are decidable. Output is composed by a grounded-generation subsystem (110) over an already-admitted result and never alters the underlying assertion, a natural-language interaction layer selecting vocabulary, structure and explanatory depth for an inferred audience without changing the assertion, and a plurality of modulations being composed in a fixed, deterministic order with governance review preceding and following the composition.</w:t>
      </w:r>
    </w:p>
    <w:p>
      <w:pPr>
        <w:pStyle w:val="Normal"/>
        <w:bidi w:val="0"/>
        <w:jc w:val="both"/>
        <w:rPr>
          <w:rFonts w:hint="eastAsia"/>
        </w:rPr>
      </w:pPr>
      <w:r>
        <w:rPr/>
        <w:t>The parameters by which expression is modulated for a particular audience — namely cultural norms, social values, and ergonomic preferences — are held neither as Fact Units nor as world-model concepts, but as declared, versioned, provenance-carrying contextual value models that only the ergonomic, cultural, and social modulations of the expression layer read. A contextual value model is declared and never inferred, being set by a requester, an operator, or an author and never derived from a name, a network address, a query language, a device locale, a purchase history, or a behavioural signal; it modulates expression only, and never widens or narrows scope, admits or excludes a record, alters a confidence value, or extends vocabulary, and is not a grounding source. A fact about a culture is thus a Fact Unit, a model of how customs relate is a world-model concept, and a contextual value model is neither, whereby the values of a reader or operator do not become, by storage alone, an assertion the system treats as true.</w:t>
      </w:r>
    </w:p>
    <w:p>
      <w:pPr>
        <w:pStyle w:val="Normal"/>
        <w:bidi w:val="0"/>
        <w:spacing w:before="160" w:after="80"/>
        <w:jc w:val="start"/>
        <w:rPr>
          <w:rFonts w:hint="eastAsia"/>
        </w:rPr>
      </w:pPr>
      <w:r>
        <w:rPr>
          <w:b/>
        </w:rPr>
        <w:t>Deployment</w:t>
      </w:r>
    </w:p>
    <w:p>
      <w:pPr>
        <w:pStyle w:val="Normal"/>
        <w:bidi w:val="0"/>
        <w:jc w:val="both"/>
        <w:rPr>
          <w:rFonts w:hint="eastAsia"/>
        </w:rPr>
      </w:pPr>
      <w:r>
        <w:rPr/>
        <w:t>The same logical services execute in each deployment mode, a mode changing where a service runs and not which domain owns a decision. Contemplated modes include a fully-hosted mode, an on-premises mode, a single-device mode including encapsulation for query over one or more works, a hybrid mode in which the substrate and access domains reside in a first infrastructure while media and immersive assets reside in a second, and an edge mode in which a cache holding no authority answers only where the requester's scope admits every cached record consulted and escalates otherwise. Each operation is metered as a bounded compute-accounting unit carrying its domain identifier, and a domain implementation may be exchanged only where the replacement conforms to every interface and every transfer-matrix entry of the domain it replaces and is admitted under human approval, the governance domain being not replaceable. Because the record's encoding is fused to the record and the host store holds it as an opaque value, the engine operates over any database without imposing a proprietary format or query engine upon it.</w:t>
      </w:r>
    </w:p>
    <w:p>
      <w:pPr>
        <w:pStyle w:val="Normal"/>
        <w:bidi w:val="0"/>
        <w:spacing w:before="160" w:after="80"/>
        <w:jc w:val="start"/>
        <w:rPr>
          <w:rFonts w:hint="eastAsia"/>
        </w:rPr>
      </w:pPr>
      <w:r>
        <w:rPr>
          <w:b/>
          <w:highlight w:val="yellow"/>
        </w:rPr>
        <w:t xml:space="preserve">Agent-era extensions within the domain organization</w:t>
      </w:r>
    </w:p>
    <w:p>
      <w:pPr>
        <w:pStyle w:val="Normal"/>
        <w:bidi w:val="0"/>
        <w:jc w:val="both"/>
        <w:rPr>
          <w:rFonts w:hint="eastAsia"/>
        </w:rPr>
      </w:pPr>
      <w:r>
        <w:rPr>
          <w:highlight w:val="yellow"/>
        </w:rPr>
        <w:t xml:space="preserve">The recent extensions occupy existing domains and add no authority outside them. Open Claw ingestion is a pathway of the ingestion and sensory-intake domain (102): an artifact of any format is converted into candidate records under the same admission rules as any other modality, content of the artifact is never executed, and a segment flagged as instruction-like enters only as an untrusted record below the answer threshold.</w:t>
      </w:r>
    </w:p>
    <w:p>
      <w:pPr>
        <w:pStyle w:val="Normal"/>
        <w:bidi w:val="0"/>
        <w:jc w:val="both"/>
        <w:rPr>
          <w:rFonts w:hint="eastAsia"/>
        </w:rPr>
      </w:pPr>
      <w:r>
        <w:rPr>
          <w:highlight w:val="yellow"/>
        </w:rPr>
        <w:t xml:space="preserve">The Agent Gateway, deception check, firewall, isolation register, and decoy environment operate at the boundary governed by the governance domain (112) and the transfer matrix: every agent call is a boundary crossing that is evaluated and recorded, a denied or isolated caller is routed to a decoy that has no transfer path to the substrate, and release from isolation is reserved to the operator locally. The tamper-evident security record and optional on-chain certificates extend the provenance ledger (106) outward, giving third parties independent means to verify security decisions and certified records without access to the system.</w:t>
      </w:r>
    </w:p>
    <w:p>
      <w:pPr>
        <w:pStyle w:val="Normal"/>
        <w:bidi w:val="0"/>
        <w:jc w:val="both"/>
        <w:rPr>
          <w:rFonts w:hint="eastAsia"/>
        </w:rPr>
      </w:pPr>
      <w:r>
        <w:rPr>
          <w:highlight w:val="yellow"/>
        </w:rPr>
        <w:t xml:space="preserve">External agents connected through the Model Context Protocol tool server act as callers of the system and never as domains of it: each tool maps to a declared command under the agent’s allow-list, so connection confers no capability beyond that list. The framed hybrid transport carries records and media between deployments in every deployment mode without changing which domain owns any decision.</w:t>
      </w:r>
    </w:p>
    <w:p>
      <w:pPr>
        <w:pStyle w:val="Heading2"/>
        <w:numPr>
          <w:ilvl w:val="1"/>
          <w:numId w:val="1"/>
        </w:numPr>
        <w:bidi w:val="0"/>
        <w:spacing w:before="0" w:after="120"/>
        <w:jc w:val="start"/>
        <w:rPr>
          <w:rFonts w:ascii="Times New Roman" w:hAnsi="Times New Roman"/>
          <w:sz w:val="24"/>
          <w:szCs w:val="24"/>
        </w:rPr>
      </w:pPr>
      <w:r>
        <w:rPr>
          <w:rFonts w:ascii="Times New Roman" w:hAnsi="Times New Roman"/>
          <w:sz w:val="24"/>
          <w:szCs w:val="24"/>
        </w:rPr>
      </w:r>
    </w:p>
    <w:p>
      <w:pPr>
        <w:pStyle w:val="Heading2"/>
        <w:numPr>
          <w:ilvl w:val="1"/>
          <w:numId w:val="1"/>
        </w:numPr>
        <w:bidi w:val="0"/>
        <w:spacing w:before="0" w:after="120"/>
        <w:jc w:val="start"/>
        <w:rPr>
          <w:rFonts w:ascii="Times New Roman" w:hAnsi="Times New Roman"/>
          <w:sz w:val="24"/>
          <w:szCs w:val="24"/>
        </w:rPr>
      </w:pPr>
      <w:bookmarkStart w:id="9" w:name="__RefHeading___Toc109268_805184229"/>
      <w:bookmarkEnd w:id="9"/>
      <w:r>
        <w:rPr>
          <w:rFonts w:ascii="Times New Roman" w:hAnsi="Times New Roman"/>
          <w:sz w:val="24"/>
          <w:szCs w:val="24"/>
        </w:rPr>
        <w:t>Claim Set (354 Claims)</w:t>
      </w:r>
    </w:p>
    <w:p>
      <w:pPr>
        <w:pStyle w:val="Normal"/>
        <w:bidi w:val="0"/>
        <w:jc w:val="center"/>
        <w:rPr>
          <w:rFonts w:hint="eastAsia"/>
          <w:b/>
          <w:color w:val="1A2235"/>
        </w:rPr>
      </w:pPr>
      <w:r>
        <w:rPr>
          <w:rFonts w:hint="eastAsia"/>
          <w:b/>
          <w:color w:val="1A2235"/>
        </w:rPr>
      </w:r>
    </w:p>
    <w:p>
      <w:pPr>
        <w:pStyle w:val="Normal"/>
        <w:bidi w:val="0"/>
        <w:jc w:val="start"/>
        <w:rPr>
          <w:rFonts w:hint="eastAsia"/>
        </w:rPr>
      </w:pPr>
      <w:r>
        <w:rPr>
          <w:i/>
          <w:color w:val="555555"/>
        </w:rPr>
        <w:t>The full covenant-floor claim set: 341 claims verbatim from Bible Book III (seven families) plus claims 342–354 (Passes 117–118). Compiled September 24, 2026.</w:t>
      </w:r>
    </w:p>
    <w:p>
      <w:pPr>
        <w:pStyle w:val="Normal"/>
        <w:bidi w:val="0"/>
        <w:jc w:val="start"/>
        <w:rPr>
          <w:rFonts w:hint="eastAsia"/>
        </w:rPr>
      </w:pPr>
      <w:r>
        <w:rPr>
          <w:b/>
        </w:rPr>
        <w:t>CLAIMS</w:t>
      </w:r>
    </w:p>
    <w:p>
      <w:pPr>
        <w:pStyle w:val="Normal"/>
        <w:bidi w:val="0"/>
        <w:jc w:val="start"/>
        <w:rPr>
          <w:rFonts w:hint="eastAsia"/>
        </w:rPr>
      </w:pPr>
      <w:r>
        <w:rPr>
          <w:b/>
        </w:rPr>
        <w:t>What is claimed is:</w:t>
      </w:r>
    </w:p>
    <w:p>
      <w:pPr>
        <w:pStyle w:val="Normal"/>
        <w:bidi w:val="0"/>
        <w:spacing w:before="0" w:after="80"/>
        <w:ind w:firstLine="432"/>
        <w:jc w:val="both"/>
        <w:rPr>
          <w:rFonts w:hint="eastAsia"/>
        </w:rPr>
      </w:pPr>
      <w:r>
        <w:rPr>
          <w:b/>
          <w:color w:val="555555"/>
        </w:rPr>
        <w:t xml:space="preserve">[1]  </w:t>
      </w:r>
      <w:r>
        <w:rPr/>
        <w:t>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pStyle w:val="Normal"/>
        <w:bidi w:val="0"/>
        <w:spacing w:before="0" w:after="80"/>
        <w:ind w:firstLine="432"/>
        <w:jc w:val="both"/>
        <w:rPr>
          <w:rFonts w:hint="eastAsia"/>
        </w:rPr>
      </w:pPr>
      <w:r>
        <w:rPr>
          <w:b/>
          <w:color w:val="555555"/>
        </w:rPr>
        <w:t xml:space="preserve">[2]  </w:t>
      </w:r>
      <w:r>
        <w:rPr/>
        <w:t>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pStyle w:val="Normal"/>
        <w:bidi w:val="0"/>
        <w:spacing w:before="0" w:after="80"/>
        <w:ind w:firstLine="432"/>
        <w:jc w:val="both"/>
        <w:rPr>
          <w:rFonts w:hint="eastAsia"/>
        </w:rPr>
      </w:pPr>
      <w:r>
        <w:rPr>
          <w:b/>
          <w:color w:val="555555"/>
        </w:rPr>
        <w:t xml:space="preserve">[3]  </w:t>
      </w:r>
      <w:r>
        <w:rPr/>
        <w:t>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pStyle w:val="Normal"/>
        <w:bidi w:val="0"/>
        <w:spacing w:before="0" w:after="80"/>
        <w:ind w:firstLine="432"/>
        <w:jc w:val="both"/>
        <w:rPr>
          <w:rFonts w:hint="eastAsia"/>
        </w:rPr>
      </w:pPr>
      <w:r>
        <w:rPr>
          <w:b/>
          <w:color w:val="555555"/>
        </w:rPr>
        <w:t xml:space="preserve">[4]  </w:t>
      </w:r>
      <w:r>
        <w:rPr/>
        <w:t>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pStyle w:val="Normal"/>
        <w:bidi w:val="0"/>
        <w:spacing w:before="0" w:after="80"/>
        <w:ind w:firstLine="432"/>
        <w:jc w:val="both"/>
        <w:rPr>
          <w:rFonts w:hint="eastAsia"/>
        </w:rPr>
      </w:pPr>
      <w:r>
        <w:rPr>
          <w:b/>
          <w:color w:val="555555"/>
        </w:rPr>
        <w:t xml:space="preserve">[5]  </w:t>
      </w:r>
      <w:r>
        <w:rPr/>
        <w:t>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**Attestation horizon and retrospective forecast calibration (claims 113–118)**</w:t>
      </w:r>
    </w:p>
    <w:p>
      <w:pPr>
        <w:pStyle w:val="Normal"/>
        <w:bidi w:val="0"/>
        <w:spacing w:before="0" w:after="80"/>
        <w:ind w:firstLine="432"/>
        <w:jc w:val="both"/>
        <w:rPr>
          <w:rFonts w:hint="eastAsia"/>
        </w:rPr>
      </w:pPr>
      <w:r>
        <w:rPr>
          <w:b/>
          <w:color w:val="555555"/>
        </w:rPr>
        <w:t xml:space="preserve">[6]  </w:t>
      </w:r>
      <w:r>
        <w:rPr/>
        <w:t>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pStyle w:val="Normal"/>
        <w:bidi w:val="0"/>
        <w:spacing w:before="0" w:after="80"/>
        <w:ind w:firstLine="432"/>
        <w:jc w:val="both"/>
        <w:rPr>
          <w:rFonts w:hint="eastAsia"/>
        </w:rPr>
      </w:pPr>
      <w:r>
        <w:rPr>
          <w:b/>
          <w:color w:val="555555"/>
        </w:rPr>
        <w:t xml:space="preserve">[7]  </w:t>
      </w:r>
      <w:r>
        <w:rPr/>
        <w:t>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pStyle w:val="Normal"/>
        <w:bidi w:val="0"/>
        <w:spacing w:before="0" w:after="80"/>
        <w:ind w:firstLine="432"/>
        <w:jc w:val="both"/>
        <w:rPr>
          <w:rFonts w:hint="eastAsia"/>
        </w:rPr>
      </w:pPr>
      <w:r>
        <w:rPr>
          <w:b/>
          <w:color w:val="555555"/>
        </w:rPr>
        <w:t xml:space="preserve">[8]  </w:t>
      </w:r>
      <w:r>
        <w:rPr/>
        <w:t>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pStyle w:val="Normal"/>
        <w:bidi w:val="0"/>
        <w:spacing w:before="0" w:after="80"/>
        <w:ind w:firstLine="432"/>
        <w:jc w:val="both"/>
        <w:rPr>
          <w:rFonts w:hint="eastAsia"/>
        </w:rPr>
      </w:pPr>
      <w:r>
        <w:rPr>
          <w:b/>
          <w:color w:val="555555"/>
        </w:rPr>
        <w:t xml:space="preserve">[9]  </w:t>
      </w:r>
      <w:r>
        <w:rPr/>
        <w:t>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pStyle w:val="Normal"/>
        <w:bidi w:val="0"/>
        <w:spacing w:before="0" w:after="80"/>
        <w:ind w:firstLine="432"/>
        <w:jc w:val="both"/>
        <w:rPr>
          <w:rFonts w:hint="eastAsia"/>
        </w:rPr>
      </w:pPr>
      <w:r>
        <w:rPr>
          <w:b/>
          <w:color w:val="555555"/>
        </w:rPr>
        <w:t xml:space="preserve">[10]  </w:t>
      </w:r>
      <w:r>
        <w:rPr/>
        <w:t>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pStyle w:val="Normal"/>
        <w:bidi w:val="0"/>
        <w:spacing w:before="0" w:after="80"/>
        <w:ind w:firstLine="432"/>
        <w:jc w:val="both"/>
        <w:rPr>
          <w:rFonts w:hint="eastAsia"/>
        </w:rPr>
      </w:pPr>
      <w:r>
        <w:rPr>
          <w:b/>
          <w:color w:val="555555"/>
        </w:rPr>
        <w:t xml:space="preserve">[11]  </w:t>
      </w:r>
      <w:r>
        <w:rPr/>
        <w:t>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**Analog realization of the convergence (claims 307–312)**</w:t>
      </w:r>
    </w:p>
    <w:p>
      <w:pPr>
        <w:pStyle w:val="Normal"/>
        <w:bidi w:val="0"/>
        <w:spacing w:before="0" w:after="80"/>
        <w:ind w:firstLine="432"/>
        <w:jc w:val="both"/>
        <w:rPr>
          <w:rFonts w:hint="eastAsia"/>
        </w:rPr>
      </w:pPr>
      <w:r>
        <w:rPr>
          <w:b/>
          <w:color w:val="555555"/>
        </w:rPr>
        <w:t xml:space="preserve">[12]  </w:t>
      </w:r>
      <w:r>
        <w:rPr/>
        <w:t>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pStyle w:val="Normal"/>
        <w:bidi w:val="0"/>
        <w:spacing w:before="0" w:after="80"/>
        <w:ind w:firstLine="432"/>
        <w:jc w:val="both"/>
        <w:rPr>
          <w:rFonts w:hint="eastAsia"/>
        </w:rPr>
      </w:pPr>
      <w:r>
        <w:rPr>
          <w:b/>
          <w:color w:val="555555"/>
        </w:rPr>
        <w:t xml:space="preserve">[13]  </w:t>
      </w:r>
      <w:r>
        <w:rPr/>
        <w:t>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pStyle w:val="Normal"/>
        <w:bidi w:val="0"/>
        <w:spacing w:before="0" w:after="80"/>
        <w:ind w:firstLine="432"/>
        <w:jc w:val="both"/>
        <w:rPr>
          <w:rFonts w:hint="eastAsia"/>
        </w:rPr>
      </w:pPr>
      <w:r>
        <w:rPr>
          <w:b/>
          <w:color w:val="555555"/>
        </w:rPr>
        <w:t xml:space="preserve">[14]  </w:t>
      </w:r>
      <w:r>
        <w:rPr/>
        <w:t>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pStyle w:val="Normal"/>
        <w:bidi w:val="0"/>
        <w:spacing w:before="0" w:after="80"/>
        <w:ind w:firstLine="432"/>
        <w:jc w:val="both"/>
        <w:rPr>
          <w:rFonts w:hint="eastAsia"/>
        </w:rPr>
      </w:pPr>
      <w:r>
        <w:rPr>
          <w:b/>
          <w:color w:val="555555"/>
        </w:rPr>
        <w:t xml:space="preserve">[15]  </w:t>
      </w:r>
      <w:r>
        <w:rPr/>
        <w:t>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pStyle w:val="Normal"/>
        <w:bidi w:val="0"/>
        <w:spacing w:before="0" w:after="80"/>
        <w:ind w:firstLine="432"/>
        <w:jc w:val="both"/>
        <w:rPr>
          <w:rFonts w:hint="eastAsia"/>
        </w:rPr>
      </w:pPr>
      <w:r>
        <w:rPr>
          <w:b/>
          <w:color w:val="555555"/>
        </w:rPr>
        <w:t xml:space="preserve">[16]  </w:t>
      </w:r>
      <w:r>
        <w:rPr/>
        <w:t>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pStyle w:val="Normal"/>
        <w:bidi w:val="0"/>
        <w:spacing w:before="0" w:after="80"/>
        <w:ind w:firstLine="432"/>
        <w:jc w:val="both"/>
        <w:rPr>
          <w:rFonts w:hint="eastAsia"/>
        </w:rPr>
      </w:pPr>
      <w:r>
        <w:rPr>
          <w:b/>
          <w:color w:val="555555"/>
        </w:rPr>
        <w:t xml:space="preserve">[17]  </w:t>
      </w:r>
      <w:r>
        <w:rPr/>
        <w:t>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pStyle w:val="Normal"/>
        <w:bidi w:val="0"/>
        <w:spacing w:before="0" w:after="80"/>
        <w:ind w:firstLine="432"/>
        <w:jc w:val="both"/>
        <w:rPr>
          <w:rFonts w:hint="eastAsia"/>
        </w:rPr>
      </w:pPr>
      <w:r>
        <w:rPr>
          <w:b/>
          <w:color w:val="555555"/>
        </w:rPr>
        <w:t xml:space="preserve">[18]  </w:t>
      </w:r>
      <w:r>
        <w:rPr/>
        <w:t>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pStyle w:val="Normal"/>
        <w:bidi w:val="0"/>
        <w:spacing w:before="0" w:after="80"/>
        <w:ind w:firstLine="432"/>
        <w:jc w:val="both"/>
        <w:rPr>
          <w:rFonts w:hint="eastAsia"/>
        </w:rPr>
      </w:pPr>
      <w:r>
        <w:rPr>
          <w:b/>
          <w:color w:val="555555"/>
        </w:rPr>
        <w:t xml:space="preserve">[19]  </w:t>
      </w:r>
      <w:r>
        <w:rPr/>
        <w:t>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**Defined agents (claims 333–341)**</w:t>
      </w:r>
    </w:p>
    <w:p>
      <w:pPr>
        <w:pStyle w:val="Normal"/>
        <w:bidi w:val="0"/>
        <w:spacing w:before="0" w:after="80"/>
        <w:ind w:firstLine="432"/>
        <w:jc w:val="both"/>
        <w:rPr>
          <w:rFonts w:hint="eastAsia"/>
        </w:rPr>
      </w:pPr>
      <w:r>
        <w:rPr>
          <w:b/>
          <w:color w:val="555555"/>
        </w:rPr>
        <w:t xml:space="preserve">[20]  </w:t>
      </w:r>
      <w:r>
        <w:rPr/>
        <w:t>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pStyle w:val="Normal"/>
        <w:bidi w:val="0"/>
        <w:spacing w:before="0" w:after="80"/>
        <w:ind w:firstLine="432"/>
        <w:jc w:val="both"/>
        <w:rPr>
          <w:rFonts w:hint="eastAsia"/>
        </w:rPr>
      </w:pPr>
      <w:r>
        <w:rPr>
          <w:b/>
          <w:color w:val="555555"/>
        </w:rPr>
        <w:t xml:space="preserve">[21]  </w:t>
      </w:r>
      <w:r>
        <w:rPr/>
        <w:t>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pStyle w:val="Normal"/>
        <w:bidi w:val="0"/>
        <w:spacing w:before="0" w:after="80"/>
        <w:ind w:firstLine="432"/>
        <w:jc w:val="both"/>
        <w:rPr>
          <w:rFonts w:hint="eastAsia"/>
        </w:rPr>
      </w:pPr>
      <w:r>
        <w:rPr>
          <w:b/>
          <w:color w:val="555555"/>
        </w:rPr>
        <w:t xml:space="preserve">[22]  </w:t>
      </w:r>
      <w:r>
        <w:rPr/>
        <w:t>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**Concept inheritance, exception override and inverse traversal (claims 45–49)**</w:t>
      </w:r>
    </w:p>
    <w:p>
      <w:pPr>
        <w:pStyle w:val="Normal"/>
        <w:bidi w:val="0"/>
        <w:spacing w:before="0" w:after="80"/>
        <w:ind w:firstLine="432"/>
        <w:jc w:val="both"/>
        <w:rPr>
          <w:rFonts w:hint="eastAsia"/>
        </w:rPr>
      </w:pPr>
      <w:r>
        <w:rPr>
          <w:b/>
          <w:color w:val="555555"/>
        </w:rPr>
        <w:t xml:space="preserve">[23]  </w:t>
      </w:r>
      <w:r>
        <w:rPr/>
        <w:t>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pStyle w:val="Normal"/>
        <w:bidi w:val="0"/>
        <w:spacing w:before="0" w:after="80"/>
        <w:ind w:firstLine="432"/>
        <w:jc w:val="both"/>
        <w:rPr>
          <w:rFonts w:hint="eastAsia"/>
        </w:rPr>
      </w:pPr>
      <w:r>
        <w:rPr>
          <w:b/>
          <w:color w:val="555555"/>
        </w:rPr>
        <w:t xml:space="preserve">[24]  </w:t>
      </w:r>
      <w:r>
        <w:rPr/>
        <w:t>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pStyle w:val="Normal"/>
        <w:bidi w:val="0"/>
        <w:spacing w:before="0" w:after="80"/>
        <w:ind w:firstLine="432"/>
        <w:jc w:val="both"/>
        <w:rPr>
          <w:rFonts w:hint="eastAsia"/>
        </w:rPr>
      </w:pPr>
      <w:r>
        <w:rPr>
          <w:b/>
          <w:color w:val="555555"/>
        </w:rPr>
        <w:t xml:space="preserve">[25]  </w:t>
      </w:r>
      <w:r>
        <w:rPr/>
        <w:t>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pStyle w:val="Normal"/>
        <w:bidi w:val="0"/>
        <w:spacing w:before="0" w:after="80"/>
        <w:ind w:firstLine="432"/>
        <w:jc w:val="both"/>
        <w:rPr>
          <w:rFonts w:hint="eastAsia"/>
        </w:rPr>
      </w:pPr>
      <w:r>
        <w:rPr>
          <w:b/>
          <w:color w:val="555555"/>
        </w:rPr>
        <w:t xml:space="preserve">[26]  </w:t>
      </w:r>
      <w:r>
        <w:rPr/>
        <w:t>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pStyle w:val="Normal"/>
        <w:bidi w:val="0"/>
        <w:spacing w:before="0" w:after="80"/>
        <w:ind w:firstLine="432"/>
        <w:jc w:val="both"/>
        <w:rPr>
          <w:rFonts w:hint="eastAsia"/>
        </w:rPr>
      </w:pPr>
      <w:r>
        <w:rPr>
          <w:b/>
          <w:color w:val="555555"/>
        </w:rPr>
        <w:t xml:space="preserve">[27]  </w:t>
      </w:r>
      <w:r>
        <w:rPr/>
        <w:t>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pStyle w:val="Normal"/>
        <w:bidi w:val="0"/>
        <w:spacing w:before="0" w:after="80"/>
        <w:ind w:firstLine="432"/>
        <w:jc w:val="both"/>
        <w:rPr>
          <w:rFonts w:hint="eastAsia"/>
        </w:rPr>
      </w:pPr>
      <w:r>
        <w:rPr>
          <w:b/>
          <w:color w:val="555555"/>
        </w:rPr>
        <w:t xml:space="preserve">[28]  </w:t>
      </w:r>
      <w:r>
        <w:rPr/>
        <w:t>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pStyle w:val="Normal"/>
        <w:bidi w:val="0"/>
        <w:spacing w:before="0" w:after="80"/>
        <w:ind w:firstLine="432"/>
        <w:jc w:val="both"/>
        <w:rPr>
          <w:rFonts w:hint="eastAsia"/>
        </w:rPr>
      </w:pPr>
      <w:r>
        <w:rPr>
          <w:b/>
          <w:color w:val="555555"/>
        </w:rPr>
        <w:t xml:space="preserve">[29]  </w:t>
      </w:r>
      <w:r>
        <w:rPr/>
        <w:t>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pStyle w:val="Normal"/>
        <w:bidi w:val="0"/>
        <w:spacing w:before="0" w:after="80"/>
        <w:ind w:firstLine="432"/>
        <w:jc w:val="both"/>
        <w:rPr>
          <w:rFonts w:hint="eastAsia"/>
        </w:rPr>
      </w:pPr>
      <w:r>
        <w:rPr>
          <w:b/>
          <w:color w:val="555555"/>
        </w:rPr>
        <w:t xml:space="preserve">[30]  </w:t>
      </w:r>
      <w:r>
        <w:rPr/>
        <w:t>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pStyle w:val="Normal"/>
        <w:bidi w:val="0"/>
        <w:spacing w:before="0" w:after="80"/>
        <w:ind w:firstLine="432"/>
        <w:jc w:val="both"/>
        <w:rPr>
          <w:rFonts w:hint="eastAsia"/>
        </w:rPr>
      </w:pPr>
      <w:r>
        <w:rPr>
          <w:b/>
          <w:color w:val="555555"/>
        </w:rPr>
        <w:t xml:space="preserve">[31]  </w:t>
      </w:r>
      <w:r>
        <w:rPr/>
        <w:t>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pStyle w:val="Normal"/>
        <w:bidi w:val="0"/>
        <w:spacing w:before="0" w:after="80"/>
        <w:ind w:firstLine="432"/>
        <w:jc w:val="both"/>
        <w:rPr>
          <w:rFonts w:hint="eastAsia"/>
        </w:rPr>
      </w:pPr>
      <w:r>
        <w:rPr>
          <w:b/>
          <w:color w:val="555555"/>
        </w:rPr>
        <w:t xml:space="preserve">[32]  </w:t>
      </w:r>
      <w:r>
        <w:rPr/>
        <w:t>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pStyle w:val="Normal"/>
        <w:bidi w:val="0"/>
        <w:spacing w:before="0" w:after="80"/>
        <w:ind w:firstLine="432"/>
        <w:jc w:val="both"/>
        <w:rPr>
          <w:rFonts w:hint="eastAsia"/>
        </w:rPr>
      </w:pPr>
      <w:r>
        <w:rPr>
          <w:b/>
          <w:color w:val="555555"/>
        </w:rPr>
        <w:t xml:space="preserve">[33]  </w:t>
      </w:r>
      <w:r>
        <w:rPr/>
        <w:t>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pStyle w:val="Normal"/>
        <w:bidi w:val="0"/>
        <w:spacing w:before="0" w:after="80"/>
        <w:ind w:firstLine="432"/>
        <w:jc w:val="both"/>
        <w:rPr>
          <w:rFonts w:hint="eastAsia"/>
        </w:rPr>
      </w:pPr>
      <w:r>
        <w:rPr>
          <w:b/>
          <w:color w:val="555555"/>
        </w:rPr>
        <w:t xml:space="preserve">[34]  </w:t>
      </w:r>
      <w:r>
        <w:rPr/>
        <w:t>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**Session modes, annotation, bounded programs, authoring, immersive presentation, infrastructure and governance (claims 58–107)**</w:t>
      </w:r>
    </w:p>
    <w:p>
      <w:pPr>
        <w:pStyle w:val="Normal"/>
        <w:bidi w:val="0"/>
        <w:spacing w:before="0" w:after="80"/>
        <w:ind w:firstLine="432"/>
        <w:jc w:val="both"/>
        <w:rPr>
          <w:rFonts w:hint="eastAsia"/>
        </w:rPr>
      </w:pPr>
      <w:r>
        <w:rPr>
          <w:b/>
          <w:color w:val="555555"/>
        </w:rPr>
        <w:t xml:space="preserve">[35]  </w:t>
      </w:r>
      <w:r>
        <w:rPr/>
        <w:t>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pStyle w:val="Normal"/>
        <w:bidi w:val="0"/>
        <w:spacing w:before="0" w:after="80"/>
        <w:ind w:firstLine="432"/>
        <w:jc w:val="both"/>
        <w:rPr>
          <w:rFonts w:hint="eastAsia"/>
        </w:rPr>
      </w:pPr>
      <w:r>
        <w:rPr>
          <w:b/>
          <w:color w:val="555555"/>
        </w:rPr>
        <w:t xml:space="preserve">[36]  </w:t>
      </w:r>
      <w:r>
        <w:rPr/>
        <w:t>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pStyle w:val="Normal"/>
        <w:bidi w:val="0"/>
        <w:spacing w:before="0" w:after="80"/>
        <w:ind w:firstLine="432"/>
        <w:jc w:val="both"/>
        <w:rPr>
          <w:rFonts w:hint="eastAsia"/>
        </w:rPr>
      </w:pPr>
      <w:r>
        <w:rPr>
          <w:b/>
          <w:color w:val="555555"/>
        </w:rPr>
        <w:t xml:space="preserve">[37]  </w:t>
      </w:r>
      <w:r>
        <w:rPr/>
        <w:t>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pStyle w:val="Normal"/>
        <w:bidi w:val="0"/>
        <w:spacing w:before="0" w:after="80"/>
        <w:ind w:firstLine="432"/>
        <w:jc w:val="both"/>
        <w:rPr>
          <w:rFonts w:hint="eastAsia"/>
        </w:rPr>
      </w:pPr>
      <w:r>
        <w:rPr>
          <w:b/>
          <w:color w:val="555555"/>
        </w:rPr>
        <w:t xml:space="preserve">[38]  </w:t>
      </w:r>
      <w:r>
        <w:rPr/>
        <w:t>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pStyle w:val="Normal"/>
        <w:bidi w:val="0"/>
        <w:spacing w:before="0" w:after="80"/>
        <w:ind w:firstLine="432"/>
        <w:jc w:val="both"/>
        <w:rPr>
          <w:rFonts w:hint="eastAsia"/>
        </w:rPr>
      </w:pPr>
      <w:r>
        <w:rPr>
          <w:b/>
          <w:color w:val="555555"/>
        </w:rPr>
        <w:t xml:space="preserve">[39]  </w:t>
      </w:r>
      <w:r>
        <w:rPr/>
        <w:t>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pStyle w:val="Normal"/>
        <w:bidi w:val="0"/>
        <w:spacing w:before="0" w:after="80"/>
        <w:ind w:firstLine="432"/>
        <w:jc w:val="both"/>
        <w:rPr>
          <w:rFonts w:hint="eastAsia"/>
        </w:rPr>
      </w:pPr>
      <w:r>
        <w:rPr>
          <w:b/>
          <w:color w:val="555555"/>
        </w:rPr>
        <w:t xml:space="preserve">[40]  </w:t>
      </w:r>
      <w:r>
        <w:rPr/>
        <w:t>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pStyle w:val="Normal"/>
        <w:bidi w:val="0"/>
        <w:spacing w:before="0" w:after="80"/>
        <w:ind w:firstLine="432"/>
        <w:jc w:val="both"/>
        <w:rPr>
          <w:rFonts w:hint="eastAsia"/>
        </w:rPr>
      </w:pPr>
      <w:r>
        <w:rPr>
          <w:b/>
          <w:color w:val="555555"/>
        </w:rPr>
        <w:t xml:space="preserve">[41]  </w:t>
      </w:r>
      <w:r>
        <w:rPr/>
        <w:t>The method of claim 41, wherein operation within said second regime requires a deployment election recorded with an identity of an operator who made it, and wherein absent said deployment election said configured operating ceiling remains within said first regime.</w:t>
      </w:r>
    </w:p>
    <w:p>
      <w:pPr>
        <w:pStyle w:val="Normal"/>
        <w:bidi w:val="0"/>
        <w:spacing w:before="0" w:after="80"/>
        <w:ind w:firstLine="432"/>
        <w:jc w:val="both"/>
        <w:rPr>
          <w:rFonts w:hint="eastAsia"/>
        </w:rPr>
      </w:pPr>
      <w:r>
        <w:rPr>
          <w:b/>
          <w:color w:val="555555"/>
        </w:rPr>
        <w:t xml:space="preserve">[42]  </w:t>
      </w:r>
      <w:r>
        <w:rPr/>
        <w:t>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pStyle w:val="Normal"/>
        <w:bidi w:val="0"/>
        <w:spacing w:before="0" w:after="80"/>
        <w:ind w:firstLine="432"/>
        <w:jc w:val="both"/>
        <w:rPr>
          <w:rFonts w:hint="eastAsia"/>
        </w:rPr>
      </w:pPr>
      <w:r>
        <w:rPr>
          <w:b/>
          <w:color w:val="555555"/>
        </w:rPr>
        <w:t xml:space="preserve">[43]  </w:t>
      </w:r>
      <w:r>
        <w:rPr/>
        <w:t>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pStyle w:val="Normal"/>
        <w:bidi w:val="0"/>
        <w:spacing w:before="0" w:after="80"/>
        <w:ind w:firstLine="432"/>
        <w:jc w:val="both"/>
        <w:rPr>
          <w:rFonts w:hint="eastAsia"/>
        </w:rPr>
      </w:pPr>
      <w:r>
        <w:rPr>
          <w:b/>
          <w:color w:val="555555"/>
        </w:rPr>
        <w:t xml:space="preserve">[44]  </w:t>
      </w:r>
      <w:r>
        <w:rPr/>
        <w:t>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pStyle w:val="Normal"/>
        <w:bidi w:val="0"/>
        <w:spacing w:before="0" w:after="80"/>
        <w:ind w:firstLine="432"/>
        <w:jc w:val="both"/>
        <w:rPr>
          <w:rFonts w:hint="eastAsia"/>
        </w:rPr>
      </w:pPr>
      <w:r>
        <w:rPr>
          <w:b/>
          <w:color w:val="555555"/>
        </w:rPr>
        <w:t xml:space="preserve">[45]  </w:t>
      </w:r>
      <w:r>
        <w:rPr/>
        <w:t>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pStyle w:val="Normal"/>
        <w:bidi w:val="0"/>
        <w:spacing w:before="0" w:after="80"/>
        <w:ind w:firstLine="432"/>
        <w:jc w:val="both"/>
        <w:rPr>
          <w:rFonts w:hint="eastAsia"/>
        </w:rPr>
      </w:pPr>
      <w:r>
        <w:rPr>
          <w:b/>
          <w:color w:val="555555"/>
        </w:rPr>
        <w:t xml:space="preserve">[46]  </w:t>
      </w:r>
      <w:r>
        <w:rPr/>
        <w:t>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pStyle w:val="Normal"/>
        <w:bidi w:val="0"/>
        <w:spacing w:before="0" w:after="80"/>
        <w:ind w:firstLine="432"/>
        <w:jc w:val="both"/>
        <w:rPr>
          <w:rFonts w:hint="eastAsia"/>
        </w:rPr>
      </w:pPr>
      <w:r>
        <w:rPr>
          <w:b/>
          <w:color w:val="555555"/>
        </w:rPr>
        <w:t xml:space="preserve">[47]  </w:t>
      </w:r>
      <w:r>
        <w:rPr/>
        <w:t>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pStyle w:val="Normal"/>
        <w:bidi w:val="0"/>
        <w:spacing w:before="0" w:after="80"/>
        <w:ind w:firstLine="432"/>
        <w:jc w:val="both"/>
        <w:rPr>
          <w:rFonts w:hint="eastAsia"/>
        </w:rPr>
      </w:pPr>
      <w:r>
        <w:rPr>
          <w:b/>
          <w:color w:val="555555"/>
        </w:rPr>
        <w:t xml:space="preserve">[48]  </w:t>
      </w:r>
      <w:r>
        <w:rPr/>
        <w:t>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pStyle w:val="Normal"/>
        <w:bidi w:val="0"/>
        <w:spacing w:before="0" w:after="80"/>
        <w:ind w:firstLine="432"/>
        <w:jc w:val="both"/>
        <w:rPr>
          <w:rFonts w:hint="eastAsia"/>
        </w:rPr>
      </w:pPr>
      <w:r>
        <w:rPr>
          <w:b/>
          <w:color w:val="555555"/>
        </w:rPr>
        <w:t xml:space="preserve">[49]  </w:t>
      </w:r>
      <w:r>
        <w:rPr/>
        <w:t>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**Directed capture equipment control under session authorization (claims 232–240)**</w:t>
      </w:r>
    </w:p>
    <w:p>
      <w:pPr>
        <w:pStyle w:val="Normal"/>
        <w:bidi w:val="0"/>
        <w:spacing w:before="0" w:after="80"/>
        <w:ind w:firstLine="432"/>
        <w:jc w:val="both"/>
        <w:rPr>
          <w:rFonts w:hint="eastAsia"/>
        </w:rPr>
      </w:pPr>
      <w:r>
        <w:rPr>
          <w:b/>
          <w:color w:val="555555"/>
        </w:rPr>
        <w:t xml:space="preserve">[50]  </w:t>
      </w:r>
      <w:r>
        <w:rPr/>
        <w:t>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pStyle w:val="Normal"/>
        <w:bidi w:val="0"/>
        <w:spacing w:before="0" w:after="80"/>
        <w:ind w:firstLine="432"/>
        <w:jc w:val="both"/>
        <w:rPr>
          <w:rFonts w:hint="eastAsia"/>
        </w:rPr>
      </w:pPr>
      <w:r>
        <w:rPr>
          <w:b/>
          <w:color w:val="555555"/>
        </w:rPr>
        <w:t xml:space="preserve">[51]  </w:t>
      </w:r>
      <w:r>
        <w:rPr/>
        <w:t>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pStyle w:val="Normal"/>
        <w:bidi w:val="0"/>
        <w:spacing w:before="0" w:after="80"/>
        <w:ind w:firstLine="432"/>
        <w:jc w:val="both"/>
        <w:rPr>
          <w:rFonts w:hint="eastAsia"/>
        </w:rPr>
      </w:pPr>
      <w:r>
        <w:rPr>
          <w:b/>
          <w:color w:val="555555"/>
        </w:rPr>
        <w:t xml:space="preserve">[52]  </w:t>
      </w:r>
      <w:r>
        <w:rPr/>
        <w:t>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pStyle w:val="Normal"/>
        <w:bidi w:val="0"/>
        <w:spacing w:before="0" w:after="80"/>
        <w:ind w:firstLine="432"/>
        <w:jc w:val="both"/>
        <w:rPr>
          <w:rFonts w:hint="eastAsia"/>
        </w:rPr>
      </w:pPr>
      <w:r>
        <w:rPr>
          <w:b/>
          <w:color w:val="555555"/>
        </w:rPr>
        <w:t xml:space="preserve">[53]  </w:t>
      </w:r>
      <w:r>
        <w:rPr/>
        <w:t>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pStyle w:val="Normal"/>
        <w:bidi w:val="0"/>
        <w:spacing w:before="0" w:after="80"/>
        <w:ind w:firstLine="432"/>
        <w:jc w:val="both"/>
        <w:rPr>
          <w:rFonts w:hint="eastAsia"/>
        </w:rPr>
      </w:pPr>
      <w:r>
        <w:rPr>
          <w:b/>
          <w:color w:val="555555"/>
        </w:rPr>
        <w:t xml:space="preserve">[54]  </w:t>
      </w:r>
      <w:r>
        <w:rPr/>
        <w:t>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pStyle w:val="Normal"/>
        <w:bidi w:val="0"/>
        <w:spacing w:before="0" w:after="80"/>
        <w:ind w:firstLine="432"/>
        <w:jc w:val="both"/>
        <w:rPr>
          <w:rFonts w:hint="eastAsia"/>
        </w:rPr>
      </w:pPr>
      <w:r>
        <w:rPr>
          <w:b/>
          <w:color w:val="555555"/>
        </w:rPr>
        <w:t xml:space="preserve">[55]  </w:t>
      </w:r>
      <w:r>
        <w:rPr/>
        <w:t>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pStyle w:val="Normal"/>
        <w:bidi w:val="0"/>
        <w:spacing w:before="0" w:after="80"/>
        <w:ind w:firstLine="432"/>
        <w:jc w:val="both"/>
        <w:rPr>
          <w:rFonts w:hint="eastAsia"/>
        </w:rPr>
      </w:pPr>
      <w:r>
        <w:rPr>
          <w:b/>
          <w:color w:val="555555"/>
        </w:rPr>
        <w:t xml:space="preserve">[56]  </w:t>
      </w:r>
      <w:r>
        <w:rPr/>
        <w:t>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pStyle w:val="Normal"/>
        <w:bidi w:val="0"/>
        <w:spacing w:before="0" w:after="80"/>
        <w:ind w:firstLine="432"/>
        <w:jc w:val="both"/>
        <w:rPr>
          <w:rFonts w:hint="eastAsia"/>
        </w:rPr>
      </w:pPr>
      <w:r>
        <w:rPr>
          <w:b/>
          <w:color w:val="555555"/>
        </w:rPr>
        <w:t xml:space="preserve">[57]  </w:t>
      </w:r>
      <w:r>
        <w:rPr/>
        <w:t>The method of claim 1, further comprising, where no knowledge record of said candidate set satisfies said configured threshold, delivering a statement of said boundary together with a nearest available said knowledge record, and not generating said output text.</w:t>
      </w:r>
    </w:p>
    <w:p>
      <w:pPr>
        <w:pStyle w:val="Normal"/>
        <w:bidi w:val="0"/>
        <w:spacing w:before="0" w:after="80"/>
        <w:ind w:firstLine="432"/>
        <w:jc w:val="both"/>
        <w:rPr>
          <w:rFonts w:hint="eastAsia"/>
        </w:rPr>
      </w:pPr>
      <w:r>
        <w:rPr>
          <w:b/>
          <w:color w:val="555555"/>
        </w:rPr>
        <w:t xml:space="preserve">[58]  </w:t>
      </w:r>
      <w:r>
        <w:rPr/>
        <w:t>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pStyle w:val="Normal"/>
        <w:bidi w:val="0"/>
        <w:spacing w:before="0" w:after="80"/>
        <w:ind w:firstLine="432"/>
        <w:jc w:val="both"/>
        <w:rPr>
          <w:rFonts w:hint="eastAsia"/>
        </w:rPr>
      </w:pPr>
      <w:r>
        <w:rPr>
          <w:b/>
          <w:color w:val="555555"/>
        </w:rPr>
        <w:t xml:space="preserve">[59]  </w:t>
      </w:r>
      <w:r>
        <w:rPr/>
        <w:t>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pStyle w:val="Normal"/>
        <w:bidi w:val="0"/>
        <w:spacing w:before="0" w:after="80"/>
        <w:ind w:firstLine="432"/>
        <w:jc w:val="both"/>
        <w:rPr>
          <w:rFonts w:hint="eastAsia"/>
        </w:rPr>
      </w:pPr>
      <w:r>
        <w:rPr>
          <w:b/>
          <w:color w:val="555555"/>
        </w:rPr>
        <w:t xml:space="preserve">[60]  </w:t>
      </w:r>
      <w:r>
        <w:rPr/>
        <w:t>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pStyle w:val="Normal"/>
        <w:bidi w:val="0"/>
        <w:spacing w:before="0" w:after="80"/>
        <w:ind w:firstLine="432"/>
        <w:jc w:val="both"/>
        <w:rPr>
          <w:rFonts w:hint="eastAsia"/>
        </w:rPr>
      </w:pPr>
      <w:r>
        <w:rPr>
          <w:b/>
          <w:color w:val="555555"/>
        </w:rPr>
        <w:t xml:space="preserve">[61]  </w:t>
      </w:r>
      <w:r>
        <w:rPr/>
        <w:t>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pStyle w:val="Normal"/>
        <w:bidi w:val="0"/>
        <w:spacing w:before="0" w:after="80"/>
        <w:ind w:firstLine="432"/>
        <w:jc w:val="both"/>
        <w:rPr>
          <w:rFonts w:hint="eastAsia"/>
        </w:rPr>
      </w:pPr>
      <w:r>
        <w:rPr>
          <w:b/>
          <w:color w:val="555555"/>
        </w:rPr>
        <w:t xml:space="preserve">[62]  </w:t>
      </w:r>
      <w:r>
        <w:rPr/>
        <w:t>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pStyle w:val="Normal"/>
        <w:bidi w:val="0"/>
        <w:spacing w:before="0" w:after="80"/>
        <w:ind w:firstLine="432"/>
        <w:jc w:val="both"/>
        <w:rPr>
          <w:rFonts w:hint="eastAsia"/>
        </w:rPr>
      </w:pPr>
      <w:r>
        <w:rPr>
          <w:b/>
          <w:color w:val="555555"/>
        </w:rPr>
        <w:t xml:space="preserve">[63]  </w:t>
      </w:r>
      <w:r>
        <w:rPr/>
        <w:t>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pStyle w:val="Normal"/>
        <w:bidi w:val="0"/>
        <w:spacing w:before="0" w:after="80"/>
        <w:ind w:firstLine="432"/>
        <w:jc w:val="both"/>
        <w:rPr>
          <w:rFonts w:hint="eastAsia"/>
        </w:rPr>
      </w:pPr>
      <w:r>
        <w:rPr>
          <w:b/>
          <w:color w:val="555555"/>
        </w:rPr>
        <w:t xml:space="preserve">[64]  </w:t>
      </w:r>
      <w:r>
        <w:rPr/>
        <w:t>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pStyle w:val="Normal"/>
        <w:bidi w:val="0"/>
        <w:spacing w:before="0" w:after="80"/>
        <w:ind w:firstLine="432"/>
        <w:jc w:val="both"/>
        <w:rPr>
          <w:rFonts w:hint="eastAsia"/>
        </w:rPr>
      </w:pPr>
      <w:r>
        <w:rPr>
          <w:b/>
          <w:color w:val="555555"/>
        </w:rPr>
        <w:t xml:space="preserve">[65]  </w:t>
      </w:r>
      <w:r>
        <w:rPr/>
        <w:t>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**Convergence regime disclosure (claims 260–261)**</w:t>
      </w:r>
    </w:p>
    <w:p>
      <w:pPr>
        <w:pStyle w:val="Normal"/>
        <w:bidi w:val="0"/>
        <w:spacing w:before="0" w:after="80"/>
        <w:ind w:firstLine="432"/>
        <w:jc w:val="both"/>
        <w:rPr>
          <w:rFonts w:hint="eastAsia"/>
        </w:rPr>
      </w:pPr>
      <w:r>
        <w:rPr>
          <w:b/>
          <w:color w:val="555555"/>
        </w:rPr>
        <w:t xml:space="preserve">[66]  </w:t>
      </w:r>
      <w:r>
        <w:rPr/>
        <w:t>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pStyle w:val="Normal"/>
        <w:bidi w:val="0"/>
        <w:spacing w:before="0" w:after="80"/>
        <w:ind w:firstLine="432"/>
        <w:jc w:val="both"/>
        <w:rPr>
          <w:rFonts w:hint="eastAsia"/>
        </w:rPr>
      </w:pPr>
      <w:r>
        <w:rPr>
          <w:b/>
          <w:color w:val="555555"/>
        </w:rPr>
        <w:t xml:space="preserve">[67]  </w:t>
      </w:r>
      <w:r>
        <w:rPr/>
        <w:t>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**Behavioural probing and analysis quarantine (claims 108–112)**</w:t>
      </w:r>
    </w:p>
    <w:p>
      <w:pPr>
        <w:pStyle w:val="Normal"/>
        <w:bidi w:val="0"/>
        <w:spacing w:before="0" w:after="80"/>
        <w:ind w:firstLine="432"/>
        <w:jc w:val="both"/>
        <w:rPr>
          <w:rFonts w:hint="eastAsia"/>
        </w:rPr>
      </w:pPr>
      <w:r>
        <w:rPr>
          <w:b/>
          <w:color w:val="555555"/>
        </w:rPr>
        <w:t xml:space="preserve">[68]  </w:t>
      </w:r>
      <w:r>
        <w:rPr/>
        <w:t>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pStyle w:val="Normal"/>
        <w:bidi w:val="0"/>
        <w:spacing w:before="0" w:after="80"/>
        <w:ind w:firstLine="432"/>
        <w:jc w:val="both"/>
        <w:rPr>
          <w:rFonts w:hint="eastAsia"/>
        </w:rPr>
      </w:pPr>
      <w:r>
        <w:rPr>
          <w:b/>
          <w:color w:val="555555"/>
        </w:rPr>
        <w:t xml:space="preserve">[69]  </w:t>
      </w:r>
      <w:r>
        <w:rPr/>
        <w:t>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pStyle w:val="Normal"/>
        <w:bidi w:val="0"/>
        <w:spacing w:before="0" w:after="80"/>
        <w:ind w:firstLine="432"/>
        <w:jc w:val="both"/>
        <w:rPr>
          <w:rFonts w:hint="eastAsia"/>
        </w:rPr>
      </w:pPr>
      <w:r>
        <w:rPr>
          <w:b/>
          <w:color w:val="555555"/>
        </w:rPr>
        <w:t xml:space="preserve">[70]  </w:t>
      </w:r>
      <w:r>
        <w:rPr/>
        <w:t>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pStyle w:val="Normal"/>
        <w:bidi w:val="0"/>
        <w:spacing w:before="0" w:after="80"/>
        <w:ind w:firstLine="432"/>
        <w:jc w:val="both"/>
        <w:rPr>
          <w:rFonts w:hint="eastAsia"/>
        </w:rPr>
      </w:pPr>
      <w:r>
        <w:rPr>
          <w:b/>
          <w:color w:val="555555"/>
        </w:rPr>
        <w:t xml:space="preserve">[71]  </w:t>
      </w:r>
      <w:r>
        <w:rPr/>
        <w:t>The method of claim 262, further comprising enumerating a trial space for a layer, executing trial cases therefrom, and recording a coverage as a proportion of said trial space executed together with an enumeration of cases not executed.</w:t>
      </w:r>
    </w:p>
    <w:p>
      <w:pPr>
        <w:pStyle w:val="Normal"/>
        <w:bidi w:val="0"/>
        <w:spacing w:before="0" w:after="80"/>
        <w:ind w:firstLine="432"/>
        <w:jc w:val="both"/>
        <w:rPr>
          <w:rFonts w:hint="eastAsia"/>
        </w:rPr>
      </w:pPr>
      <w:r>
        <w:rPr>
          <w:b/>
          <w:color w:val="555555"/>
        </w:rPr>
        <w:t xml:space="preserve">[72]  </w:t>
      </w:r>
      <w:r>
        <w:rPr/>
        <w:t>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pStyle w:val="Normal"/>
        <w:bidi w:val="0"/>
        <w:spacing w:before="0" w:after="80"/>
        <w:ind w:firstLine="432"/>
        <w:jc w:val="both"/>
        <w:rPr>
          <w:rFonts w:hint="eastAsia"/>
        </w:rPr>
      </w:pPr>
      <w:r>
        <w:rPr>
          <w:b/>
          <w:color w:val="555555"/>
        </w:rPr>
        <w:t xml:space="preserve">[73]  </w:t>
      </w:r>
      <w:r>
        <w:rPr/>
        <w:t>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pStyle w:val="Normal"/>
        <w:bidi w:val="0"/>
        <w:spacing w:before="0" w:after="80"/>
        <w:ind w:firstLine="432"/>
        <w:jc w:val="both"/>
        <w:rPr>
          <w:rFonts w:hint="eastAsia"/>
        </w:rPr>
      </w:pPr>
      <w:r>
        <w:rPr>
          <w:b/>
          <w:color w:val="555555"/>
        </w:rPr>
        <w:t xml:space="preserve">[74]  </w:t>
      </w:r>
      <w:r>
        <w:rPr/>
        <w:t>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pStyle w:val="Normal"/>
        <w:bidi w:val="0"/>
        <w:spacing w:before="0" w:after="80"/>
        <w:ind w:firstLine="432"/>
        <w:jc w:val="both"/>
        <w:rPr>
          <w:rFonts w:hint="eastAsia"/>
        </w:rPr>
      </w:pPr>
      <w:r>
        <w:rPr>
          <w:b/>
          <w:color w:val="555555"/>
        </w:rPr>
        <w:t xml:space="preserve">[75]  </w:t>
      </w:r>
      <w:r>
        <w:rPr/>
        <w:t>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**Grasping and manipulation (claims 270–276)**</w:t>
      </w:r>
    </w:p>
    <w:p>
      <w:pPr>
        <w:pStyle w:val="Normal"/>
        <w:bidi w:val="0"/>
        <w:spacing w:before="0" w:after="80"/>
        <w:ind w:firstLine="432"/>
        <w:jc w:val="both"/>
        <w:rPr>
          <w:rFonts w:hint="eastAsia"/>
        </w:rPr>
      </w:pPr>
      <w:r>
        <w:rPr>
          <w:b/>
          <w:color w:val="555555"/>
        </w:rPr>
        <w:t xml:space="preserve">[76]  </w:t>
      </w:r>
      <w:r>
        <w:rPr/>
        <w:t>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pStyle w:val="Normal"/>
        <w:bidi w:val="0"/>
        <w:spacing w:before="0" w:after="80"/>
        <w:ind w:firstLine="432"/>
        <w:jc w:val="both"/>
        <w:rPr>
          <w:rFonts w:hint="eastAsia"/>
        </w:rPr>
      </w:pPr>
      <w:r>
        <w:rPr>
          <w:b/>
          <w:color w:val="555555"/>
        </w:rPr>
        <w:t xml:space="preserve">[77]  </w:t>
      </w:r>
      <w:r>
        <w:rPr/>
        <w:t>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pStyle w:val="Normal"/>
        <w:bidi w:val="0"/>
        <w:spacing w:before="0" w:after="80"/>
        <w:ind w:firstLine="432"/>
        <w:jc w:val="both"/>
        <w:rPr>
          <w:rFonts w:hint="eastAsia"/>
        </w:rPr>
      </w:pPr>
      <w:r>
        <w:rPr>
          <w:b/>
          <w:color w:val="555555"/>
        </w:rPr>
        <w:t xml:space="preserve">[78]  </w:t>
      </w:r>
      <w:r>
        <w:rPr/>
        <w:t>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pStyle w:val="Normal"/>
        <w:bidi w:val="0"/>
        <w:spacing w:before="0" w:after="80"/>
        <w:ind w:firstLine="432"/>
        <w:jc w:val="both"/>
        <w:rPr>
          <w:rFonts w:hint="eastAsia"/>
        </w:rPr>
      </w:pPr>
      <w:r>
        <w:rPr>
          <w:b/>
          <w:color w:val="555555"/>
        </w:rPr>
        <w:t xml:space="preserve">[79]  </w:t>
      </w:r>
      <w:r>
        <w:rPr/>
        <w:t>The method of claim 58, wherein in a third said session mode said stabilized set is ordered into a sequence of instructional steps by a dependency relation among said knowledge records, each said step citing the knowledge record from which it was composed.</w:t>
      </w:r>
    </w:p>
    <w:p>
      <w:pPr>
        <w:pStyle w:val="Normal"/>
        <w:bidi w:val="0"/>
        <w:spacing w:before="0" w:after="80"/>
        <w:ind w:firstLine="432"/>
        <w:jc w:val="both"/>
        <w:rPr>
          <w:rFonts w:hint="eastAsia"/>
        </w:rPr>
      </w:pPr>
      <w:r>
        <w:rPr>
          <w:b/>
          <w:color w:val="555555"/>
        </w:rPr>
        <w:t xml:space="preserve">[80]  </w:t>
      </w:r>
      <w:r>
        <w:rPr/>
        <w:t>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pStyle w:val="Normal"/>
        <w:bidi w:val="0"/>
        <w:spacing w:before="0" w:after="80"/>
        <w:ind w:firstLine="432"/>
        <w:jc w:val="both"/>
        <w:rPr>
          <w:rFonts w:hint="eastAsia"/>
        </w:rPr>
      </w:pPr>
      <w:r>
        <w:rPr>
          <w:b/>
          <w:color w:val="555555"/>
        </w:rPr>
        <w:t xml:space="preserve">[81]  </w:t>
      </w:r>
      <w:r>
        <w:rPr/>
        <w:t>The method of claim 58, wherein in a fourth said session mode said stabilized set is ordered by a temporal anchor field of each said knowledge record, and a knowledge record lacking a temporal anchor is reported as unordered rather than assigned a position.</w:t>
      </w:r>
    </w:p>
    <w:p>
      <w:pPr>
        <w:pStyle w:val="Normal"/>
        <w:bidi w:val="0"/>
        <w:spacing w:before="0" w:after="80"/>
        <w:ind w:firstLine="432"/>
        <w:jc w:val="both"/>
        <w:rPr>
          <w:rFonts w:hint="eastAsia"/>
        </w:rPr>
      </w:pPr>
      <w:r>
        <w:rPr>
          <w:b/>
          <w:color w:val="555555"/>
        </w:rPr>
        <w:t xml:space="preserve">[82]  </w:t>
      </w:r>
      <w:r>
        <w:rPr/>
        <w:t>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pStyle w:val="Normal"/>
        <w:bidi w:val="0"/>
        <w:spacing w:before="0" w:after="80"/>
        <w:ind w:firstLine="432"/>
        <w:jc w:val="both"/>
        <w:rPr>
          <w:rFonts w:hint="eastAsia"/>
        </w:rPr>
      </w:pPr>
      <w:r>
        <w:rPr>
          <w:b/>
          <w:color w:val="555555"/>
        </w:rPr>
        <w:t xml:space="preserve">[83]  </w:t>
      </w:r>
      <w:r>
        <w:rPr/>
        <w:t>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pStyle w:val="Normal"/>
        <w:bidi w:val="0"/>
        <w:spacing w:before="0" w:after="80"/>
        <w:ind w:firstLine="432"/>
        <w:jc w:val="both"/>
        <w:rPr>
          <w:rFonts w:hint="eastAsia"/>
        </w:rPr>
      </w:pPr>
      <w:r>
        <w:rPr>
          <w:b/>
          <w:color w:val="555555"/>
        </w:rPr>
        <w:t xml:space="preserve">[84]  </w:t>
      </w:r>
      <w:r>
        <w:rPr/>
        <w:t>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pStyle w:val="Normal"/>
        <w:bidi w:val="0"/>
        <w:spacing w:before="0" w:after="80"/>
        <w:ind w:firstLine="432"/>
        <w:jc w:val="both"/>
        <w:rPr>
          <w:rFonts w:hint="eastAsia"/>
        </w:rPr>
      </w:pPr>
      <w:r>
        <w:rPr>
          <w:b/>
          <w:color w:val="555555"/>
        </w:rPr>
        <w:t xml:space="preserve">[85]  </w:t>
      </w:r>
      <w:r>
        <w:rPr/>
        <w:t>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pStyle w:val="Normal"/>
        <w:bidi w:val="0"/>
        <w:spacing w:before="0" w:after="80"/>
        <w:ind w:firstLine="432"/>
        <w:jc w:val="both"/>
        <w:rPr>
          <w:rFonts w:hint="eastAsia"/>
        </w:rPr>
      </w:pPr>
      <w:r>
        <w:rPr>
          <w:b/>
          <w:color w:val="555555"/>
        </w:rPr>
        <w:t xml:space="preserve">[86]  </w:t>
      </w:r>
      <w:r>
        <w:rPr/>
        <w:t>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pStyle w:val="Normal"/>
        <w:bidi w:val="0"/>
        <w:spacing w:before="0" w:after="80"/>
        <w:ind w:firstLine="432"/>
        <w:jc w:val="both"/>
        <w:rPr>
          <w:rFonts w:hint="eastAsia"/>
        </w:rPr>
      </w:pPr>
      <w:r>
        <w:rPr>
          <w:b/>
          <w:color w:val="555555"/>
        </w:rPr>
        <w:t xml:space="preserve">[87]  </w:t>
      </w:r>
      <w:r>
        <w:rPr/>
        <w:t>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pStyle w:val="Normal"/>
        <w:bidi w:val="0"/>
        <w:spacing w:before="0" w:after="80"/>
        <w:ind w:firstLine="432"/>
        <w:jc w:val="both"/>
        <w:rPr>
          <w:rFonts w:hint="eastAsia"/>
        </w:rPr>
      </w:pPr>
      <w:r>
        <w:rPr>
          <w:b/>
          <w:color w:val="555555"/>
        </w:rPr>
        <w:t xml:space="preserve">[88]  </w:t>
      </w:r>
      <w:r>
        <w:rPr/>
        <w:t>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pStyle w:val="Normal"/>
        <w:bidi w:val="0"/>
        <w:spacing w:before="0" w:after="80"/>
        <w:ind w:firstLine="432"/>
        <w:jc w:val="both"/>
        <w:rPr>
          <w:rFonts w:hint="eastAsia"/>
        </w:rPr>
      </w:pPr>
      <w:r>
        <w:rPr>
          <w:b/>
          <w:color w:val="555555"/>
        </w:rPr>
        <w:t xml:space="preserve">[89]  </w:t>
      </w:r>
      <w:r>
        <w:rPr/>
        <w:t>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pStyle w:val="Normal"/>
        <w:bidi w:val="0"/>
        <w:spacing w:before="0" w:after="80"/>
        <w:ind w:firstLine="432"/>
        <w:jc w:val="both"/>
        <w:rPr>
          <w:rFonts w:hint="eastAsia"/>
        </w:rPr>
      </w:pPr>
      <w:r>
        <w:rPr>
          <w:b/>
          <w:color w:val="555555"/>
        </w:rPr>
        <w:t xml:space="preserve">[90]  </w:t>
      </w:r>
      <w:r>
        <w:rPr/>
        <w:t>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pStyle w:val="Normal"/>
        <w:bidi w:val="0"/>
        <w:spacing w:before="0" w:after="80"/>
        <w:ind w:firstLine="432"/>
        <w:jc w:val="both"/>
        <w:rPr>
          <w:rFonts w:hint="eastAsia"/>
        </w:rPr>
      </w:pPr>
      <w:r>
        <w:rPr>
          <w:b/>
          <w:color w:val="555555"/>
        </w:rPr>
        <w:t xml:space="preserve">[91]  </w:t>
      </w:r>
      <w:r>
        <w:rPr/>
        <w:t>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pStyle w:val="Normal"/>
        <w:bidi w:val="0"/>
        <w:spacing w:before="0" w:after="80"/>
        <w:ind w:firstLine="432"/>
        <w:jc w:val="both"/>
        <w:rPr>
          <w:rFonts w:hint="eastAsia"/>
        </w:rPr>
      </w:pPr>
      <w:r>
        <w:rPr>
          <w:b/>
          <w:color w:val="555555"/>
        </w:rPr>
        <w:t xml:space="preserve">[92]  </w:t>
      </w:r>
      <w:r>
        <w:rPr/>
        <w:t>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pStyle w:val="Normal"/>
        <w:bidi w:val="0"/>
        <w:spacing w:before="0" w:after="80"/>
        <w:ind w:firstLine="432"/>
        <w:jc w:val="both"/>
        <w:rPr>
          <w:rFonts w:hint="eastAsia"/>
        </w:rPr>
      </w:pPr>
      <w:r>
        <w:rPr>
          <w:b/>
          <w:color w:val="555555"/>
        </w:rPr>
        <w:t xml:space="preserve">[93]  </w:t>
      </w:r>
      <w:r>
        <w:rPr/>
        <w:t>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pStyle w:val="Normal"/>
        <w:bidi w:val="0"/>
        <w:spacing w:before="0" w:after="80"/>
        <w:ind w:firstLine="432"/>
        <w:jc w:val="both"/>
        <w:rPr>
          <w:rFonts w:hint="eastAsia"/>
        </w:rPr>
      </w:pPr>
      <w:r>
        <w:rPr>
          <w:b/>
          <w:color w:val="555555"/>
        </w:rPr>
        <w:t xml:space="preserve">[94]  </w:t>
      </w:r>
      <w:r>
        <w:rPr/>
        <w:t>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pStyle w:val="Normal"/>
        <w:bidi w:val="0"/>
        <w:spacing w:before="0" w:after="80"/>
        <w:ind w:firstLine="432"/>
        <w:jc w:val="both"/>
        <w:rPr>
          <w:rFonts w:hint="eastAsia"/>
        </w:rPr>
      </w:pPr>
      <w:r>
        <w:rPr>
          <w:b/>
          <w:color w:val="555555"/>
        </w:rPr>
        <w:t xml:space="preserve">[95]  </w:t>
      </w:r>
      <w:r>
        <w:rPr/>
        <w:t>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pStyle w:val="Normal"/>
        <w:bidi w:val="0"/>
        <w:spacing w:before="0" w:after="80"/>
        <w:ind w:firstLine="432"/>
        <w:jc w:val="both"/>
        <w:rPr>
          <w:rFonts w:hint="eastAsia"/>
        </w:rPr>
      </w:pPr>
      <w:r>
        <w:rPr>
          <w:b/>
          <w:color w:val="555555"/>
        </w:rPr>
        <w:t xml:space="preserve">[96]  </w:t>
      </w:r>
      <w:r>
        <w:rPr/>
        <w:t>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pStyle w:val="Normal"/>
        <w:bidi w:val="0"/>
        <w:spacing w:before="0" w:after="80"/>
        <w:ind w:firstLine="432"/>
        <w:jc w:val="both"/>
        <w:rPr>
          <w:rFonts w:hint="eastAsia"/>
        </w:rPr>
      </w:pPr>
      <w:r>
        <w:rPr>
          <w:b/>
          <w:color w:val="555555"/>
        </w:rPr>
        <w:t xml:space="preserve">[97]  </w:t>
      </w:r>
      <w:r>
        <w:rPr/>
        <w:t>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pStyle w:val="Normal"/>
        <w:bidi w:val="0"/>
        <w:spacing w:before="0" w:after="80"/>
        <w:ind w:firstLine="432"/>
        <w:jc w:val="both"/>
        <w:rPr>
          <w:rFonts w:hint="eastAsia"/>
        </w:rPr>
      </w:pPr>
      <w:r>
        <w:rPr>
          <w:b/>
          <w:color w:val="555555"/>
        </w:rPr>
        <w:t xml:space="preserve">[98]  </w:t>
      </w:r>
      <w:r>
        <w:rPr/>
        <w:t>The method of claim 1, further comprising accepting a submitted work into a publication workflow, validating a right to distribute said work before any said extracting is performed, and withholding said extracting until said validating returns a cleared status.</w:t>
      </w:r>
    </w:p>
    <w:p>
      <w:pPr>
        <w:pStyle w:val="Normal"/>
        <w:bidi w:val="0"/>
        <w:spacing w:before="0" w:after="80"/>
        <w:ind w:firstLine="432"/>
        <w:jc w:val="both"/>
        <w:rPr>
          <w:rFonts w:hint="eastAsia"/>
        </w:rPr>
      </w:pPr>
      <w:r>
        <w:rPr>
          <w:b/>
          <w:color w:val="555555"/>
        </w:rPr>
        <w:t xml:space="preserve">[99]  </w:t>
      </w:r>
      <w:r>
        <w:rPr/>
        <w:t>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pStyle w:val="Normal"/>
        <w:bidi w:val="0"/>
        <w:spacing w:before="0" w:after="80"/>
        <w:ind w:firstLine="432"/>
        <w:jc w:val="both"/>
        <w:rPr>
          <w:rFonts w:hint="eastAsia"/>
        </w:rPr>
      </w:pPr>
      <w:r>
        <w:rPr>
          <w:b/>
          <w:color w:val="555555"/>
        </w:rPr>
        <w:t xml:space="preserve">[100]  </w:t>
      </w:r>
      <w:r>
        <w:rPr/>
        <w:t>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pStyle w:val="Normal"/>
        <w:bidi w:val="0"/>
        <w:spacing w:before="0" w:after="80"/>
        <w:ind w:firstLine="432"/>
        <w:jc w:val="both"/>
        <w:rPr>
          <w:rFonts w:hint="eastAsia"/>
        </w:rPr>
      </w:pPr>
      <w:r>
        <w:rPr>
          <w:b/>
          <w:color w:val="555555"/>
        </w:rPr>
        <w:t xml:space="preserve">[101]  </w:t>
      </w:r>
      <w:r>
        <w:rPr/>
        <w:t>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pStyle w:val="Normal"/>
        <w:bidi w:val="0"/>
        <w:spacing w:before="0" w:after="80"/>
        <w:ind w:firstLine="432"/>
        <w:jc w:val="both"/>
        <w:rPr>
          <w:rFonts w:hint="eastAsia"/>
        </w:rPr>
      </w:pPr>
      <w:r>
        <w:rPr>
          <w:b/>
          <w:color w:val="555555"/>
        </w:rPr>
        <w:t xml:space="preserve">[102]  </w:t>
      </w:r>
      <w:r>
        <w:rPr/>
        <w:t>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pStyle w:val="Normal"/>
        <w:bidi w:val="0"/>
        <w:spacing w:before="0" w:after="80"/>
        <w:ind w:firstLine="432"/>
        <w:jc w:val="both"/>
        <w:rPr>
          <w:rFonts w:hint="eastAsia"/>
        </w:rPr>
      </w:pPr>
      <w:r>
        <w:rPr>
          <w:b/>
          <w:color w:val="555555"/>
        </w:rPr>
        <w:t xml:space="preserve">[103]  </w:t>
      </w:r>
      <w:r>
        <w:rPr/>
        <w:t>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pStyle w:val="Normal"/>
        <w:bidi w:val="0"/>
        <w:spacing w:before="0" w:after="80"/>
        <w:ind w:firstLine="432"/>
        <w:jc w:val="both"/>
        <w:rPr>
          <w:rFonts w:hint="eastAsia"/>
        </w:rPr>
      </w:pPr>
      <w:r>
        <w:rPr>
          <w:b/>
          <w:color w:val="555555"/>
        </w:rPr>
        <w:t xml:space="preserve">[104]  </w:t>
      </w:r>
      <w:r>
        <w:rPr/>
        <w:t>The method of claim 1, further comprising emitting a device output on a sensory channel only in response to an explicit user action tied to a sensory profile authored for specific content, wherein no said emitting is triggered by a state inferred by the system.</w:t>
      </w:r>
    </w:p>
    <w:p>
      <w:pPr>
        <w:pStyle w:val="Normal"/>
        <w:bidi w:val="0"/>
        <w:spacing w:before="0" w:after="80"/>
        <w:ind w:firstLine="432"/>
        <w:jc w:val="both"/>
        <w:rPr>
          <w:rFonts w:hint="eastAsia"/>
        </w:rPr>
      </w:pPr>
      <w:r>
        <w:rPr>
          <w:b/>
          <w:color w:val="555555"/>
        </w:rPr>
        <w:t xml:space="preserve">[105]  </w:t>
      </w:r>
      <w:r>
        <w:rPr/>
        <w:t>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pStyle w:val="Normal"/>
        <w:bidi w:val="0"/>
        <w:spacing w:before="0" w:after="80"/>
        <w:ind w:firstLine="432"/>
        <w:jc w:val="both"/>
        <w:rPr>
          <w:rFonts w:hint="eastAsia"/>
        </w:rPr>
      </w:pPr>
      <w:r>
        <w:rPr>
          <w:b/>
          <w:color w:val="555555"/>
        </w:rPr>
        <w:t xml:space="preserve">[106]  </w:t>
      </w:r>
      <w:r>
        <w:rPr/>
        <w:t>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pStyle w:val="Normal"/>
        <w:bidi w:val="0"/>
        <w:spacing w:before="0" w:after="80"/>
        <w:ind w:firstLine="432"/>
        <w:jc w:val="both"/>
        <w:rPr>
          <w:rFonts w:hint="eastAsia"/>
        </w:rPr>
      </w:pPr>
      <w:r>
        <w:rPr>
          <w:b/>
          <w:color w:val="555555"/>
        </w:rPr>
        <w:t xml:space="preserve">[107]  </w:t>
      </w:r>
      <w:r>
        <w:rPr/>
        <w:t>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pStyle w:val="Normal"/>
        <w:bidi w:val="0"/>
        <w:spacing w:before="0" w:after="80"/>
        <w:ind w:firstLine="432"/>
        <w:jc w:val="both"/>
        <w:rPr>
          <w:rFonts w:hint="eastAsia"/>
        </w:rPr>
      </w:pPr>
      <w:r>
        <w:rPr>
          <w:b/>
          <w:color w:val="555555"/>
        </w:rPr>
        <w:t xml:space="preserve">[108]  </w:t>
      </w:r>
      <w:r>
        <w:rPr/>
        <w:t>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pStyle w:val="Normal"/>
        <w:bidi w:val="0"/>
        <w:spacing w:before="0" w:after="80"/>
        <w:ind w:firstLine="432"/>
        <w:jc w:val="both"/>
        <w:rPr>
          <w:rFonts w:hint="eastAsia"/>
        </w:rPr>
      </w:pPr>
      <w:r>
        <w:rPr>
          <w:b/>
          <w:color w:val="555555"/>
        </w:rPr>
        <w:t xml:space="preserve">[109]  </w:t>
      </w:r>
      <w:r>
        <w:rPr/>
        <w:t>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pStyle w:val="Normal"/>
        <w:bidi w:val="0"/>
        <w:spacing w:before="0" w:after="80"/>
        <w:ind w:firstLine="432"/>
        <w:jc w:val="both"/>
        <w:rPr>
          <w:rFonts w:hint="eastAsia"/>
        </w:rPr>
      </w:pPr>
      <w:r>
        <w:rPr>
          <w:b/>
          <w:color w:val="555555"/>
        </w:rPr>
        <w:t xml:space="preserve">[110]  </w:t>
      </w:r>
      <w:r>
        <w:rPr/>
        <w:t>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pStyle w:val="Normal"/>
        <w:bidi w:val="0"/>
        <w:spacing w:before="0" w:after="80"/>
        <w:ind w:firstLine="432"/>
        <w:jc w:val="both"/>
        <w:rPr>
          <w:rFonts w:hint="eastAsia"/>
        </w:rPr>
      </w:pPr>
      <w:r>
        <w:rPr>
          <w:b/>
          <w:color w:val="555555"/>
        </w:rPr>
        <w:t xml:space="preserve">[111]  </w:t>
      </w:r>
      <w:r>
        <w:rPr/>
        <w:t>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pStyle w:val="Normal"/>
        <w:bidi w:val="0"/>
        <w:spacing w:before="0" w:after="80"/>
        <w:ind w:firstLine="432"/>
        <w:jc w:val="both"/>
        <w:rPr>
          <w:rFonts w:hint="eastAsia"/>
        </w:rPr>
      </w:pPr>
      <w:r>
        <w:rPr>
          <w:b/>
          <w:color w:val="555555"/>
        </w:rPr>
        <w:t xml:space="preserve">[112]  </w:t>
      </w:r>
      <w:r>
        <w:rPr/>
        <w:t>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pStyle w:val="Normal"/>
        <w:bidi w:val="0"/>
        <w:spacing w:before="0" w:after="80"/>
        <w:ind w:firstLine="432"/>
        <w:jc w:val="both"/>
        <w:rPr>
          <w:rFonts w:hint="eastAsia"/>
        </w:rPr>
      </w:pPr>
      <w:r>
        <w:rPr>
          <w:b/>
          <w:color w:val="555555"/>
        </w:rPr>
        <w:t xml:space="preserve">[113]  </w:t>
      </w:r>
      <w:r>
        <w:rPr/>
        <w:t>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pStyle w:val="Normal"/>
        <w:bidi w:val="0"/>
        <w:spacing w:before="0" w:after="80"/>
        <w:ind w:firstLine="432"/>
        <w:jc w:val="both"/>
        <w:rPr>
          <w:rFonts w:hint="eastAsia"/>
        </w:rPr>
      </w:pPr>
      <w:r>
        <w:rPr>
          <w:b/>
          <w:color w:val="555555"/>
        </w:rPr>
        <w:t xml:space="preserve">[114]  </w:t>
      </w:r>
      <w:r>
        <w:rPr/>
        <w:t>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pStyle w:val="Normal"/>
        <w:bidi w:val="0"/>
        <w:spacing w:before="0" w:after="80"/>
        <w:ind w:firstLine="432"/>
        <w:jc w:val="both"/>
        <w:rPr>
          <w:rFonts w:hint="eastAsia"/>
        </w:rPr>
      </w:pPr>
      <w:r>
        <w:rPr>
          <w:b/>
          <w:color w:val="555555"/>
        </w:rPr>
        <w:t xml:space="preserve">[115]  </w:t>
      </w:r>
      <w:r>
        <w:rPr/>
        <w:t>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pStyle w:val="Normal"/>
        <w:bidi w:val="0"/>
        <w:spacing w:before="0" w:after="80"/>
        <w:ind w:firstLine="432"/>
        <w:jc w:val="both"/>
        <w:rPr>
          <w:rFonts w:hint="eastAsia"/>
        </w:rPr>
      </w:pPr>
      <w:r>
        <w:rPr>
          <w:b/>
          <w:color w:val="555555"/>
        </w:rPr>
        <w:t xml:space="preserve">[116]  </w:t>
      </w:r>
      <w:r>
        <w:rPr/>
        <w:t>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pStyle w:val="Normal"/>
        <w:bidi w:val="0"/>
        <w:spacing w:before="0" w:after="80"/>
        <w:ind w:firstLine="432"/>
        <w:jc w:val="both"/>
        <w:rPr>
          <w:rFonts w:hint="eastAsia"/>
        </w:rPr>
      </w:pPr>
      <w:r>
        <w:rPr>
          <w:b/>
          <w:color w:val="555555"/>
        </w:rPr>
        <w:t xml:space="preserve">[117]  </w:t>
      </w:r>
      <w:r>
        <w:rPr/>
        <w:t>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pStyle w:val="Normal"/>
        <w:bidi w:val="0"/>
        <w:spacing w:before="0" w:after="80"/>
        <w:ind w:firstLine="432"/>
        <w:jc w:val="both"/>
        <w:rPr>
          <w:rFonts w:hint="eastAsia"/>
        </w:rPr>
      </w:pPr>
      <w:r>
        <w:rPr>
          <w:b/>
          <w:color w:val="555555"/>
        </w:rPr>
        <w:t xml:space="preserve">[118]  </w:t>
      </w:r>
      <w:r>
        <w:rPr/>
        <w:t>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pStyle w:val="Normal"/>
        <w:bidi w:val="0"/>
        <w:spacing w:before="0" w:after="80"/>
        <w:ind w:firstLine="432"/>
        <w:jc w:val="both"/>
        <w:rPr>
          <w:rFonts w:hint="eastAsia"/>
        </w:rPr>
      </w:pPr>
      <w:r>
        <w:rPr>
          <w:b/>
          <w:color w:val="555555"/>
        </w:rPr>
        <w:t xml:space="preserve">[119]  </w:t>
      </w:r>
      <w:r>
        <w:rPr/>
        <w:t>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pStyle w:val="Normal"/>
        <w:bidi w:val="0"/>
        <w:spacing w:before="0" w:after="80"/>
        <w:ind w:firstLine="432"/>
        <w:jc w:val="both"/>
        <w:rPr>
          <w:rFonts w:hint="eastAsia"/>
        </w:rPr>
      </w:pPr>
      <w:r>
        <w:rPr>
          <w:b/>
          <w:color w:val="555555"/>
        </w:rPr>
        <w:t xml:space="preserve">[120]  </w:t>
      </w:r>
      <w:r>
        <w:rPr/>
        <w:t>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pStyle w:val="Normal"/>
        <w:bidi w:val="0"/>
        <w:spacing w:before="0" w:after="80"/>
        <w:ind w:firstLine="432"/>
        <w:jc w:val="both"/>
        <w:rPr>
          <w:rFonts w:hint="eastAsia"/>
        </w:rPr>
      </w:pPr>
      <w:r>
        <w:rPr>
          <w:b/>
          <w:color w:val="555555"/>
        </w:rPr>
        <w:t xml:space="preserve">[121]  </w:t>
      </w:r>
      <w:r>
        <w:rPr/>
        <w:t>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pStyle w:val="Normal"/>
        <w:bidi w:val="0"/>
        <w:spacing w:before="0" w:after="80"/>
        <w:ind w:firstLine="432"/>
        <w:jc w:val="both"/>
        <w:rPr>
          <w:rFonts w:hint="eastAsia"/>
        </w:rPr>
      </w:pPr>
      <w:r>
        <w:rPr>
          <w:b/>
          <w:color w:val="555555"/>
        </w:rPr>
        <w:t xml:space="preserve">[122]  </w:t>
      </w:r>
      <w:r>
        <w:rPr/>
        <w:t>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pStyle w:val="Normal"/>
        <w:bidi w:val="0"/>
        <w:spacing w:before="0" w:after="80"/>
        <w:ind w:firstLine="432"/>
        <w:jc w:val="both"/>
        <w:rPr>
          <w:rFonts w:hint="eastAsia"/>
        </w:rPr>
      </w:pPr>
      <w:r>
        <w:rPr>
          <w:b/>
          <w:color w:val="555555"/>
        </w:rPr>
        <w:t xml:space="preserve">[123]  </w:t>
      </w:r>
      <w:r>
        <w:rPr/>
        <w:t>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pStyle w:val="Normal"/>
        <w:bidi w:val="0"/>
        <w:spacing w:before="0" w:after="80"/>
        <w:ind w:firstLine="432"/>
        <w:jc w:val="both"/>
        <w:rPr>
          <w:rFonts w:hint="eastAsia"/>
        </w:rPr>
      </w:pPr>
      <w:r>
        <w:rPr>
          <w:b/>
          <w:color w:val="555555"/>
        </w:rPr>
        <w:t xml:space="preserve">[124]  </w:t>
      </w:r>
      <w:r>
        <w:rPr/>
        <w:t>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pStyle w:val="Normal"/>
        <w:bidi w:val="0"/>
        <w:spacing w:before="0" w:after="80"/>
        <w:ind w:firstLine="432"/>
        <w:jc w:val="both"/>
        <w:rPr>
          <w:rFonts w:hint="eastAsia"/>
        </w:rPr>
      </w:pPr>
      <w:r>
        <w:rPr>
          <w:b/>
          <w:color w:val="555555"/>
        </w:rPr>
        <w:t xml:space="preserve">[125]  </w:t>
      </w:r>
      <w:r>
        <w:rPr/>
        <w:t>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pStyle w:val="Normal"/>
        <w:bidi w:val="0"/>
        <w:spacing w:before="0" w:after="80"/>
        <w:ind w:firstLine="432"/>
        <w:jc w:val="both"/>
        <w:rPr>
          <w:rFonts w:hint="eastAsia"/>
        </w:rPr>
      </w:pPr>
      <w:r>
        <w:rPr>
          <w:b/>
          <w:color w:val="555555"/>
        </w:rPr>
        <w:t xml:space="preserve">[126]  </w:t>
      </w:r>
      <w:r>
        <w:rPr/>
        <w:t>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**Confidence as a Beta posterior (claims 125–129)**</w:t>
      </w:r>
    </w:p>
    <w:p>
      <w:pPr>
        <w:pStyle w:val="Normal"/>
        <w:bidi w:val="0"/>
        <w:spacing w:before="0" w:after="80"/>
        <w:ind w:firstLine="432"/>
        <w:jc w:val="both"/>
        <w:rPr>
          <w:rFonts w:hint="eastAsia"/>
        </w:rPr>
      </w:pPr>
      <w:r>
        <w:rPr>
          <w:b/>
          <w:color w:val="555555"/>
        </w:rPr>
        <w:t xml:space="preserve">[127]  </w:t>
      </w:r>
      <w:r>
        <w:rPr/>
        <w:t>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pStyle w:val="Normal"/>
        <w:bidi w:val="0"/>
        <w:spacing w:before="0" w:after="80"/>
        <w:ind w:firstLine="432"/>
        <w:jc w:val="both"/>
        <w:rPr>
          <w:rFonts w:hint="eastAsia"/>
        </w:rPr>
      </w:pPr>
      <w:r>
        <w:rPr>
          <w:b/>
          <w:color w:val="555555"/>
        </w:rPr>
        <w:t xml:space="preserve">[128]  </w:t>
      </w:r>
      <w:r>
        <w:rPr/>
        <w:t>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pStyle w:val="Normal"/>
        <w:bidi w:val="0"/>
        <w:spacing w:before="0" w:after="80"/>
        <w:ind w:firstLine="432"/>
        <w:jc w:val="both"/>
        <w:rPr>
          <w:rFonts w:hint="eastAsia"/>
        </w:rPr>
      </w:pPr>
      <w:r>
        <w:rPr>
          <w:b/>
          <w:color w:val="555555"/>
        </w:rPr>
        <w:t xml:space="preserve">[129]  </w:t>
      </w:r>
      <w:r>
        <w:rPr/>
        <w:t>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pStyle w:val="Normal"/>
        <w:bidi w:val="0"/>
        <w:spacing w:before="0" w:after="80"/>
        <w:ind w:firstLine="432"/>
        <w:jc w:val="both"/>
        <w:rPr>
          <w:rFonts w:hint="eastAsia"/>
        </w:rPr>
      </w:pPr>
      <w:r>
        <w:rPr>
          <w:b/>
          <w:color w:val="555555"/>
        </w:rPr>
        <w:t xml:space="preserve">[130]  </w:t>
      </w:r>
      <w:r>
        <w:rPr/>
        <w:t>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pStyle w:val="Normal"/>
        <w:bidi w:val="0"/>
        <w:spacing w:before="0" w:after="80"/>
        <w:ind w:firstLine="432"/>
        <w:jc w:val="both"/>
        <w:rPr>
          <w:rFonts w:hint="eastAsia"/>
        </w:rPr>
      </w:pPr>
      <w:r>
        <w:rPr>
          <w:b/>
          <w:color w:val="555555"/>
        </w:rPr>
        <w:t xml:space="preserve">[131]  </w:t>
      </w:r>
      <w:r>
        <w:rPr/>
        <w:t>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**Precision-weighted error propagation (claims 130–133)**</w:t>
      </w:r>
    </w:p>
    <w:p>
      <w:pPr>
        <w:pStyle w:val="Normal"/>
        <w:bidi w:val="0"/>
        <w:spacing w:before="0" w:after="80"/>
        <w:ind w:firstLine="432"/>
        <w:jc w:val="both"/>
        <w:rPr>
          <w:rFonts w:hint="eastAsia"/>
        </w:rPr>
      </w:pPr>
      <w:r>
        <w:rPr>
          <w:b/>
          <w:color w:val="555555"/>
        </w:rPr>
        <w:t xml:space="preserve">[132]  </w:t>
      </w:r>
      <w:r>
        <w:rPr/>
        <w:t>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pStyle w:val="Normal"/>
        <w:bidi w:val="0"/>
        <w:spacing w:before="0" w:after="80"/>
        <w:ind w:firstLine="432"/>
        <w:jc w:val="both"/>
        <w:rPr>
          <w:rFonts w:hint="eastAsia"/>
        </w:rPr>
      </w:pPr>
      <w:r>
        <w:rPr>
          <w:b/>
          <w:color w:val="555555"/>
        </w:rPr>
        <w:t xml:space="preserve">[133]  </w:t>
      </w:r>
      <w:r>
        <w:rPr/>
        <w:t>The method of claim 130, wherein two knowledge records having an identical said reported confidence value and differing sums of said parameters yield differing said revision gains against a common attribute.</w:t>
      </w:r>
    </w:p>
    <w:p>
      <w:pPr>
        <w:pStyle w:val="Normal"/>
        <w:bidi w:val="0"/>
        <w:spacing w:before="0" w:after="80"/>
        <w:ind w:firstLine="432"/>
        <w:jc w:val="both"/>
        <w:rPr>
          <w:rFonts w:hint="eastAsia"/>
        </w:rPr>
      </w:pPr>
      <w:r>
        <w:rPr>
          <w:b/>
          <w:color w:val="555555"/>
        </w:rPr>
        <w:t xml:space="preserve">[134]  </w:t>
      </w:r>
      <w:r>
        <w:rPr/>
        <w:t>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pStyle w:val="Normal"/>
        <w:bidi w:val="0"/>
        <w:spacing w:before="0" w:after="80"/>
        <w:ind w:firstLine="432"/>
        <w:jc w:val="both"/>
        <w:rPr>
          <w:rFonts w:hint="eastAsia"/>
        </w:rPr>
      </w:pPr>
      <w:r>
        <w:rPr>
          <w:b/>
          <w:color w:val="555555"/>
        </w:rPr>
        <w:t xml:space="preserve">[135]  </w:t>
      </w:r>
      <w:r>
        <w:rPr/>
        <w:t>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**Physical constraint enforcement in scene completion (claims 134–138)**</w:t>
      </w:r>
    </w:p>
    <w:p>
      <w:pPr>
        <w:pStyle w:val="Normal"/>
        <w:bidi w:val="0"/>
        <w:spacing w:before="0" w:after="80"/>
        <w:ind w:firstLine="432"/>
        <w:jc w:val="both"/>
        <w:rPr>
          <w:rFonts w:hint="eastAsia"/>
        </w:rPr>
      </w:pPr>
      <w:r>
        <w:rPr>
          <w:b/>
          <w:color w:val="555555"/>
        </w:rPr>
        <w:t xml:space="preserve">[136]  </w:t>
      </w:r>
      <w:r>
        <w:rPr/>
        <w:t>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pStyle w:val="Normal"/>
        <w:bidi w:val="0"/>
        <w:spacing w:before="0" w:after="80"/>
        <w:ind w:firstLine="432"/>
        <w:jc w:val="both"/>
        <w:rPr>
          <w:rFonts w:hint="eastAsia"/>
        </w:rPr>
      </w:pPr>
      <w:r>
        <w:rPr>
          <w:b/>
          <w:color w:val="555555"/>
        </w:rPr>
        <w:t xml:space="preserve">[137]  </w:t>
      </w:r>
      <w:r>
        <w:rPr/>
        <w:t>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pStyle w:val="Normal"/>
        <w:bidi w:val="0"/>
        <w:spacing w:before="0" w:after="80"/>
        <w:ind w:firstLine="432"/>
        <w:jc w:val="both"/>
        <w:rPr>
          <w:rFonts w:hint="eastAsia"/>
        </w:rPr>
      </w:pPr>
      <w:r>
        <w:rPr>
          <w:b/>
          <w:color w:val="555555"/>
        </w:rPr>
        <w:t xml:space="preserve">[138]  </w:t>
      </w:r>
      <w:r>
        <w:rPr/>
        <w:t>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pStyle w:val="Normal"/>
        <w:bidi w:val="0"/>
        <w:spacing w:before="0" w:after="80"/>
        <w:ind w:firstLine="432"/>
        <w:jc w:val="both"/>
        <w:rPr>
          <w:rFonts w:hint="eastAsia"/>
        </w:rPr>
      </w:pPr>
      <w:r>
        <w:rPr>
          <w:b/>
          <w:color w:val="555555"/>
        </w:rPr>
        <w:t xml:space="preserve">[139]  </w:t>
      </w:r>
      <w:r>
        <w:rPr/>
        <w:t>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pStyle w:val="Normal"/>
        <w:bidi w:val="0"/>
        <w:spacing w:before="0" w:after="80"/>
        <w:ind w:firstLine="432"/>
        <w:jc w:val="both"/>
        <w:rPr>
          <w:rFonts w:hint="eastAsia"/>
        </w:rPr>
      </w:pPr>
      <w:r>
        <w:rPr>
          <w:b/>
          <w:color w:val="555555"/>
        </w:rPr>
        <w:t xml:space="preserve">[140]  </w:t>
      </w:r>
      <w:r>
        <w:rPr/>
        <w:t>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pStyle w:val="Normal"/>
        <w:bidi w:val="0"/>
        <w:spacing w:before="0" w:after="80"/>
        <w:ind w:firstLine="432"/>
        <w:jc w:val="both"/>
        <w:rPr>
          <w:rFonts w:hint="eastAsia"/>
        </w:rPr>
      </w:pPr>
      <w:r>
        <w:rPr>
          <w:b/>
          <w:color w:val="555555"/>
        </w:rPr>
        <w:t xml:space="preserve">[141]  </w:t>
      </w:r>
      <w:r>
        <w:rPr/>
        <w:t>The method of claim 284, wherein no said level revises a constraint registered as governing a physical relation, an observation apparently contradicting a said constraint being recorded in a persistent contradiction index rather than relaxing said constraint. **Differentiated propagation and tri-temporal scope (claims 290–295)**</w:t>
      </w:r>
    </w:p>
    <w:p>
      <w:pPr>
        <w:pStyle w:val="Normal"/>
        <w:bidi w:val="0"/>
        <w:spacing w:before="0" w:after="80"/>
        <w:ind w:firstLine="432"/>
        <w:jc w:val="both"/>
        <w:rPr>
          <w:rFonts w:hint="eastAsia"/>
        </w:rPr>
      </w:pPr>
      <w:r>
        <w:rPr>
          <w:b/>
          <w:color w:val="555555"/>
        </w:rPr>
        <w:t xml:space="preserve">[142]  </w:t>
      </w:r>
      <w:r>
        <w:rPr/>
        <w:t>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pStyle w:val="Normal"/>
        <w:bidi w:val="0"/>
        <w:spacing w:before="0" w:after="80"/>
        <w:ind w:firstLine="432"/>
        <w:jc w:val="both"/>
        <w:rPr>
          <w:rFonts w:hint="eastAsia"/>
        </w:rPr>
      </w:pPr>
      <w:r>
        <w:rPr>
          <w:b/>
          <w:color w:val="555555"/>
        </w:rPr>
        <w:t xml:space="preserve">[143]  </w:t>
      </w:r>
      <w:r>
        <w:rPr/>
        <w:t>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pStyle w:val="Normal"/>
        <w:bidi w:val="0"/>
        <w:spacing w:before="0" w:after="80"/>
        <w:ind w:firstLine="432"/>
        <w:jc w:val="both"/>
        <w:rPr>
          <w:rFonts w:hint="eastAsia"/>
        </w:rPr>
      </w:pPr>
      <w:r>
        <w:rPr>
          <w:b/>
          <w:color w:val="555555"/>
        </w:rPr>
        <w:t xml:space="preserve">[144]  </w:t>
      </w:r>
      <w:r>
        <w:rPr/>
        <w:t>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pStyle w:val="Normal"/>
        <w:bidi w:val="0"/>
        <w:spacing w:before="0" w:after="80"/>
        <w:ind w:firstLine="432"/>
        <w:jc w:val="both"/>
        <w:rPr>
          <w:rFonts w:hint="eastAsia"/>
        </w:rPr>
      </w:pPr>
      <w:r>
        <w:rPr>
          <w:b/>
          <w:color w:val="555555"/>
        </w:rPr>
        <w:t xml:space="preserve">[145]  </w:t>
      </w:r>
      <w:r>
        <w:rPr/>
        <w:t>The method of claim 193, further comprising indicating, in an output relying upon a knowledge record whose said diversity measure is below a configured threshold, that support for said knowledge record is concentrated within a single said source class. **The interpretive layer — context, perspective, ergonomic, cultural and social modulation (claims 197–204)**</w:t>
      </w:r>
    </w:p>
    <w:p>
      <w:pPr>
        <w:pStyle w:val="Normal"/>
        <w:bidi w:val="0"/>
        <w:spacing w:before="0" w:after="80"/>
        <w:ind w:firstLine="432"/>
        <w:jc w:val="both"/>
        <w:rPr>
          <w:rFonts w:hint="eastAsia"/>
        </w:rPr>
      </w:pPr>
      <w:r>
        <w:rPr>
          <w:b/>
          <w:color w:val="555555"/>
        </w:rPr>
        <w:t xml:space="preserve">[146]  </w:t>
      </w:r>
      <w:r>
        <w:rPr/>
        <w:t>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pStyle w:val="Normal"/>
        <w:bidi w:val="0"/>
        <w:spacing w:before="0" w:after="80"/>
        <w:ind w:firstLine="432"/>
        <w:jc w:val="both"/>
        <w:rPr>
          <w:rFonts w:hint="eastAsia"/>
        </w:rPr>
      </w:pPr>
      <w:r>
        <w:rPr>
          <w:b/>
          <w:color w:val="555555"/>
        </w:rPr>
        <w:t xml:space="preserve">[147]  </w:t>
      </w:r>
      <w:r>
        <w:rPr/>
        <w:t>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pStyle w:val="Normal"/>
        <w:bidi w:val="0"/>
        <w:spacing w:before="0" w:after="80"/>
        <w:ind w:firstLine="432"/>
        <w:jc w:val="both"/>
        <w:rPr>
          <w:rFonts w:hint="eastAsia"/>
        </w:rPr>
      </w:pPr>
      <w:r>
        <w:rPr>
          <w:b/>
          <w:color w:val="555555"/>
        </w:rPr>
        <w:t xml:space="preserve">[148]  </w:t>
      </w:r>
      <w:r>
        <w:rPr/>
        <w:t>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pStyle w:val="Normal"/>
        <w:bidi w:val="0"/>
        <w:spacing w:before="0" w:after="80"/>
        <w:ind w:firstLine="432"/>
        <w:jc w:val="both"/>
        <w:rPr>
          <w:rFonts w:hint="eastAsia"/>
        </w:rPr>
      </w:pPr>
      <w:r>
        <w:rPr>
          <w:b/>
          <w:color w:val="555555"/>
        </w:rPr>
        <w:t xml:space="preserve">[149]  </w:t>
      </w:r>
      <w:r>
        <w:rPr/>
        <w:t>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pStyle w:val="Normal"/>
        <w:bidi w:val="0"/>
        <w:spacing w:before="0" w:after="80"/>
        <w:ind w:firstLine="432"/>
        <w:jc w:val="both"/>
        <w:rPr>
          <w:rFonts w:hint="eastAsia"/>
        </w:rPr>
      </w:pPr>
      <w:r>
        <w:rPr>
          <w:b/>
          <w:color w:val="555555"/>
        </w:rPr>
        <w:t xml:space="preserve">[150]  </w:t>
      </w:r>
      <w:r>
        <w:rPr/>
        <w:t>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**Surfaces, extensibility and external integration (claims 139–156)**</w:t>
      </w:r>
    </w:p>
    <w:p>
      <w:pPr>
        <w:pStyle w:val="Normal"/>
        <w:bidi w:val="0"/>
        <w:spacing w:before="0" w:after="80"/>
        <w:ind w:firstLine="432"/>
        <w:jc w:val="both"/>
        <w:rPr>
          <w:rFonts w:hint="eastAsia"/>
        </w:rPr>
      </w:pPr>
      <w:r>
        <w:rPr>
          <w:b/>
          <w:color w:val="555555"/>
        </w:rPr>
        <w:t xml:space="preserve">[151]  </w:t>
      </w:r>
      <w:r>
        <w:rPr/>
        <w:t>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pStyle w:val="Normal"/>
        <w:bidi w:val="0"/>
        <w:spacing w:before="0" w:after="80"/>
        <w:ind w:firstLine="432"/>
        <w:jc w:val="both"/>
        <w:rPr>
          <w:rFonts w:hint="eastAsia"/>
        </w:rPr>
      </w:pPr>
      <w:r>
        <w:rPr>
          <w:b/>
          <w:color w:val="555555"/>
        </w:rPr>
        <w:t xml:space="preserve">[152]  </w:t>
      </w:r>
      <w:r>
        <w:rPr/>
        <w:t>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pStyle w:val="Normal"/>
        <w:bidi w:val="0"/>
        <w:spacing w:before="0" w:after="80"/>
        <w:ind w:firstLine="432"/>
        <w:jc w:val="both"/>
        <w:rPr>
          <w:rFonts w:hint="eastAsia"/>
        </w:rPr>
      </w:pPr>
      <w:r>
        <w:rPr>
          <w:b/>
          <w:color w:val="555555"/>
        </w:rPr>
        <w:t xml:space="preserve">[153]  </w:t>
      </w:r>
      <w:r>
        <w:rPr/>
        <w:t>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pStyle w:val="Normal"/>
        <w:bidi w:val="0"/>
        <w:spacing w:before="0" w:after="80"/>
        <w:ind w:firstLine="432"/>
        <w:jc w:val="both"/>
        <w:rPr>
          <w:rFonts w:hint="eastAsia"/>
        </w:rPr>
      </w:pPr>
      <w:r>
        <w:rPr>
          <w:b/>
          <w:color w:val="555555"/>
        </w:rPr>
        <w:t xml:space="preserve">[154]  </w:t>
      </w:r>
      <w:r>
        <w:rPr/>
        <w:t>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pStyle w:val="Normal"/>
        <w:bidi w:val="0"/>
        <w:spacing w:before="0" w:after="80"/>
        <w:ind w:firstLine="432"/>
        <w:jc w:val="both"/>
        <w:rPr>
          <w:rFonts w:hint="eastAsia"/>
        </w:rPr>
      </w:pPr>
      <w:r>
        <w:rPr>
          <w:b/>
          <w:color w:val="555555"/>
        </w:rPr>
        <w:t xml:space="preserve">[155]  </w:t>
      </w:r>
      <w:r>
        <w:rPr/>
        <w:t>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pStyle w:val="Normal"/>
        <w:bidi w:val="0"/>
        <w:spacing w:before="0" w:after="80"/>
        <w:ind w:firstLine="432"/>
        <w:jc w:val="both"/>
        <w:rPr>
          <w:rFonts w:hint="eastAsia"/>
        </w:rPr>
      </w:pPr>
      <w:r>
        <w:rPr>
          <w:b/>
          <w:color w:val="555555"/>
        </w:rPr>
        <w:t xml:space="preserve">[156]  </w:t>
      </w:r>
      <w:r>
        <w:rPr/>
        <w:t>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pStyle w:val="Normal"/>
        <w:bidi w:val="0"/>
        <w:spacing w:before="0" w:after="80"/>
        <w:ind w:firstLine="432"/>
        <w:jc w:val="both"/>
        <w:rPr>
          <w:rFonts w:hint="eastAsia"/>
        </w:rPr>
      </w:pPr>
      <w:r>
        <w:rPr>
          <w:b/>
          <w:color w:val="555555"/>
        </w:rPr>
        <w:t xml:space="preserve">[157]  </w:t>
      </w:r>
      <w:r>
        <w:rPr/>
        <w:t>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pStyle w:val="Normal"/>
        <w:bidi w:val="0"/>
        <w:spacing w:before="0" w:after="80"/>
        <w:ind w:firstLine="432"/>
        <w:jc w:val="both"/>
        <w:rPr>
          <w:rFonts w:hint="eastAsia"/>
        </w:rPr>
      </w:pPr>
      <w:r>
        <w:rPr>
          <w:b/>
          <w:color w:val="555555"/>
        </w:rPr>
        <w:t xml:space="preserve">[158]  </w:t>
      </w:r>
      <w:r>
        <w:rPr/>
        <w:t>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pStyle w:val="Normal"/>
        <w:bidi w:val="0"/>
        <w:spacing w:before="0" w:after="80"/>
        <w:ind w:firstLine="432"/>
        <w:jc w:val="both"/>
        <w:rPr>
          <w:rFonts w:hint="eastAsia"/>
        </w:rPr>
      </w:pPr>
      <w:r>
        <w:rPr>
          <w:b/>
          <w:color w:val="555555"/>
        </w:rPr>
        <w:t xml:space="preserve">[159]  </w:t>
      </w:r>
      <w:r>
        <w:rPr/>
        <w:t>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pStyle w:val="Normal"/>
        <w:bidi w:val="0"/>
        <w:spacing w:before="0" w:after="80"/>
        <w:ind w:firstLine="432"/>
        <w:jc w:val="both"/>
        <w:rPr>
          <w:rFonts w:hint="eastAsia"/>
        </w:rPr>
      </w:pPr>
      <w:r>
        <w:rPr>
          <w:b/>
          <w:color w:val="555555"/>
        </w:rPr>
        <w:t xml:space="preserve">[160]  </w:t>
      </w:r>
      <w:r>
        <w:rPr/>
        <w:t>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pStyle w:val="Normal"/>
        <w:bidi w:val="0"/>
        <w:spacing w:before="0" w:after="80"/>
        <w:ind w:firstLine="432"/>
        <w:jc w:val="both"/>
        <w:rPr>
          <w:rFonts w:hint="eastAsia"/>
        </w:rPr>
      </w:pPr>
      <w:r>
        <w:rPr>
          <w:b/>
          <w:color w:val="555555"/>
        </w:rPr>
        <w:t xml:space="preserve">[161]  </w:t>
      </w:r>
      <w:r>
        <w:rPr/>
        <w:t>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pStyle w:val="Normal"/>
        <w:bidi w:val="0"/>
        <w:spacing w:before="0" w:after="80"/>
        <w:ind w:firstLine="432"/>
        <w:jc w:val="both"/>
        <w:rPr>
          <w:rFonts w:hint="eastAsia"/>
        </w:rPr>
      </w:pPr>
      <w:r>
        <w:rPr>
          <w:b/>
          <w:color w:val="555555"/>
        </w:rPr>
        <w:t xml:space="preserve">[162]  </w:t>
      </w:r>
      <w:r>
        <w:rPr/>
        <w:t>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pStyle w:val="Normal"/>
        <w:bidi w:val="0"/>
        <w:spacing w:before="0" w:after="80"/>
        <w:ind w:firstLine="432"/>
        <w:jc w:val="both"/>
        <w:rPr>
          <w:rFonts w:hint="eastAsia"/>
        </w:rPr>
      </w:pPr>
      <w:r>
        <w:rPr>
          <w:b/>
          <w:color w:val="555555"/>
        </w:rPr>
        <w:t xml:space="preserve">[163]  </w:t>
      </w:r>
      <w:r>
        <w:rPr/>
        <w:t>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pStyle w:val="Normal"/>
        <w:bidi w:val="0"/>
        <w:spacing w:before="0" w:after="80"/>
        <w:ind w:firstLine="432"/>
        <w:jc w:val="both"/>
        <w:rPr>
          <w:rFonts w:hint="eastAsia"/>
        </w:rPr>
      </w:pPr>
      <w:r>
        <w:rPr>
          <w:b/>
          <w:color w:val="555555"/>
        </w:rPr>
        <w:t xml:space="preserve">[164]  </w:t>
      </w:r>
      <w:r>
        <w:rPr/>
        <w:t>The method of claim 149, wherein a said spoken input classified as carrying a state-changing effect comprising an erasure, a rights modification, a purchase or a grant requires a confirmation received through a second modality before said effect takes place.</w:t>
      </w:r>
    </w:p>
    <w:p>
      <w:pPr>
        <w:pStyle w:val="Normal"/>
        <w:bidi w:val="0"/>
        <w:spacing w:before="0" w:after="80"/>
        <w:ind w:firstLine="432"/>
        <w:jc w:val="both"/>
        <w:rPr>
          <w:rFonts w:hint="eastAsia"/>
        </w:rPr>
      </w:pPr>
      <w:r>
        <w:rPr>
          <w:b/>
          <w:color w:val="555555"/>
        </w:rPr>
        <w:t xml:space="preserve">[165]  </w:t>
      </w:r>
      <w:r>
        <w:rPr/>
        <w:t>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pStyle w:val="Normal"/>
        <w:bidi w:val="0"/>
        <w:spacing w:before="0" w:after="80"/>
        <w:ind w:firstLine="432"/>
        <w:jc w:val="both"/>
        <w:rPr>
          <w:rFonts w:hint="eastAsia"/>
        </w:rPr>
      </w:pPr>
      <w:r>
        <w:rPr>
          <w:b/>
          <w:color w:val="555555"/>
        </w:rPr>
        <w:t xml:space="preserve">[166]  </w:t>
      </w:r>
      <w:r>
        <w:rPr/>
        <w:t>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pStyle w:val="Normal"/>
        <w:bidi w:val="0"/>
        <w:spacing w:before="0" w:after="80"/>
        <w:ind w:firstLine="432"/>
        <w:jc w:val="both"/>
        <w:rPr>
          <w:rFonts w:hint="eastAsia"/>
        </w:rPr>
      </w:pPr>
      <w:r>
        <w:rPr>
          <w:b/>
          <w:color w:val="555555"/>
        </w:rPr>
        <w:t xml:space="preserve">[167]  </w:t>
      </w:r>
      <w:r>
        <w:rPr/>
        <w:t>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pStyle w:val="Normal"/>
        <w:bidi w:val="0"/>
        <w:spacing w:before="0" w:after="80"/>
        <w:ind w:firstLine="432"/>
        <w:jc w:val="both"/>
        <w:rPr>
          <w:rFonts w:hint="eastAsia"/>
        </w:rPr>
      </w:pPr>
      <w:r>
        <w:rPr>
          <w:b/>
          <w:color w:val="555555"/>
        </w:rPr>
        <w:t xml:space="preserve">[168]  </w:t>
      </w:r>
      <w:r>
        <w:rPr/>
        <w:t>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pStyle w:val="Normal"/>
        <w:bidi w:val="0"/>
        <w:spacing w:before="0" w:after="80"/>
        <w:ind w:firstLine="432"/>
        <w:jc w:val="both"/>
        <w:rPr>
          <w:rFonts w:hint="eastAsia"/>
        </w:rPr>
      </w:pPr>
      <w:r>
        <w:rPr>
          <w:b/>
          <w:color w:val="555555"/>
        </w:rPr>
        <w:t xml:space="preserve">[169]  </w:t>
      </w:r>
      <w:r>
        <w:rPr/>
        <w:t>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**Hyperedge attention and attractor-based hyperedge completion (claims 157–159)**</w:t>
      </w:r>
    </w:p>
    <w:p>
      <w:pPr>
        <w:pStyle w:val="Normal"/>
        <w:bidi w:val="0"/>
        <w:spacing w:before="0" w:after="80"/>
        <w:ind w:firstLine="432"/>
        <w:jc w:val="both"/>
        <w:rPr>
          <w:rFonts w:hint="eastAsia"/>
        </w:rPr>
      </w:pPr>
      <w:r>
        <w:rPr>
          <w:b/>
          <w:color w:val="555555"/>
        </w:rPr>
        <w:t xml:space="preserve">[170]  </w:t>
      </w:r>
      <w:r>
        <w:rPr/>
        <w:t>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pStyle w:val="Normal"/>
        <w:bidi w:val="0"/>
        <w:spacing w:before="0" w:after="80"/>
        <w:ind w:firstLine="432"/>
        <w:jc w:val="both"/>
        <w:rPr>
          <w:rFonts w:hint="eastAsia"/>
        </w:rPr>
      </w:pPr>
      <w:r>
        <w:rPr>
          <w:b/>
          <w:color w:val="555555"/>
        </w:rPr>
        <w:t xml:space="preserve">[171]  </w:t>
      </w:r>
      <w:r>
        <w:rPr/>
        <w:t>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pStyle w:val="Normal"/>
        <w:bidi w:val="0"/>
        <w:spacing w:before="0" w:after="80"/>
        <w:ind w:firstLine="432"/>
        <w:jc w:val="both"/>
        <w:rPr>
          <w:rFonts w:hint="eastAsia"/>
        </w:rPr>
      </w:pPr>
      <w:r>
        <w:rPr>
          <w:b/>
          <w:color w:val="555555"/>
        </w:rPr>
        <w:t xml:space="preserve">[172]  </w:t>
      </w:r>
      <w:r>
        <w:rPr/>
        <w:t>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**Domain architecture, transfer matrix and path separation (claims 160–168)**</w:t>
      </w:r>
    </w:p>
    <w:p>
      <w:pPr>
        <w:pStyle w:val="Normal"/>
        <w:bidi w:val="0"/>
        <w:spacing w:before="0" w:after="80"/>
        <w:ind w:firstLine="432"/>
        <w:jc w:val="both"/>
        <w:rPr>
          <w:rFonts w:hint="eastAsia"/>
        </w:rPr>
      </w:pPr>
      <w:r>
        <w:rPr>
          <w:b/>
          <w:color w:val="555555"/>
        </w:rPr>
        <w:t xml:space="preserve">[173]  </w:t>
      </w:r>
      <w:r>
        <w:rPr/>
        <w:t>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pStyle w:val="Normal"/>
        <w:bidi w:val="0"/>
        <w:spacing w:before="0" w:after="80"/>
        <w:ind w:firstLine="432"/>
        <w:jc w:val="both"/>
        <w:rPr>
          <w:rFonts w:hint="eastAsia"/>
        </w:rPr>
      </w:pPr>
      <w:r>
        <w:rPr>
          <w:b/>
          <w:color w:val="555555"/>
        </w:rPr>
        <w:t xml:space="preserve">[174]  </w:t>
      </w:r>
      <w:r>
        <w:rPr/>
        <w:t>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pStyle w:val="Normal"/>
        <w:bidi w:val="0"/>
        <w:spacing w:before="0" w:after="80"/>
        <w:ind w:firstLine="432"/>
        <w:jc w:val="both"/>
        <w:rPr>
          <w:rFonts w:hint="eastAsia"/>
        </w:rPr>
      </w:pPr>
      <w:r>
        <w:rPr>
          <w:b/>
          <w:color w:val="555555"/>
        </w:rPr>
        <w:t xml:space="preserve">[175]  </w:t>
      </w:r>
      <w:r>
        <w:rPr/>
        <w:t>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pStyle w:val="Normal"/>
        <w:bidi w:val="0"/>
        <w:spacing w:before="0" w:after="80"/>
        <w:ind w:firstLine="432"/>
        <w:jc w:val="both"/>
        <w:rPr>
          <w:rFonts w:hint="eastAsia"/>
        </w:rPr>
      </w:pPr>
      <w:r>
        <w:rPr>
          <w:b/>
          <w:color w:val="555555"/>
        </w:rPr>
        <w:t xml:space="preserve">[176]  </w:t>
      </w:r>
      <w:r>
        <w:rPr/>
        <w:t>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pStyle w:val="Normal"/>
        <w:bidi w:val="0"/>
        <w:spacing w:before="0" w:after="80"/>
        <w:ind w:firstLine="432"/>
        <w:jc w:val="both"/>
        <w:rPr>
          <w:rFonts w:hint="eastAsia"/>
        </w:rPr>
      </w:pPr>
      <w:r>
        <w:rPr>
          <w:b/>
          <w:color w:val="555555"/>
        </w:rPr>
        <w:t xml:space="preserve">[177]  </w:t>
      </w:r>
      <w:r>
        <w:rPr/>
        <w:t>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pStyle w:val="Normal"/>
        <w:bidi w:val="0"/>
        <w:spacing w:before="0" w:after="80"/>
        <w:ind w:firstLine="432"/>
        <w:jc w:val="both"/>
        <w:rPr>
          <w:rFonts w:hint="eastAsia"/>
        </w:rPr>
      </w:pPr>
      <w:r>
        <w:rPr>
          <w:b/>
          <w:color w:val="555555"/>
        </w:rPr>
        <w:t xml:space="preserve">[178]  </w:t>
      </w:r>
      <w:r>
        <w:rPr/>
        <w:t>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pStyle w:val="Normal"/>
        <w:bidi w:val="0"/>
        <w:spacing w:before="0" w:after="80"/>
        <w:ind w:firstLine="432"/>
        <w:jc w:val="both"/>
        <w:rPr>
          <w:rFonts w:hint="eastAsia"/>
        </w:rPr>
      </w:pPr>
      <w:r>
        <w:rPr>
          <w:b/>
          <w:color w:val="555555"/>
        </w:rPr>
        <w:t xml:space="preserve">[179]  </w:t>
      </w:r>
      <w:r>
        <w:rPr/>
        <w:t>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pStyle w:val="Normal"/>
        <w:bidi w:val="0"/>
        <w:spacing w:before="0" w:after="80"/>
        <w:ind w:firstLine="432"/>
        <w:jc w:val="both"/>
        <w:rPr>
          <w:rFonts w:hint="eastAsia"/>
        </w:rPr>
      </w:pPr>
      <w:r>
        <w:rPr>
          <w:b/>
          <w:color w:val="555555"/>
        </w:rPr>
        <w:t xml:space="preserve">[180]  </w:t>
      </w:r>
      <w:r>
        <w:rPr/>
        <w:t>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pStyle w:val="Normal"/>
        <w:bidi w:val="0"/>
        <w:spacing w:before="0" w:after="80"/>
        <w:ind w:firstLine="432"/>
        <w:jc w:val="both"/>
        <w:rPr>
          <w:rFonts w:hint="eastAsia"/>
        </w:rPr>
      </w:pPr>
      <w:r>
        <w:rPr>
          <w:b/>
          <w:color w:val="555555"/>
        </w:rPr>
        <w:t xml:space="preserve">[181]  </w:t>
      </w:r>
      <w:r>
        <w:rPr/>
        <w:t>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**Discriminating instance generation (claims 169–173)**</w:t>
      </w:r>
    </w:p>
    <w:p>
      <w:pPr>
        <w:pStyle w:val="Normal"/>
        <w:bidi w:val="0"/>
        <w:spacing w:before="0" w:after="80"/>
        <w:ind w:firstLine="432"/>
        <w:jc w:val="both"/>
        <w:rPr>
          <w:rFonts w:hint="eastAsia"/>
        </w:rPr>
      </w:pPr>
      <w:r>
        <w:rPr>
          <w:b/>
          <w:color w:val="555555"/>
        </w:rPr>
        <w:t xml:space="preserve">[182]  </w:t>
      </w:r>
      <w:r>
        <w:rPr/>
        <w:t>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pStyle w:val="Normal"/>
        <w:bidi w:val="0"/>
        <w:spacing w:before="0" w:after="80"/>
        <w:ind w:firstLine="432"/>
        <w:jc w:val="both"/>
        <w:rPr>
          <w:rFonts w:hint="eastAsia"/>
        </w:rPr>
      </w:pPr>
      <w:r>
        <w:rPr>
          <w:b/>
          <w:color w:val="555555"/>
        </w:rPr>
        <w:t xml:space="preserve">[183]  </w:t>
      </w:r>
      <w:r>
        <w:rPr/>
        <w:t>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pStyle w:val="Normal"/>
        <w:bidi w:val="0"/>
        <w:spacing w:before="0" w:after="80"/>
        <w:ind w:firstLine="432"/>
        <w:jc w:val="both"/>
        <w:rPr>
          <w:rFonts w:hint="eastAsia"/>
        </w:rPr>
      </w:pPr>
      <w:r>
        <w:rPr>
          <w:b/>
          <w:color w:val="555555"/>
        </w:rPr>
        <w:t xml:space="preserve">[184]  </w:t>
      </w:r>
      <w:r>
        <w:rPr/>
        <w:t>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pStyle w:val="Normal"/>
        <w:bidi w:val="0"/>
        <w:spacing w:before="0" w:after="80"/>
        <w:ind w:firstLine="432"/>
        <w:jc w:val="both"/>
        <w:rPr>
          <w:rFonts w:hint="eastAsia"/>
        </w:rPr>
      </w:pPr>
      <w:r>
        <w:rPr>
          <w:b/>
          <w:color w:val="555555"/>
        </w:rPr>
        <w:t xml:space="preserve">[185]  </w:t>
      </w:r>
      <w:r>
        <w:rPr/>
        <w:t>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pStyle w:val="Normal"/>
        <w:bidi w:val="0"/>
        <w:spacing w:before="0" w:after="80"/>
        <w:ind w:firstLine="432"/>
        <w:jc w:val="both"/>
        <w:rPr>
          <w:rFonts w:hint="eastAsia"/>
        </w:rPr>
      </w:pPr>
      <w:r>
        <w:rPr>
          <w:b/>
          <w:color w:val="555555"/>
        </w:rPr>
        <w:t xml:space="preserve">[186]  </w:t>
      </w:r>
      <w:r>
        <w:rPr/>
        <w:t>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pStyle w:val="Normal"/>
        <w:bidi w:val="0"/>
        <w:spacing w:before="0" w:after="80"/>
        <w:ind w:firstLine="432"/>
        <w:jc w:val="both"/>
        <w:rPr>
          <w:rFonts w:hint="eastAsia"/>
        </w:rPr>
      </w:pPr>
      <w:r>
        <w:rPr>
          <w:b/>
          <w:color w:val="555555"/>
        </w:rPr>
        <w:t xml:space="preserve">[187]  </w:t>
      </w:r>
      <w:r>
        <w:rPr/>
        <w:t>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**Restored coverage: independent curation, manifold forecasting, colour drift registration, message-channel encryption (claims 186–189)**</w:t>
      </w:r>
    </w:p>
    <w:p>
      <w:pPr>
        <w:pStyle w:val="Normal"/>
        <w:bidi w:val="0"/>
        <w:spacing w:before="0" w:after="80"/>
        <w:ind w:firstLine="432"/>
        <w:jc w:val="both"/>
        <w:rPr>
          <w:rFonts w:hint="eastAsia"/>
        </w:rPr>
      </w:pPr>
      <w:r>
        <w:rPr>
          <w:b/>
          <w:color w:val="555555"/>
        </w:rPr>
        <w:t xml:space="preserve">[188]  </w:t>
      </w:r>
      <w:r>
        <w:rPr/>
        <w:t>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pStyle w:val="Normal"/>
        <w:bidi w:val="0"/>
        <w:spacing w:before="0" w:after="80"/>
        <w:ind w:firstLine="432"/>
        <w:jc w:val="both"/>
        <w:rPr>
          <w:rFonts w:hint="eastAsia"/>
        </w:rPr>
      </w:pPr>
      <w:r>
        <w:rPr>
          <w:b/>
          <w:color w:val="555555"/>
        </w:rPr>
        <w:t xml:space="preserve">[189]  </w:t>
      </w:r>
      <w:r>
        <w:rPr/>
        <w:t>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pStyle w:val="Normal"/>
        <w:bidi w:val="0"/>
        <w:spacing w:before="0" w:after="80"/>
        <w:ind w:firstLine="432"/>
        <w:jc w:val="both"/>
        <w:rPr>
          <w:rFonts w:hint="eastAsia"/>
        </w:rPr>
      </w:pPr>
      <w:r>
        <w:rPr>
          <w:b/>
          <w:color w:val="555555"/>
        </w:rPr>
        <w:t xml:space="preserve">[190]  </w:t>
      </w:r>
      <w:r>
        <w:rPr/>
        <w:t>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pStyle w:val="Normal"/>
        <w:bidi w:val="0"/>
        <w:spacing w:before="0" w:after="80"/>
        <w:ind w:firstLine="432"/>
        <w:jc w:val="both"/>
        <w:rPr>
          <w:rFonts w:hint="eastAsia"/>
        </w:rPr>
      </w:pPr>
      <w:r>
        <w:rPr>
          <w:b/>
          <w:color w:val="555555"/>
        </w:rPr>
        <w:t xml:space="preserve">[191]  </w:t>
      </w:r>
      <w:r>
        <w:rPr/>
        <w:t>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**Learning domain, module declaration and substrate migration (claims 183–185)**</w:t>
      </w:r>
    </w:p>
    <w:p>
      <w:pPr>
        <w:pStyle w:val="Normal"/>
        <w:bidi w:val="0"/>
        <w:spacing w:before="0" w:after="80"/>
        <w:ind w:firstLine="432"/>
        <w:jc w:val="both"/>
        <w:rPr>
          <w:rFonts w:hint="eastAsia"/>
        </w:rPr>
      </w:pPr>
      <w:r>
        <w:rPr>
          <w:b/>
          <w:color w:val="555555"/>
        </w:rPr>
        <w:t xml:space="preserve">[192]  </w:t>
      </w:r>
      <w:r>
        <w:rPr/>
        <w:t>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pStyle w:val="Normal"/>
        <w:bidi w:val="0"/>
        <w:spacing w:before="0" w:after="80"/>
        <w:ind w:firstLine="432"/>
        <w:jc w:val="both"/>
        <w:rPr>
          <w:rFonts w:hint="eastAsia"/>
        </w:rPr>
      </w:pPr>
      <w:r>
        <w:rPr>
          <w:b/>
          <w:color w:val="555555"/>
        </w:rPr>
        <w:t xml:space="preserve">[193]  </w:t>
      </w:r>
      <w:r>
        <w:rPr/>
        <w:t>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pStyle w:val="Normal"/>
        <w:bidi w:val="0"/>
        <w:spacing w:before="0" w:after="80"/>
        <w:ind w:firstLine="432"/>
        <w:jc w:val="both"/>
        <w:rPr>
          <w:rFonts w:hint="eastAsia"/>
        </w:rPr>
      </w:pPr>
      <w:r>
        <w:rPr>
          <w:b/>
          <w:color w:val="555555"/>
        </w:rPr>
        <w:t xml:space="preserve">[194]  </w:t>
      </w:r>
      <w:r>
        <w:rPr/>
        <w:t>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pStyle w:val="Normal"/>
        <w:bidi w:val="0"/>
        <w:spacing w:before="0" w:after="80"/>
        <w:ind w:firstLine="432"/>
        <w:jc w:val="both"/>
        <w:rPr>
          <w:rFonts w:hint="eastAsia"/>
        </w:rPr>
      </w:pPr>
      <w:r>
        <w:rPr>
          <w:b/>
          <w:color w:val="555555"/>
        </w:rPr>
        <w:t xml:space="preserve">[195]  </w:t>
      </w:r>
      <w:r>
        <w:rPr/>
        <w:t>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**Reasoning mode formalization — deductive, inductive and abductive (claims 190–192)**</w:t>
      </w:r>
    </w:p>
    <w:p>
      <w:pPr>
        <w:pStyle w:val="Normal"/>
        <w:bidi w:val="0"/>
        <w:spacing w:before="0" w:after="80"/>
        <w:ind w:firstLine="432"/>
        <w:jc w:val="both"/>
        <w:rPr>
          <w:rFonts w:hint="eastAsia"/>
        </w:rPr>
      </w:pPr>
      <w:r>
        <w:rPr>
          <w:b/>
          <w:color w:val="555555"/>
        </w:rPr>
        <w:t xml:space="preserve">[196]  </w:t>
      </w:r>
      <w:r>
        <w:rPr/>
        <w:t>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pStyle w:val="Normal"/>
        <w:bidi w:val="0"/>
        <w:spacing w:before="0" w:after="80"/>
        <w:ind w:firstLine="432"/>
        <w:jc w:val="both"/>
        <w:rPr>
          <w:rFonts w:hint="eastAsia"/>
        </w:rPr>
      </w:pPr>
      <w:r>
        <w:rPr>
          <w:b/>
          <w:color w:val="555555"/>
        </w:rPr>
        <w:t xml:space="preserve">[197]  </w:t>
      </w:r>
      <w:r>
        <w:rPr/>
        <w:t>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pStyle w:val="Normal"/>
        <w:bidi w:val="0"/>
        <w:spacing w:before="0" w:after="80"/>
        <w:ind w:firstLine="432"/>
        <w:jc w:val="both"/>
        <w:rPr>
          <w:rFonts w:hint="eastAsia"/>
        </w:rPr>
      </w:pPr>
      <w:r>
        <w:rPr>
          <w:b/>
          <w:color w:val="555555"/>
        </w:rPr>
        <w:t xml:space="preserve">[198]  </w:t>
      </w:r>
      <w:r>
        <w:rPr/>
        <w:t>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**Observation diversity across source classes (claims 193–196)**</w:t>
      </w:r>
    </w:p>
    <w:p>
      <w:pPr>
        <w:pStyle w:val="Normal"/>
        <w:bidi w:val="0"/>
        <w:spacing w:before="0" w:after="80"/>
        <w:ind w:firstLine="432"/>
        <w:jc w:val="both"/>
        <w:rPr>
          <w:rFonts w:hint="eastAsia"/>
        </w:rPr>
      </w:pPr>
      <w:r>
        <w:rPr>
          <w:b/>
          <w:color w:val="555555"/>
        </w:rPr>
        <w:t xml:space="preserve">[199]  </w:t>
      </w:r>
      <w:r>
        <w:rPr/>
        <w:t>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pStyle w:val="Normal"/>
        <w:bidi w:val="0"/>
        <w:spacing w:before="0" w:after="80"/>
        <w:ind w:firstLine="432"/>
        <w:jc w:val="both"/>
        <w:rPr>
          <w:rFonts w:hint="eastAsia"/>
        </w:rPr>
      </w:pPr>
      <w:r>
        <w:rPr>
          <w:b/>
          <w:color w:val="555555"/>
        </w:rPr>
        <w:t xml:space="preserve">[200]  </w:t>
      </w:r>
      <w:r>
        <w:rPr/>
        <w:t>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pStyle w:val="Normal"/>
        <w:bidi w:val="0"/>
        <w:spacing w:before="0" w:after="80"/>
        <w:ind w:firstLine="432"/>
        <w:jc w:val="both"/>
        <w:rPr>
          <w:rFonts w:hint="eastAsia"/>
        </w:rPr>
      </w:pPr>
      <w:r>
        <w:rPr>
          <w:b/>
          <w:color w:val="555555"/>
        </w:rPr>
        <w:t xml:space="preserve">[201]  </w:t>
      </w:r>
      <w:r>
        <w:rPr/>
        <w:t>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pStyle w:val="Normal"/>
        <w:bidi w:val="0"/>
        <w:spacing w:before="0" w:after="80"/>
        <w:ind w:firstLine="432"/>
        <w:jc w:val="both"/>
        <w:rPr>
          <w:rFonts w:hint="eastAsia"/>
        </w:rPr>
      </w:pPr>
      <w:r>
        <w:rPr>
          <w:b/>
          <w:color w:val="555555"/>
        </w:rPr>
        <w:t xml:space="preserve">[202]  </w:t>
      </w:r>
      <w:r>
        <w:rPr/>
        <w:t>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pStyle w:val="Normal"/>
        <w:bidi w:val="0"/>
        <w:spacing w:before="0" w:after="80"/>
        <w:ind w:firstLine="432"/>
        <w:jc w:val="both"/>
        <w:rPr>
          <w:rFonts w:hint="eastAsia"/>
        </w:rPr>
      </w:pPr>
      <w:r>
        <w:rPr>
          <w:b/>
          <w:color w:val="555555"/>
        </w:rPr>
        <w:t xml:space="preserve">[203]  </w:t>
      </w:r>
      <w:r>
        <w:rPr/>
        <w:t>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pStyle w:val="Normal"/>
        <w:bidi w:val="0"/>
        <w:spacing w:before="0" w:after="80"/>
        <w:ind w:firstLine="432"/>
        <w:jc w:val="both"/>
        <w:rPr>
          <w:rFonts w:hint="eastAsia"/>
        </w:rPr>
      </w:pPr>
      <w:r>
        <w:rPr>
          <w:b/>
          <w:color w:val="555555"/>
        </w:rPr>
        <w:t xml:space="preserve">[204]  </w:t>
      </w:r>
      <w:r>
        <w:rPr/>
        <w:t>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pStyle w:val="Normal"/>
        <w:bidi w:val="0"/>
        <w:spacing w:before="0" w:after="80"/>
        <w:ind w:firstLine="432"/>
        <w:jc w:val="both"/>
        <w:rPr>
          <w:rFonts w:hint="eastAsia"/>
        </w:rPr>
      </w:pPr>
      <w:r>
        <w:rPr>
          <w:b/>
          <w:color w:val="555555"/>
        </w:rPr>
        <w:t xml:space="preserve">[205]  </w:t>
      </w:r>
      <w:r>
        <w:rPr/>
        <w:t>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pStyle w:val="Normal"/>
        <w:bidi w:val="0"/>
        <w:spacing w:before="0" w:after="80"/>
        <w:ind w:firstLine="432"/>
        <w:jc w:val="both"/>
        <w:rPr>
          <w:rFonts w:hint="eastAsia"/>
        </w:rPr>
      </w:pPr>
      <w:r>
        <w:rPr>
          <w:b/>
          <w:color w:val="555555"/>
        </w:rPr>
        <w:t xml:space="preserve">[206]  </w:t>
      </w:r>
      <w:r>
        <w:rPr/>
        <w:t>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**Outcome feedback and operational calibration (claims 205–211)**</w:t>
      </w:r>
    </w:p>
    <w:p>
      <w:pPr>
        <w:pStyle w:val="Normal"/>
        <w:bidi w:val="0"/>
        <w:spacing w:before="0" w:after="80"/>
        <w:ind w:firstLine="432"/>
        <w:jc w:val="both"/>
        <w:rPr>
          <w:rFonts w:hint="eastAsia"/>
        </w:rPr>
      </w:pPr>
      <w:r>
        <w:rPr>
          <w:b/>
          <w:color w:val="555555"/>
        </w:rPr>
        <w:t xml:space="preserve">[207]  </w:t>
      </w:r>
      <w:r>
        <w:rPr/>
        <w:t>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pStyle w:val="Normal"/>
        <w:bidi w:val="0"/>
        <w:spacing w:before="0" w:after="80"/>
        <w:ind w:firstLine="432"/>
        <w:jc w:val="both"/>
        <w:rPr>
          <w:rFonts w:hint="eastAsia"/>
        </w:rPr>
      </w:pPr>
      <w:r>
        <w:rPr>
          <w:b/>
          <w:color w:val="555555"/>
        </w:rPr>
        <w:t xml:space="preserve">[208]  </w:t>
      </w:r>
      <w:r>
        <w:rPr/>
        <w:t>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pStyle w:val="Normal"/>
        <w:bidi w:val="0"/>
        <w:spacing w:before="0" w:after="80"/>
        <w:ind w:firstLine="432"/>
        <w:jc w:val="both"/>
        <w:rPr>
          <w:rFonts w:hint="eastAsia"/>
        </w:rPr>
      </w:pPr>
      <w:r>
        <w:rPr>
          <w:b/>
          <w:color w:val="555555"/>
        </w:rPr>
        <w:t xml:space="preserve">[209]  </w:t>
      </w:r>
      <w:r>
        <w:rPr/>
        <w:t>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pStyle w:val="Normal"/>
        <w:bidi w:val="0"/>
        <w:spacing w:before="0" w:after="80"/>
        <w:ind w:firstLine="432"/>
        <w:jc w:val="both"/>
        <w:rPr>
          <w:rFonts w:hint="eastAsia"/>
        </w:rPr>
      </w:pPr>
      <w:r>
        <w:rPr>
          <w:b/>
          <w:color w:val="555555"/>
        </w:rPr>
        <w:t xml:space="preserve">[210]  </w:t>
      </w:r>
      <w:r>
        <w:rPr/>
        <w:t>The method of claim 205, wherein a said report is not admissible as a grounding source for output text concerning a subject matter of said report, and is admissible as evidence bearing on a confidence value and as an object of an analysis.</w:t>
      </w:r>
    </w:p>
    <w:p>
      <w:pPr>
        <w:pStyle w:val="Normal"/>
        <w:bidi w:val="0"/>
        <w:spacing w:before="0" w:after="80"/>
        <w:ind w:firstLine="432"/>
        <w:jc w:val="both"/>
        <w:rPr>
          <w:rFonts w:hint="eastAsia"/>
        </w:rPr>
      </w:pPr>
      <w:r>
        <w:rPr>
          <w:b/>
          <w:color w:val="555555"/>
        </w:rPr>
        <w:t xml:space="preserve">[211]  </w:t>
      </w:r>
      <w:r>
        <w:rPr/>
        <w:t>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pStyle w:val="Normal"/>
        <w:bidi w:val="0"/>
        <w:spacing w:before="0" w:after="80"/>
        <w:ind w:firstLine="432"/>
        <w:jc w:val="both"/>
        <w:rPr>
          <w:rFonts w:hint="eastAsia"/>
        </w:rPr>
      </w:pPr>
      <w:r>
        <w:rPr>
          <w:b/>
          <w:color w:val="555555"/>
        </w:rPr>
        <w:t xml:space="preserve">[212]  </w:t>
      </w:r>
      <w:r>
        <w:rPr/>
        <w:t>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pStyle w:val="Normal"/>
        <w:bidi w:val="0"/>
        <w:spacing w:before="0" w:after="80"/>
        <w:ind w:firstLine="432"/>
        <w:jc w:val="both"/>
        <w:rPr>
          <w:rFonts w:hint="eastAsia"/>
        </w:rPr>
      </w:pPr>
      <w:r>
        <w:rPr>
          <w:b/>
          <w:color w:val="555555"/>
        </w:rPr>
        <w:t xml:space="preserve">[213]  </w:t>
      </w:r>
      <w:r>
        <w:rPr/>
        <w:t>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**Expressive register and media-integrated expression (claims 212–217)**</w:t>
      </w:r>
    </w:p>
    <w:p>
      <w:pPr>
        <w:pStyle w:val="Normal"/>
        <w:bidi w:val="0"/>
        <w:spacing w:before="0" w:after="80"/>
        <w:ind w:firstLine="432"/>
        <w:jc w:val="both"/>
        <w:rPr>
          <w:rFonts w:hint="eastAsia"/>
        </w:rPr>
      </w:pPr>
      <w:r>
        <w:rPr>
          <w:b/>
          <w:color w:val="555555"/>
        </w:rPr>
        <w:t xml:space="preserve">[214]  </w:t>
      </w:r>
      <w:r>
        <w:rPr/>
        <w:t>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pStyle w:val="Normal"/>
        <w:bidi w:val="0"/>
        <w:spacing w:before="0" w:after="80"/>
        <w:ind w:firstLine="432"/>
        <w:jc w:val="both"/>
        <w:rPr>
          <w:rFonts w:hint="eastAsia"/>
        </w:rPr>
      </w:pPr>
      <w:r>
        <w:rPr>
          <w:b/>
          <w:color w:val="555555"/>
        </w:rPr>
        <w:t xml:space="preserve">[215]  </w:t>
      </w:r>
      <w:r>
        <w:rPr/>
        <w:t>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pStyle w:val="Normal"/>
        <w:bidi w:val="0"/>
        <w:spacing w:before="0" w:after="80"/>
        <w:ind w:firstLine="432"/>
        <w:jc w:val="both"/>
        <w:rPr>
          <w:rFonts w:hint="eastAsia"/>
        </w:rPr>
      </w:pPr>
      <w:r>
        <w:rPr>
          <w:b/>
          <w:color w:val="555555"/>
        </w:rPr>
        <w:t xml:space="preserve">[216]  </w:t>
      </w:r>
      <w:r>
        <w:rPr/>
        <w:t>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pStyle w:val="Normal"/>
        <w:bidi w:val="0"/>
        <w:spacing w:before="0" w:after="80"/>
        <w:ind w:firstLine="432"/>
        <w:jc w:val="both"/>
        <w:rPr>
          <w:rFonts w:hint="eastAsia"/>
        </w:rPr>
      </w:pPr>
      <w:r>
        <w:rPr>
          <w:b/>
          <w:color w:val="555555"/>
        </w:rPr>
        <w:t xml:space="preserve">[217]  </w:t>
      </w:r>
      <w:r>
        <w:rPr/>
        <w:t>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**Surface realization — aggregation, reference, connectives, ordering and variation (claims 218–224)**</w:t>
      </w:r>
    </w:p>
    <w:p>
      <w:pPr>
        <w:pStyle w:val="Normal"/>
        <w:bidi w:val="0"/>
        <w:spacing w:before="0" w:after="80"/>
        <w:ind w:firstLine="432"/>
        <w:jc w:val="both"/>
        <w:rPr>
          <w:rFonts w:hint="eastAsia"/>
        </w:rPr>
      </w:pPr>
      <w:r>
        <w:rPr>
          <w:b/>
          <w:color w:val="555555"/>
        </w:rPr>
        <w:t xml:space="preserve">[218]  </w:t>
      </w:r>
      <w:r>
        <w:rPr/>
        <w:t>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pStyle w:val="Normal"/>
        <w:bidi w:val="0"/>
        <w:spacing w:before="0" w:after="80"/>
        <w:ind w:firstLine="432"/>
        <w:jc w:val="both"/>
        <w:rPr>
          <w:rFonts w:hint="eastAsia"/>
        </w:rPr>
      </w:pPr>
      <w:r>
        <w:rPr>
          <w:b/>
          <w:color w:val="555555"/>
        </w:rPr>
        <w:t xml:space="preserve">[219]  </w:t>
      </w:r>
      <w:r>
        <w:rPr/>
        <w:t>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pStyle w:val="Normal"/>
        <w:bidi w:val="0"/>
        <w:spacing w:before="0" w:after="80"/>
        <w:ind w:firstLine="432"/>
        <w:jc w:val="both"/>
        <w:rPr>
          <w:rFonts w:hint="eastAsia"/>
        </w:rPr>
      </w:pPr>
      <w:r>
        <w:rPr>
          <w:b/>
          <w:color w:val="555555"/>
        </w:rPr>
        <w:t xml:space="preserve">[220]  </w:t>
      </w:r>
      <w:r>
        <w:rPr/>
        <w:t>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pStyle w:val="Normal"/>
        <w:bidi w:val="0"/>
        <w:spacing w:before="0" w:after="80"/>
        <w:ind w:firstLine="432"/>
        <w:jc w:val="both"/>
        <w:rPr>
          <w:rFonts w:hint="eastAsia"/>
        </w:rPr>
      </w:pPr>
      <w:r>
        <w:rPr>
          <w:b/>
          <w:color w:val="555555"/>
        </w:rPr>
        <w:t xml:space="preserve">[221]  </w:t>
      </w:r>
      <w:r>
        <w:rPr/>
        <w:t>The method of claim 218, wherein a sentence produced by said realizing carries a citation of each said proposition realized therein, such that each clause thereof resolves to a knowledge record supporting it.</w:t>
      </w:r>
    </w:p>
    <w:p>
      <w:pPr>
        <w:pStyle w:val="Normal"/>
        <w:bidi w:val="0"/>
        <w:spacing w:before="0" w:after="80"/>
        <w:ind w:firstLine="432"/>
        <w:jc w:val="both"/>
        <w:rPr>
          <w:rFonts w:hint="eastAsia"/>
        </w:rPr>
      </w:pPr>
      <w:r>
        <w:rPr>
          <w:b/>
          <w:color w:val="555555"/>
        </w:rPr>
        <w:t xml:space="preserve">[222]  </w:t>
      </w:r>
      <w:r>
        <w:rPr/>
        <w:t>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pStyle w:val="Normal"/>
        <w:bidi w:val="0"/>
        <w:spacing w:before="0" w:after="80"/>
        <w:ind w:firstLine="432"/>
        <w:jc w:val="both"/>
        <w:rPr>
          <w:rFonts w:hint="eastAsia"/>
        </w:rPr>
      </w:pPr>
      <w:r>
        <w:rPr>
          <w:b/>
          <w:color w:val="555555"/>
        </w:rPr>
        <w:t xml:space="preserve">[223]  </w:t>
      </w:r>
      <w:r>
        <w:rPr/>
        <w:t>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pStyle w:val="Normal"/>
        <w:bidi w:val="0"/>
        <w:spacing w:before="0" w:after="80"/>
        <w:ind w:firstLine="432"/>
        <w:jc w:val="both"/>
        <w:rPr>
          <w:rFonts w:hint="eastAsia"/>
        </w:rPr>
      </w:pPr>
      <w:r>
        <w:rPr>
          <w:b/>
          <w:color w:val="555555"/>
        </w:rPr>
        <w:t xml:space="preserve">[224]  </w:t>
      </w:r>
      <w:r>
        <w:rPr/>
        <w:t>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pStyle w:val="Normal"/>
        <w:bidi w:val="0"/>
        <w:spacing w:before="0" w:after="80"/>
        <w:ind w:firstLine="432"/>
        <w:jc w:val="both"/>
        <w:rPr>
          <w:rFonts w:hint="eastAsia"/>
        </w:rPr>
      </w:pPr>
      <w:r>
        <w:rPr>
          <w:b/>
          <w:color w:val="555555"/>
        </w:rPr>
        <w:t xml:space="preserve">[225]  </w:t>
      </w:r>
      <w:r>
        <w:rPr/>
        <w:t>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pStyle w:val="Normal"/>
        <w:bidi w:val="0"/>
        <w:spacing w:before="0" w:after="80"/>
        <w:ind w:firstLine="432"/>
        <w:jc w:val="both"/>
        <w:rPr>
          <w:rFonts w:hint="eastAsia"/>
        </w:rPr>
      </w:pPr>
      <w:r>
        <w:rPr>
          <w:b/>
          <w:color w:val="555555"/>
        </w:rPr>
        <w:t xml:space="preserve">[226]  </w:t>
      </w:r>
      <w:r>
        <w:rPr/>
        <w:t>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**Commercial presentation, advertiser provenance and transaction records (claims 225–231)**</w:t>
      </w:r>
    </w:p>
    <w:p>
      <w:pPr>
        <w:pStyle w:val="Normal"/>
        <w:bidi w:val="0"/>
        <w:spacing w:before="0" w:after="80"/>
        <w:ind w:firstLine="432"/>
        <w:jc w:val="both"/>
        <w:rPr>
          <w:rFonts w:hint="eastAsia"/>
        </w:rPr>
      </w:pPr>
      <w:r>
        <w:rPr>
          <w:b/>
          <w:color w:val="555555"/>
        </w:rPr>
        <w:t xml:space="preserve">[227]  </w:t>
      </w:r>
      <w:r>
        <w:rPr/>
        <w:t>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pStyle w:val="Normal"/>
        <w:bidi w:val="0"/>
        <w:spacing w:before="0" w:after="80"/>
        <w:ind w:firstLine="432"/>
        <w:jc w:val="both"/>
        <w:rPr>
          <w:rFonts w:hint="eastAsia"/>
        </w:rPr>
      </w:pPr>
      <w:r>
        <w:rPr>
          <w:b/>
          <w:color w:val="555555"/>
        </w:rPr>
        <w:t xml:space="preserve">[228]  </w:t>
      </w:r>
      <w:r>
        <w:rPr/>
        <w:t>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pStyle w:val="Normal"/>
        <w:bidi w:val="0"/>
        <w:spacing w:before="0" w:after="80"/>
        <w:ind w:firstLine="432"/>
        <w:jc w:val="both"/>
        <w:rPr>
          <w:rFonts w:hint="eastAsia"/>
        </w:rPr>
      </w:pPr>
      <w:r>
        <w:rPr>
          <w:b/>
          <w:color w:val="555555"/>
        </w:rPr>
        <w:t xml:space="preserve">[229]  </w:t>
      </w:r>
      <w:r>
        <w:rPr/>
        <w:t>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pStyle w:val="Normal"/>
        <w:bidi w:val="0"/>
        <w:spacing w:before="0" w:after="80"/>
        <w:ind w:firstLine="432"/>
        <w:jc w:val="both"/>
        <w:rPr>
          <w:rFonts w:hint="eastAsia"/>
        </w:rPr>
      </w:pPr>
      <w:r>
        <w:rPr>
          <w:b/>
          <w:color w:val="555555"/>
        </w:rPr>
        <w:t xml:space="preserve">[230]  </w:t>
      </w:r>
      <w:r>
        <w:rPr/>
        <w:t>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pStyle w:val="Normal"/>
        <w:bidi w:val="0"/>
        <w:spacing w:before="0" w:after="80"/>
        <w:ind w:firstLine="432"/>
        <w:jc w:val="both"/>
        <w:rPr>
          <w:rFonts w:hint="eastAsia"/>
        </w:rPr>
      </w:pPr>
      <w:r>
        <w:rPr>
          <w:b/>
          <w:color w:val="555555"/>
        </w:rPr>
        <w:t xml:space="preserve">[231]  </w:t>
      </w:r>
      <w:r>
        <w:rPr/>
        <w:t>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pStyle w:val="Normal"/>
        <w:bidi w:val="0"/>
        <w:spacing w:before="0" w:after="80"/>
        <w:ind w:firstLine="432"/>
        <w:jc w:val="both"/>
        <w:rPr>
          <w:rFonts w:hint="eastAsia"/>
        </w:rPr>
      </w:pPr>
      <w:r>
        <w:rPr>
          <w:b/>
          <w:color w:val="555555"/>
        </w:rPr>
        <w:t xml:space="preserve">[232]  </w:t>
      </w:r>
      <w:r>
        <w:rPr/>
        <w:t>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pStyle w:val="Normal"/>
        <w:bidi w:val="0"/>
        <w:spacing w:before="0" w:after="80"/>
        <w:ind w:firstLine="432"/>
        <w:jc w:val="both"/>
        <w:rPr>
          <w:rFonts w:hint="eastAsia"/>
        </w:rPr>
      </w:pPr>
      <w:r>
        <w:rPr>
          <w:b/>
          <w:color w:val="555555"/>
        </w:rPr>
        <w:t xml:space="preserve">[233]  </w:t>
      </w:r>
      <w:r>
        <w:rPr/>
        <w:t>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pStyle w:val="Normal"/>
        <w:bidi w:val="0"/>
        <w:spacing w:before="0" w:after="80"/>
        <w:ind w:firstLine="432"/>
        <w:jc w:val="both"/>
        <w:rPr>
          <w:rFonts w:hint="eastAsia"/>
        </w:rPr>
      </w:pPr>
      <w:r>
        <w:rPr>
          <w:b/>
          <w:color w:val="555555"/>
        </w:rPr>
        <w:t xml:space="preserve">[234]  </w:t>
      </w:r>
      <w:r>
        <w:rPr/>
        <w:t>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pStyle w:val="Normal"/>
        <w:bidi w:val="0"/>
        <w:spacing w:before="0" w:after="80"/>
        <w:ind w:firstLine="432"/>
        <w:jc w:val="both"/>
        <w:rPr>
          <w:rFonts w:hint="eastAsia"/>
        </w:rPr>
      </w:pPr>
      <w:r>
        <w:rPr>
          <w:b/>
          <w:color w:val="555555"/>
        </w:rPr>
        <w:t xml:space="preserve">[235]  </w:t>
      </w:r>
      <w:r>
        <w:rPr/>
        <w:t>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**Assistive physical contact under a two-party authorization (claims 241–249)**</w:t>
      </w:r>
    </w:p>
    <w:p>
      <w:pPr>
        <w:pStyle w:val="Normal"/>
        <w:bidi w:val="0"/>
        <w:spacing w:before="0" w:after="80"/>
        <w:ind w:firstLine="432"/>
        <w:jc w:val="both"/>
        <w:rPr>
          <w:rFonts w:hint="eastAsia"/>
        </w:rPr>
      </w:pPr>
      <w:r>
        <w:rPr>
          <w:b/>
          <w:color w:val="555555"/>
        </w:rPr>
        <w:t xml:space="preserve">[236]  </w:t>
      </w:r>
      <w:r>
        <w:rPr/>
        <w:t>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pStyle w:val="Normal"/>
        <w:bidi w:val="0"/>
        <w:spacing w:before="0" w:after="80"/>
        <w:ind w:firstLine="432"/>
        <w:jc w:val="both"/>
        <w:rPr>
          <w:rFonts w:hint="eastAsia"/>
        </w:rPr>
      </w:pPr>
      <w:r>
        <w:rPr>
          <w:b/>
          <w:color w:val="555555"/>
        </w:rPr>
        <w:t xml:space="preserve">[237]  </w:t>
      </w:r>
      <w:r>
        <w:rPr/>
        <w:t>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**Concept-adjacent commercial relevance (claims 257–259)**</w:t>
      </w:r>
    </w:p>
    <w:p>
      <w:pPr>
        <w:pStyle w:val="Normal"/>
        <w:bidi w:val="0"/>
        <w:spacing w:before="0" w:after="80"/>
        <w:ind w:firstLine="432"/>
        <w:jc w:val="both"/>
        <w:rPr>
          <w:rFonts w:hint="eastAsia"/>
        </w:rPr>
      </w:pPr>
      <w:r>
        <w:rPr>
          <w:b/>
          <w:color w:val="555555"/>
        </w:rPr>
        <w:t xml:space="preserve">[238]  </w:t>
      </w:r>
      <w:r>
        <w:rPr/>
        <w:t>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pStyle w:val="Normal"/>
        <w:bidi w:val="0"/>
        <w:spacing w:before="0" w:after="80"/>
        <w:ind w:firstLine="432"/>
        <w:jc w:val="both"/>
        <w:rPr>
          <w:rFonts w:hint="eastAsia"/>
        </w:rPr>
      </w:pPr>
      <w:r>
        <w:rPr>
          <w:b/>
          <w:color w:val="555555"/>
        </w:rPr>
        <w:t xml:space="preserve">[239]  </w:t>
      </w:r>
      <w:r>
        <w:rPr/>
        <w:t>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pStyle w:val="Normal"/>
        <w:bidi w:val="0"/>
        <w:spacing w:before="0" w:after="80"/>
        <w:ind w:firstLine="432"/>
        <w:jc w:val="both"/>
        <w:rPr>
          <w:rFonts w:hint="eastAsia"/>
        </w:rPr>
      </w:pPr>
      <w:r>
        <w:rPr>
          <w:b/>
          <w:color w:val="555555"/>
        </w:rPr>
        <w:t xml:space="preserve">[240]  </w:t>
      </w:r>
      <w:r>
        <w:rPr/>
        <w:t>The method of claim 270, wherein a loss of power, a loss of a control signal, a fault in a safety-related control path and a halt each result in an opening of a gripper, said opening being a condition of a registration of an equipment unit.</w:t>
      </w:r>
    </w:p>
    <w:p>
      <w:pPr>
        <w:pStyle w:val="Normal"/>
        <w:bidi w:val="0"/>
        <w:spacing w:before="0" w:after="80"/>
        <w:ind w:firstLine="432"/>
        <w:jc w:val="both"/>
        <w:rPr>
          <w:rFonts w:hint="eastAsia"/>
        </w:rPr>
      </w:pPr>
      <w:r>
        <w:rPr>
          <w:b/>
          <w:color w:val="555555"/>
        </w:rPr>
        <w:t xml:space="preserve">[241]  </w:t>
      </w:r>
      <w:r>
        <w:rPr/>
        <w:t>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pStyle w:val="Normal"/>
        <w:bidi w:val="0"/>
        <w:spacing w:before="0" w:after="80"/>
        <w:ind w:firstLine="432"/>
        <w:jc w:val="both"/>
        <w:rPr>
          <w:rFonts w:hint="eastAsia"/>
        </w:rPr>
      </w:pPr>
      <w:r>
        <w:rPr>
          <w:b/>
          <w:color w:val="555555"/>
        </w:rPr>
        <w:t xml:space="preserve">[242]  </w:t>
      </w:r>
      <w:r>
        <w:rPr/>
        <w:t>The method of claim 270, wherein no registration under said registering is available for a person or an animal, such that a physical support of a person is performed only under an authorization class requiring a contact consent. **Navigation in shared space (claims 277–283)**</w:t>
      </w:r>
    </w:p>
    <w:p>
      <w:pPr>
        <w:pStyle w:val="Normal"/>
        <w:bidi w:val="0"/>
        <w:spacing w:before="0" w:after="80"/>
        <w:ind w:firstLine="432"/>
        <w:jc w:val="both"/>
        <w:rPr>
          <w:rFonts w:hint="eastAsia"/>
        </w:rPr>
      </w:pPr>
      <w:r>
        <w:rPr>
          <w:b/>
          <w:color w:val="555555"/>
        </w:rPr>
        <w:t xml:space="preserve">[243]  </w:t>
      </w:r>
      <w:r>
        <w:rPr/>
        <w:t>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pStyle w:val="Normal"/>
        <w:bidi w:val="0"/>
        <w:spacing w:before="0" w:after="80"/>
        <w:ind w:firstLine="432"/>
        <w:jc w:val="both"/>
        <w:rPr>
          <w:rFonts w:hint="eastAsia"/>
        </w:rPr>
      </w:pPr>
      <w:r>
        <w:rPr>
          <w:b/>
          <w:color w:val="555555"/>
        </w:rPr>
        <w:t xml:space="preserve">[244]  </w:t>
      </w:r>
      <w:r>
        <w:rPr/>
        <w:t>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pStyle w:val="Normal"/>
        <w:bidi w:val="0"/>
        <w:spacing w:before="0" w:after="80"/>
        <w:ind w:firstLine="432"/>
        <w:jc w:val="both"/>
        <w:rPr>
          <w:rFonts w:hint="eastAsia"/>
        </w:rPr>
      </w:pPr>
      <w:r>
        <w:rPr>
          <w:b/>
          <w:color w:val="555555"/>
        </w:rPr>
        <w:t xml:space="preserve">[245]  </w:t>
      </w:r>
      <w:r>
        <w:rPr/>
        <w:t>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pStyle w:val="Normal"/>
        <w:bidi w:val="0"/>
        <w:spacing w:before="0" w:after="80"/>
        <w:ind w:firstLine="432"/>
        <w:jc w:val="both"/>
        <w:rPr>
          <w:rFonts w:hint="eastAsia"/>
        </w:rPr>
      </w:pPr>
      <w:r>
        <w:rPr>
          <w:b/>
          <w:color w:val="555555"/>
        </w:rPr>
        <w:t xml:space="preserve">[246]  </w:t>
      </w:r>
      <w:r>
        <w:rPr/>
        <w:t>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pStyle w:val="Normal"/>
        <w:bidi w:val="0"/>
        <w:spacing w:before="0" w:after="80"/>
        <w:ind w:firstLine="432"/>
        <w:jc w:val="both"/>
        <w:rPr>
          <w:rFonts w:hint="eastAsia"/>
        </w:rPr>
      </w:pPr>
      <w:r>
        <w:rPr>
          <w:b/>
          <w:color w:val="555555"/>
        </w:rPr>
        <w:t xml:space="preserve">[247]  </w:t>
      </w:r>
      <w:r>
        <w:rPr/>
        <w:t>The method of claim 279, wherein said equipment unit does not maintain a following distance behind a person moving in a direction of travel thereof, yielding and waiting instead.</w:t>
      </w:r>
    </w:p>
    <w:p>
      <w:pPr>
        <w:pStyle w:val="Normal"/>
        <w:bidi w:val="0"/>
        <w:spacing w:before="0" w:after="80"/>
        <w:ind w:firstLine="432"/>
        <w:jc w:val="both"/>
        <w:rPr>
          <w:rFonts w:hint="eastAsia"/>
        </w:rPr>
      </w:pPr>
      <w:r>
        <w:rPr>
          <w:b/>
          <w:color w:val="555555"/>
        </w:rPr>
        <w:t xml:space="preserve">[248]  </w:t>
      </w:r>
      <w:r>
        <w:rPr/>
        <w:t>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pStyle w:val="Normal"/>
        <w:bidi w:val="0"/>
        <w:spacing w:before="0" w:after="80"/>
        <w:ind w:firstLine="432"/>
        <w:jc w:val="both"/>
        <w:rPr>
          <w:rFonts w:hint="eastAsia"/>
        </w:rPr>
      </w:pPr>
      <w:r>
        <w:rPr>
          <w:b/>
          <w:color w:val="555555"/>
        </w:rPr>
        <w:t xml:space="preserve">[249]  </w:t>
      </w:r>
      <w:r>
        <w:rPr/>
        <w:t>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**The predictive hierarchy and error attribution (claims 284–289)**</w:t>
      </w:r>
    </w:p>
    <w:p>
      <w:pPr>
        <w:pStyle w:val="Normal"/>
        <w:bidi w:val="0"/>
        <w:spacing w:before="0" w:after="80"/>
        <w:ind w:firstLine="432"/>
        <w:jc w:val="both"/>
        <w:rPr>
          <w:rFonts w:hint="eastAsia"/>
        </w:rPr>
      </w:pPr>
      <w:r>
        <w:rPr>
          <w:b/>
          <w:color w:val="555555"/>
        </w:rPr>
        <w:t xml:space="preserve">[250]  </w:t>
      </w:r>
      <w:r>
        <w:rPr/>
        <w:t>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pStyle w:val="Normal"/>
        <w:bidi w:val="0"/>
        <w:spacing w:before="0" w:after="80"/>
        <w:ind w:firstLine="432"/>
        <w:jc w:val="both"/>
        <w:rPr>
          <w:rFonts w:hint="eastAsia"/>
        </w:rPr>
      </w:pPr>
      <w:r>
        <w:rPr>
          <w:b/>
          <w:color w:val="555555"/>
        </w:rPr>
        <w:t xml:space="preserve">[251]  </w:t>
      </w:r>
      <w:r>
        <w:rPr/>
        <w:t>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pStyle w:val="Normal"/>
        <w:bidi w:val="0"/>
        <w:spacing w:before="0" w:after="80"/>
        <w:ind w:firstLine="432"/>
        <w:jc w:val="both"/>
        <w:rPr>
          <w:rFonts w:hint="eastAsia"/>
        </w:rPr>
      </w:pPr>
      <w:r>
        <w:rPr>
          <w:b/>
          <w:color w:val="555555"/>
        </w:rPr>
        <w:t xml:space="preserve">[252]  </w:t>
      </w:r>
      <w:r>
        <w:rPr/>
        <w:t>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pStyle w:val="Normal"/>
        <w:bidi w:val="0"/>
        <w:spacing w:before="0" w:after="80"/>
        <w:ind w:firstLine="432"/>
        <w:jc w:val="both"/>
        <w:rPr>
          <w:rFonts w:hint="eastAsia"/>
        </w:rPr>
      </w:pPr>
      <w:r>
        <w:rPr>
          <w:b/>
          <w:color w:val="555555"/>
        </w:rPr>
        <w:t xml:space="preserve">[253]  </w:t>
      </w:r>
      <w:r>
        <w:rPr/>
        <w:t>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pStyle w:val="Normal"/>
        <w:bidi w:val="0"/>
        <w:spacing w:before="0" w:after="80"/>
        <w:ind w:firstLine="432"/>
        <w:jc w:val="both"/>
        <w:rPr>
          <w:rFonts w:hint="eastAsia"/>
        </w:rPr>
      </w:pPr>
      <w:r>
        <w:rPr>
          <w:b/>
          <w:color w:val="555555"/>
        </w:rPr>
        <w:t xml:space="preserve">[254]  </w:t>
      </w:r>
      <w:r>
        <w:rPr/>
        <w:t>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pStyle w:val="Normal"/>
        <w:bidi w:val="0"/>
        <w:spacing w:before="0" w:after="80"/>
        <w:ind w:firstLine="432"/>
        <w:jc w:val="both"/>
        <w:rPr>
          <w:rFonts w:hint="eastAsia"/>
        </w:rPr>
      </w:pPr>
      <w:r>
        <w:rPr>
          <w:b/>
          <w:color w:val="555555"/>
        </w:rPr>
        <w:t xml:space="preserve">[255]  </w:t>
      </w:r>
      <w:r>
        <w:rPr/>
        <w:t>The method of claim 245, wherein said force limit and said pressure limit are registered separately per said region of a body such that a force within a limit applied over a reduced area is not thereby permitted.</w:t>
      </w:r>
    </w:p>
    <w:p>
      <w:pPr>
        <w:pStyle w:val="Normal"/>
        <w:bidi w:val="0"/>
        <w:spacing w:before="0" w:after="80"/>
        <w:ind w:firstLine="432"/>
        <w:jc w:val="both"/>
        <w:rPr>
          <w:rFonts w:hint="eastAsia"/>
        </w:rPr>
      </w:pPr>
      <w:r>
        <w:rPr>
          <w:b/>
          <w:color w:val="555555"/>
        </w:rPr>
        <w:t xml:space="preserve">[256]  </w:t>
      </w:r>
      <w:r>
        <w:rPr/>
        <w:t>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pStyle w:val="Normal"/>
        <w:bidi w:val="0"/>
        <w:spacing w:before="0" w:after="80"/>
        <w:ind w:firstLine="432"/>
        <w:jc w:val="both"/>
        <w:rPr>
          <w:rFonts w:hint="eastAsia"/>
        </w:rPr>
      </w:pPr>
      <w:r>
        <w:rPr>
          <w:b/>
          <w:color w:val="555555"/>
        </w:rPr>
        <w:t xml:space="preserve">[257]  </w:t>
      </w:r>
      <w:r>
        <w:rPr/>
        <w:t>The method of claim 247, wherein a release is effected without traversing said retrieving, said iterative updating, said generating or an interpretive modulation, and is operable where a said retrieving is unavailable.</w:t>
      </w:r>
    </w:p>
    <w:p>
      <w:pPr>
        <w:pStyle w:val="Normal"/>
        <w:bidi w:val="0"/>
        <w:spacing w:before="0" w:after="80"/>
        <w:ind w:firstLine="432"/>
        <w:jc w:val="both"/>
        <w:rPr>
          <w:rFonts w:hint="eastAsia"/>
        </w:rPr>
      </w:pPr>
      <w:r>
        <w:rPr>
          <w:b/>
          <w:color w:val="555555"/>
        </w:rPr>
        <w:t xml:space="preserve">[258]  </w:t>
      </w:r>
      <w:r>
        <w:rPr/>
        <w:t>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**Attractor stabilization beyond retrieval (claims 250–256)**</w:t>
      </w:r>
    </w:p>
    <w:p>
      <w:pPr>
        <w:pStyle w:val="Normal"/>
        <w:bidi w:val="0"/>
        <w:spacing w:before="0" w:after="80"/>
        <w:ind w:firstLine="432"/>
        <w:jc w:val="both"/>
        <w:rPr>
          <w:rFonts w:hint="eastAsia"/>
        </w:rPr>
      </w:pPr>
      <w:r>
        <w:rPr>
          <w:b/>
          <w:color w:val="555555"/>
        </w:rPr>
        <w:t xml:space="preserve">[259]  </w:t>
      </w:r>
      <w:r>
        <w:rPr/>
        <w:t>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pStyle w:val="Normal"/>
        <w:bidi w:val="0"/>
        <w:spacing w:before="0" w:after="80"/>
        <w:ind w:firstLine="432"/>
        <w:jc w:val="both"/>
        <w:rPr>
          <w:rFonts w:hint="eastAsia"/>
        </w:rPr>
      </w:pPr>
      <w:r>
        <w:rPr>
          <w:b/>
          <w:color w:val="555555"/>
        </w:rPr>
        <w:t xml:space="preserve">[260]  </w:t>
      </w:r>
      <w:r>
        <w:rPr/>
        <w:t>The method of claim 274, wherein a said equipment unit applies no force resisting a taking of a said object by said person and does not re-grasp a said object taken by said person.</w:t>
      </w:r>
    </w:p>
    <w:p>
      <w:pPr>
        <w:pStyle w:val="Normal"/>
        <w:bidi w:val="0"/>
        <w:spacing w:before="0" w:after="80"/>
        <w:ind w:firstLine="432"/>
        <w:jc w:val="both"/>
        <w:rPr>
          <w:rFonts w:hint="eastAsia"/>
        </w:rPr>
      </w:pPr>
      <w:r>
        <w:rPr>
          <w:b/>
          <w:color w:val="555555"/>
        </w:rPr>
        <w:t xml:space="preserve">[261]  </w:t>
      </w:r>
      <w:r>
        <w:rPr/>
        <w:t>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pStyle w:val="Normal"/>
        <w:bidi w:val="0"/>
        <w:spacing w:before="0" w:after="80"/>
        <w:ind w:firstLine="432"/>
        <w:jc w:val="both"/>
        <w:rPr>
          <w:rFonts w:hint="eastAsia"/>
        </w:rPr>
      </w:pPr>
      <w:r>
        <w:rPr>
          <w:b/>
          <w:color w:val="555555"/>
        </w:rPr>
        <w:t xml:space="preserve">[262]  </w:t>
      </w:r>
      <w:r>
        <w:rPr/>
        <w:t>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pStyle w:val="Normal"/>
        <w:bidi w:val="0"/>
        <w:spacing w:before="0" w:after="80"/>
        <w:ind w:firstLine="432"/>
        <w:jc w:val="both"/>
        <w:rPr>
          <w:rFonts w:hint="eastAsia"/>
        </w:rPr>
      </w:pPr>
      <w:r>
        <w:rPr>
          <w:b/>
          <w:color w:val="555555"/>
        </w:rPr>
        <w:t xml:space="preserve">[263]  </w:t>
      </w:r>
      <w:r>
        <w:rPr/>
        <w:t>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pStyle w:val="Normal"/>
        <w:bidi w:val="0"/>
        <w:spacing w:before="0" w:after="80"/>
        <w:ind w:firstLine="432"/>
        <w:jc w:val="both"/>
        <w:rPr>
          <w:rFonts w:hint="eastAsia"/>
        </w:rPr>
      </w:pPr>
      <w:r>
        <w:rPr>
          <w:b/>
          <w:color w:val="555555"/>
        </w:rPr>
        <w:t xml:space="preserve">[264]  </w:t>
      </w:r>
      <w:r>
        <w:rPr/>
        <w:t>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**Systematic trial architecture (claims 262–269)**</w:t>
      </w:r>
    </w:p>
    <w:p>
      <w:pPr>
        <w:pStyle w:val="Normal"/>
        <w:bidi w:val="0"/>
        <w:spacing w:before="0" w:after="80"/>
        <w:ind w:firstLine="432"/>
        <w:jc w:val="both"/>
        <w:rPr>
          <w:rFonts w:hint="eastAsia"/>
        </w:rPr>
      </w:pPr>
      <w:r>
        <w:rPr>
          <w:b/>
          <w:color w:val="555555"/>
        </w:rPr>
        <w:t xml:space="preserve">[265]  </w:t>
      </w:r>
      <w:r>
        <w:rPr/>
        <w:t>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pStyle w:val="Normal"/>
        <w:bidi w:val="0"/>
        <w:spacing w:before="0" w:after="80"/>
        <w:ind w:firstLine="432"/>
        <w:jc w:val="both"/>
        <w:rPr>
          <w:rFonts w:hint="eastAsia"/>
        </w:rPr>
      </w:pPr>
      <w:r>
        <w:rPr>
          <w:b/>
          <w:color w:val="555555"/>
        </w:rPr>
        <w:t xml:space="preserve">[266]  </w:t>
      </w:r>
      <w:r>
        <w:rPr/>
        <w:t>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pStyle w:val="Normal"/>
        <w:bidi w:val="0"/>
        <w:spacing w:before="0" w:after="80"/>
        <w:ind w:firstLine="432"/>
        <w:jc w:val="both"/>
        <w:rPr>
          <w:rFonts w:hint="eastAsia"/>
        </w:rPr>
      </w:pPr>
      <w:r>
        <w:rPr>
          <w:b/>
          <w:color w:val="555555"/>
        </w:rPr>
        <w:t xml:space="preserve">[267]  </w:t>
      </w:r>
      <w:r>
        <w:rPr/>
        <w:t>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**AI-engine ingestion: prompt composition, conversion, derivation marking and audit (claims 313–321)**</w:t>
      </w:r>
    </w:p>
    <w:p>
      <w:pPr>
        <w:pStyle w:val="Normal"/>
        <w:bidi w:val="0"/>
        <w:spacing w:before="0" w:after="80"/>
        <w:ind w:firstLine="432"/>
        <w:jc w:val="both"/>
        <w:rPr>
          <w:rFonts w:hint="eastAsia"/>
        </w:rPr>
      </w:pPr>
      <w:r>
        <w:rPr>
          <w:b/>
          <w:color w:val="555555"/>
        </w:rPr>
        <w:t xml:space="preserve">[268]  </w:t>
      </w:r>
      <w:r>
        <w:rPr/>
        <w:t>The method of claim 307, further comprising registering said array with a dimension thereof, a range of said conductance, a fabrication tolerance and a tolerance to which a settled state is read; and refusing a said array whose registration lacks any thereof.</w:t>
      </w:r>
    </w:p>
    <w:p>
      <w:pPr>
        <w:pStyle w:val="Normal"/>
        <w:bidi w:val="0"/>
        <w:spacing w:before="0" w:after="80"/>
        <w:ind w:firstLine="432"/>
        <w:jc w:val="both"/>
        <w:rPr>
          <w:rFonts w:hint="eastAsia"/>
        </w:rPr>
      </w:pPr>
      <w:r>
        <w:rPr>
          <w:b/>
          <w:color w:val="555555"/>
        </w:rPr>
        <w:t xml:space="preserve">[269]  </w:t>
      </w:r>
      <w:r>
        <w:rPr/>
        <w:t>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pStyle w:val="Normal"/>
        <w:bidi w:val="0"/>
        <w:spacing w:before="0" w:after="80"/>
        <w:ind w:firstLine="432"/>
        <w:jc w:val="both"/>
        <w:rPr>
          <w:rFonts w:hint="eastAsia"/>
        </w:rPr>
      </w:pPr>
      <w:r>
        <w:rPr>
          <w:b/>
          <w:color w:val="555555"/>
        </w:rPr>
        <w:t xml:space="preserve">[270]  </w:t>
      </w:r>
      <w:r>
        <w:rPr/>
        <w:t>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pStyle w:val="Normal"/>
        <w:bidi w:val="0"/>
        <w:spacing w:before="0" w:after="80"/>
        <w:ind w:firstLine="432"/>
        <w:jc w:val="both"/>
        <w:rPr>
          <w:rFonts w:hint="eastAsia"/>
        </w:rPr>
      </w:pPr>
      <w:r>
        <w:rPr>
          <w:b/>
          <w:color w:val="555555"/>
        </w:rPr>
        <w:t xml:space="preserve">[271]  </w:t>
      </w:r>
      <w:r>
        <w:rPr/>
        <w:t>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pStyle w:val="Normal"/>
        <w:bidi w:val="0"/>
        <w:spacing w:before="0" w:after="80"/>
        <w:ind w:firstLine="432"/>
        <w:jc w:val="both"/>
        <w:rPr>
          <w:rFonts w:hint="eastAsia"/>
        </w:rPr>
      </w:pPr>
      <w:r>
        <w:rPr>
          <w:b/>
          <w:color w:val="555555"/>
        </w:rPr>
        <w:t xml:space="preserve">[272]  </w:t>
      </w:r>
      <w:r>
        <w:rPr/>
        <w:t>The method of claim 252, wherein where said observed regions do not converge to a stored configuration within a configured iteration ceiling no completion is produced and an absence is reported.</w:t>
      </w:r>
    </w:p>
    <w:p>
      <w:pPr>
        <w:pStyle w:val="Normal"/>
        <w:bidi w:val="0"/>
        <w:spacing w:before="0" w:after="80"/>
        <w:ind w:firstLine="432"/>
        <w:jc w:val="both"/>
        <w:rPr>
          <w:rFonts w:hint="eastAsia"/>
        </w:rPr>
      </w:pPr>
      <w:r>
        <w:rPr>
          <w:b/>
          <w:color w:val="555555"/>
        </w:rPr>
        <w:t xml:space="preserve">[273]  </w:t>
      </w:r>
      <w:r>
        <w:rPr/>
        <w:t>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pStyle w:val="Normal"/>
        <w:bidi w:val="0"/>
        <w:spacing w:before="0" w:after="80"/>
        <w:ind w:firstLine="432"/>
        <w:jc w:val="both"/>
        <w:rPr>
          <w:rFonts w:hint="eastAsia"/>
        </w:rPr>
      </w:pPr>
      <w:r>
        <w:rPr>
          <w:b/>
          <w:color w:val="555555"/>
        </w:rPr>
        <w:t xml:space="preserve">[274]  </w:t>
      </w:r>
      <w:r>
        <w:rPr/>
        <w:t>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pStyle w:val="Normal"/>
        <w:bidi w:val="0"/>
        <w:spacing w:before="0" w:after="80"/>
        <w:ind w:firstLine="432"/>
        <w:jc w:val="both"/>
        <w:rPr>
          <w:rFonts w:hint="eastAsia"/>
        </w:rPr>
      </w:pPr>
      <w:r>
        <w:rPr>
          <w:b/>
          <w:color w:val="555555"/>
        </w:rPr>
        <w:t xml:space="preserve">[275]  </w:t>
      </w:r>
      <w:r>
        <w:rPr/>
        <w:t>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pStyle w:val="Normal"/>
        <w:bidi w:val="0"/>
        <w:spacing w:before="0" w:after="80"/>
        <w:ind w:firstLine="432"/>
        <w:jc w:val="both"/>
        <w:rPr>
          <w:rFonts w:hint="eastAsia"/>
        </w:rPr>
      </w:pPr>
      <w:r>
        <w:rPr>
          <w:b/>
          <w:color w:val="555555"/>
        </w:rPr>
        <w:t xml:space="preserve">[276]  </w:t>
      </w:r>
      <w:r>
        <w:rPr/>
        <w:t>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pStyle w:val="Normal"/>
        <w:bidi w:val="0"/>
        <w:spacing w:before="0" w:after="80"/>
        <w:ind w:firstLine="432"/>
        <w:jc w:val="both"/>
        <w:rPr>
          <w:rFonts w:hint="eastAsia"/>
        </w:rPr>
      </w:pPr>
      <w:r>
        <w:rPr>
          <w:b/>
          <w:color w:val="555555"/>
        </w:rPr>
        <w:t xml:space="preserve">[277]  </w:t>
      </w:r>
      <w:r>
        <w:rPr/>
        <w:t>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**Computational substrate output as an ingested modality (claims 303–306)**</w:t>
      </w:r>
    </w:p>
    <w:p>
      <w:pPr>
        <w:pStyle w:val="Normal"/>
        <w:bidi w:val="0"/>
        <w:spacing w:before="0" w:after="80"/>
        <w:ind w:firstLine="432"/>
        <w:jc w:val="both"/>
        <w:rPr>
          <w:rFonts w:hint="eastAsia"/>
        </w:rPr>
      </w:pPr>
      <w:r>
        <w:rPr>
          <w:b/>
          <w:color w:val="555555"/>
        </w:rPr>
        <w:t xml:space="preserve">[278]  </w:t>
      </w:r>
      <w:r>
        <w:rPr/>
        <w:t>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pStyle w:val="Normal"/>
        <w:bidi w:val="0"/>
        <w:spacing w:before="0" w:after="80"/>
        <w:ind w:firstLine="432"/>
        <w:jc w:val="both"/>
        <w:rPr>
          <w:rFonts w:hint="eastAsia"/>
        </w:rPr>
      </w:pPr>
      <w:r>
        <w:rPr>
          <w:b/>
          <w:color w:val="555555"/>
        </w:rPr>
        <w:t xml:space="preserve">[279]  </w:t>
      </w:r>
      <w:r>
        <w:rPr/>
        <w:t>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pStyle w:val="Normal"/>
        <w:bidi w:val="0"/>
        <w:spacing w:before="0" w:after="80"/>
        <w:ind w:firstLine="432"/>
        <w:jc w:val="both"/>
        <w:rPr>
          <w:rFonts w:hint="eastAsia"/>
        </w:rPr>
      </w:pPr>
      <w:r>
        <w:rPr>
          <w:b/>
          <w:color w:val="555555"/>
        </w:rPr>
        <w:t xml:space="preserve">[280]  </w:t>
      </w:r>
      <w:r>
        <w:rPr/>
        <w:t>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**Coherence classification and the context lock (claims 296–302)**</w:t>
      </w:r>
    </w:p>
    <w:p>
      <w:pPr>
        <w:pStyle w:val="Normal"/>
        <w:bidi w:val="0"/>
        <w:spacing w:before="0" w:after="80"/>
        <w:ind w:firstLine="432"/>
        <w:jc w:val="both"/>
        <w:rPr>
          <w:rFonts w:hint="eastAsia"/>
        </w:rPr>
      </w:pPr>
      <w:r>
        <w:rPr>
          <w:b/>
          <w:color w:val="555555"/>
        </w:rPr>
        <w:t xml:space="preserve">[281]  </w:t>
      </w:r>
      <w:r>
        <w:rPr/>
        <w:t>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pStyle w:val="Normal"/>
        <w:bidi w:val="0"/>
        <w:spacing w:before="0" w:after="80"/>
        <w:ind w:firstLine="432"/>
        <w:jc w:val="both"/>
        <w:rPr>
          <w:rFonts w:hint="eastAsia"/>
        </w:rPr>
      </w:pPr>
      <w:r>
        <w:rPr>
          <w:b/>
          <w:color w:val="555555"/>
        </w:rPr>
        <w:t xml:space="preserve">[282]  </w:t>
      </w:r>
      <w:r>
        <w:rPr/>
        <w:t>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pStyle w:val="Normal"/>
        <w:bidi w:val="0"/>
        <w:spacing w:before="0" w:after="80"/>
        <w:ind w:firstLine="432"/>
        <w:jc w:val="both"/>
        <w:rPr>
          <w:rFonts w:hint="eastAsia"/>
        </w:rPr>
      </w:pPr>
      <w:r>
        <w:rPr>
          <w:b/>
          <w:color w:val="555555"/>
        </w:rPr>
        <w:t xml:space="preserve">[283]  </w:t>
      </w:r>
      <w:r>
        <w:rPr/>
        <w:t>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pStyle w:val="Normal"/>
        <w:bidi w:val="0"/>
        <w:spacing w:before="0" w:after="80"/>
        <w:ind w:firstLine="432"/>
        <w:jc w:val="both"/>
        <w:rPr>
          <w:rFonts w:hint="eastAsia"/>
        </w:rPr>
      </w:pPr>
      <w:r>
        <w:rPr>
          <w:b/>
          <w:color w:val="555555"/>
        </w:rPr>
        <w:t xml:space="preserve">[284]  </w:t>
      </w:r>
      <w:r>
        <w:rPr/>
        <w:t>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pStyle w:val="Normal"/>
        <w:bidi w:val="0"/>
        <w:spacing w:before="0" w:after="80"/>
        <w:ind w:firstLine="432"/>
        <w:jc w:val="both"/>
        <w:rPr>
          <w:rFonts w:hint="eastAsia"/>
        </w:rPr>
      </w:pPr>
      <w:r>
        <w:rPr>
          <w:b/>
          <w:color w:val="555555"/>
        </w:rPr>
        <w:t xml:space="preserve">[285]  </w:t>
      </w:r>
      <w:r>
        <w:rPr/>
        <w:t>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pStyle w:val="Normal"/>
        <w:bidi w:val="0"/>
        <w:spacing w:before="0" w:after="80"/>
        <w:ind w:firstLine="432"/>
        <w:jc w:val="both"/>
        <w:rPr>
          <w:rFonts w:hint="eastAsia"/>
        </w:rPr>
      </w:pPr>
      <w:r>
        <w:rPr>
          <w:b/>
          <w:color w:val="555555"/>
        </w:rPr>
        <w:t xml:space="preserve">[286]  </w:t>
      </w:r>
      <w:r>
        <w:rPr/>
        <w:t>The method of claim 299, wherein said enumerated set is a member of a fixed enumerated set of subsystems excluded from modification by a proposal generated within the system, such that a dimension is not removed therefrom by an automated process.</w:t>
      </w:r>
    </w:p>
    <w:p>
      <w:pPr>
        <w:pStyle w:val="Normal"/>
        <w:bidi w:val="0"/>
        <w:spacing w:before="0" w:after="80"/>
        <w:ind w:firstLine="432"/>
        <w:jc w:val="both"/>
        <w:rPr>
          <w:rFonts w:hint="eastAsia"/>
        </w:rPr>
      </w:pPr>
      <w:r>
        <w:rPr>
          <w:b/>
          <w:color w:val="555555"/>
        </w:rPr>
        <w:t xml:space="preserve">[287]  </w:t>
      </w:r>
      <w:r>
        <w:rPr/>
        <w:t>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pStyle w:val="Normal"/>
        <w:bidi w:val="0"/>
        <w:spacing w:before="0" w:after="80"/>
        <w:ind w:firstLine="432"/>
        <w:jc w:val="both"/>
        <w:rPr>
          <w:rFonts w:hint="eastAsia"/>
        </w:rPr>
      </w:pPr>
      <w:r>
        <w:rPr>
          <w:b/>
          <w:color w:val="555555"/>
        </w:rPr>
        <w:t xml:space="preserve">[288]  </w:t>
      </w:r>
      <w:r>
        <w:rPr/>
        <w:t>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pStyle w:val="Normal"/>
        <w:bidi w:val="0"/>
        <w:spacing w:before="0" w:after="80"/>
        <w:ind w:firstLine="432"/>
        <w:jc w:val="both"/>
        <w:rPr>
          <w:rFonts w:hint="eastAsia"/>
        </w:rPr>
      </w:pPr>
      <w:r>
        <w:rPr>
          <w:b/>
          <w:color w:val="555555"/>
        </w:rPr>
        <w:t xml:space="preserve">[289]  </w:t>
      </w:r>
      <w:r>
        <w:rPr/>
        <w:t>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pStyle w:val="Normal"/>
        <w:bidi w:val="0"/>
        <w:spacing w:before="0" w:after="80"/>
        <w:ind w:firstLine="432"/>
        <w:jc w:val="both"/>
        <w:rPr>
          <w:rFonts w:hint="eastAsia"/>
        </w:rPr>
      </w:pPr>
      <w:r>
        <w:rPr>
          <w:b/>
          <w:color w:val="555555"/>
        </w:rPr>
        <w:t xml:space="preserve">[290]  </w:t>
      </w:r>
      <w:r>
        <w:rPr/>
        <w:t>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pStyle w:val="Normal"/>
        <w:bidi w:val="0"/>
        <w:spacing w:before="0" w:after="80"/>
        <w:ind w:firstLine="432"/>
        <w:jc w:val="both"/>
        <w:rPr>
          <w:rFonts w:hint="eastAsia"/>
        </w:rPr>
      </w:pPr>
      <w:r>
        <w:rPr>
          <w:b/>
          <w:color w:val="555555"/>
        </w:rPr>
        <w:t xml:space="preserve">[291]  </w:t>
      </w:r>
      <w:r>
        <w:rPr/>
        <w:t>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pStyle w:val="Normal"/>
        <w:bidi w:val="0"/>
        <w:spacing w:before="0" w:after="80"/>
        <w:ind w:firstLine="432"/>
        <w:jc w:val="both"/>
        <w:rPr>
          <w:rFonts w:hint="eastAsia"/>
        </w:rPr>
      </w:pPr>
      <w:r>
        <w:rPr>
          <w:b/>
          <w:color w:val="555555"/>
        </w:rPr>
        <w:t xml:space="preserve">[292]  </w:t>
      </w:r>
      <w:r>
        <w:rPr/>
        <w:t>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pStyle w:val="Normal"/>
        <w:bidi w:val="0"/>
        <w:spacing w:before="0" w:after="80"/>
        <w:ind w:firstLine="432"/>
        <w:jc w:val="both"/>
        <w:rPr>
          <w:rFonts w:hint="eastAsia"/>
        </w:rPr>
      </w:pPr>
      <w:r>
        <w:rPr>
          <w:b/>
          <w:color w:val="555555"/>
        </w:rPr>
        <w:t xml:space="preserve">[293]  </w:t>
      </w:r>
      <w:r>
        <w:rPr/>
        <w:t>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pStyle w:val="Normal"/>
        <w:bidi w:val="0"/>
        <w:spacing w:before="0" w:after="80"/>
        <w:ind w:firstLine="432"/>
        <w:jc w:val="both"/>
        <w:rPr>
          <w:rFonts w:hint="eastAsia"/>
        </w:rPr>
      </w:pPr>
      <w:r>
        <w:rPr>
          <w:b/>
          <w:color w:val="555555"/>
        </w:rPr>
        <w:t xml:space="preserve">[294]  </w:t>
      </w:r>
      <w:r>
        <w:rPr/>
        <w:t>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pStyle w:val="Normal"/>
        <w:bidi w:val="0"/>
        <w:spacing w:before="0" w:after="80"/>
        <w:ind w:firstLine="432"/>
        <w:jc w:val="both"/>
        <w:rPr>
          <w:rFonts w:hint="eastAsia"/>
        </w:rPr>
      </w:pPr>
      <w:r>
        <w:rPr>
          <w:b/>
          <w:color w:val="555555"/>
        </w:rPr>
        <w:t xml:space="preserve">[295]  </w:t>
      </w:r>
      <w:r>
        <w:rPr/>
        <w:t>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**Competitive candidate resolution (claims 322–324)**</w:t>
      </w:r>
    </w:p>
    <w:p>
      <w:pPr>
        <w:pStyle w:val="Normal"/>
        <w:bidi w:val="0"/>
        <w:spacing w:before="0" w:after="80"/>
        <w:ind w:firstLine="432"/>
        <w:jc w:val="both"/>
        <w:rPr>
          <w:rFonts w:hint="eastAsia"/>
        </w:rPr>
      </w:pPr>
      <w:r>
        <w:rPr>
          <w:b/>
          <w:color w:val="555555"/>
        </w:rPr>
        <w:t xml:space="preserve">[296]  </w:t>
      </w:r>
      <w:r>
        <w:rPr/>
        <w:t>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pStyle w:val="Normal"/>
        <w:bidi w:val="0"/>
        <w:spacing w:before="0" w:after="80"/>
        <w:ind w:firstLine="432"/>
        <w:jc w:val="both"/>
        <w:rPr>
          <w:rFonts w:hint="eastAsia"/>
        </w:rPr>
      </w:pPr>
      <w:r>
        <w:rPr>
          <w:b/>
          <w:color w:val="555555"/>
        </w:rPr>
        <w:t xml:space="preserve">[297]  </w:t>
      </w:r>
      <w:r>
        <w:rPr/>
        <w:t>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pStyle w:val="Normal"/>
        <w:bidi w:val="0"/>
        <w:spacing w:before="0" w:after="80"/>
        <w:ind w:firstLine="432"/>
        <w:jc w:val="both"/>
        <w:rPr>
          <w:rFonts w:hint="eastAsia"/>
        </w:rPr>
      </w:pPr>
      <w:r>
        <w:rPr>
          <w:b/>
          <w:color w:val="555555"/>
        </w:rPr>
        <w:t xml:space="preserve">[298]  </w:t>
      </w:r>
      <w:r>
        <w:rPr/>
        <w:t>The method of claim 322, wherein said reducing operates upon said knowledge records and not upon a plurality of domains each owning a bounded set of operations, a said domain owning a distinct decision such that no two said domains propose competing resolutions of a common query. **Specialized live data feeds (claims 325–332)**</w:t>
      </w:r>
    </w:p>
    <w:p>
      <w:pPr>
        <w:pStyle w:val="Normal"/>
        <w:bidi w:val="0"/>
        <w:spacing w:before="0" w:after="80"/>
        <w:ind w:firstLine="432"/>
        <w:jc w:val="both"/>
        <w:rPr>
          <w:rFonts w:hint="eastAsia"/>
        </w:rPr>
      </w:pPr>
      <w:r>
        <w:rPr>
          <w:b/>
          <w:color w:val="555555"/>
        </w:rPr>
        <w:t xml:space="preserve">[299]  </w:t>
      </w:r>
      <w:r>
        <w:rPr/>
        <w:t>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pStyle w:val="Normal"/>
        <w:bidi w:val="0"/>
        <w:spacing w:before="0" w:after="80"/>
        <w:ind w:firstLine="432"/>
        <w:jc w:val="both"/>
        <w:rPr>
          <w:rFonts w:hint="eastAsia"/>
        </w:rPr>
      </w:pPr>
      <w:r>
        <w:rPr>
          <w:b/>
          <w:color w:val="555555"/>
        </w:rPr>
        <w:t xml:space="preserve">[300]  </w:t>
      </w:r>
      <w:r>
        <w:rPr/>
        <w:t>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pStyle w:val="Normal"/>
        <w:bidi w:val="0"/>
        <w:spacing w:before="0" w:after="80"/>
        <w:ind w:firstLine="432"/>
        <w:jc w:val="both"/>
        <w:rPr>
          <w:rFonts w:hint="eastAsia"/>
        </w:rPr>
      </w:pPr>
      <w:r>
        <w:rPr>
          <w:b/>
          <w:color w:val="555555"/>
        </w:rPr>
        <w:t xml:space="preserve">[301]  </w:t>
      </w:r>
      <w:r>
        <w:rPr/>
        <w:t>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pStyle w:val="Normal"/>
        <w:bidi w:val="0"/>
        <w:spacing w:before="0" w:after="80"/>
        <w:ind w:firstLine="432"/>
        <w:jc w:val="both"/>
        <w:rPr>
          <w:rFonts w:hint="eastAsia"/>
        </w:rPr>
      </w:pPr>
      <w:r>
        <w:rPr>
          <w:b/>
          <w:color w:val="555555"/>
        </w:rPr>
        <w:t xml:space="preserve">[302]  </w:t>
      </w:r>
      <w:r>
        <w:rPr/>
        <w:t>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pStyle w:val="Normal"/>
        <w:bidi w:val="0"/>
        <w:spacing w:before="0" w:after="80"/>
        <w:ind w:firstLine="432"/>
        <w:jc w:val="both"/>
        <w:rPr>
          <w:rFonts w:hint="eastAsia"/>
        </w:rPr>
      </w:pPr>
      <w:r>
        <w:rPr>
          <w:b/>
          <w:color w:val="555555"/>
        </w:rPr>
        <w:t xml:space="preserve">[303]  </w:t>
      </w:r>
      <w:r>
        <w:rPr/>
        <w:t>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pStyle w:val="Normal"/>
        <w:bidi w:val="0"/>
        <w:spacing w:before="0" w:after="80"/>
        <w:ind w:firstLine="432"/>
        <w:jc w:val="both"/>
        <w:rPr>
          <w:rFonts w:hint="eastAsia"/>
        </w:rPr>
      </w:pPr>
      <w:r>
        <w:rPr>
          <w:b/>
          <w:color w:val="555555"/>
        </w:rPr>
        <w:t xml:space="preserve">[304]  </w:t>
      </w:r>
      <w:r>
        <w:rPr/>
        <w:t>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pStyle w:val="Normal"/>
        <w:bidi w:val="0"/>
        <w:spacing w:before="0" w:after="80"/>
        <w:ind w:firstLine="432"/>
        <w:jc w:val="both"/>
        <w:rPr>
          <w:rFonts w:hint="eastAsia"/>
        </w:rPr>
      </w:pPr>
      <w:r>
        <w:rPr>
          <w:b/>
          <w:color w:val="555555"/>
        </w:rPr>
        <w:t xml:space="preserve">[305]  </w:t>
      </w:r>
      <w:r>
        <w:rPr/>
        <w:t>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pStyle w:val="Normal"/>
        <w:bidi w:val="0"/>
        <w:spacing w:before="0" w:after="80"/>
        <w:ind w:firstLine="432"/>
        <w:jc w:val="both"/>
        <w:rPr>
          <w:rFonts w:hint="eastAsia"/>
        </w:rPr>
      </w:pPr>
      <w:r>
        <w:rPr>
          <w:b/>
          <w:color w:val="555555"/>
        </w:rPr>
        <w:t xml:space="preserve">[306]  </w:t>
      </w:r>
      <w:r>
        <w:rPr/>
        <w:t>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pStyle w:val="Normal"/>
        <w:bidi w:val="0"/>
        <w:spacing w:before="0" w:after="80"/>
        <w:ind w:firstLine="432"/>
        <w:jc w:val="both"/>
        <w:rPr>
          <w:rFonts w:hint="eastAsia"/>
        </w:rPr>
      </w:pPr>
      <w:r>
        <w:rPr>
          <w:b/>
          <w:color w:val="555555"/>
        </w:rPr>
        <w:t xml:space="preserve">[307]  </w:t>
      </w:r>
      <w:r>
        <w:rPr/>
        <w:t>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pStyle w:val="Normal"/>
        <w:bidi w:val="0"/>
        <w:spacing w:before="0" w:after="80"/>
        <w:ind w:firstLine="432"/>
        <w:jc w:val="both"/>
        <w:rPr>
          <w:rFonts w:hint="eastAsia"/>
        </w:rPr>
      </w:pPr>
      <w:r>
        <w:rPr>
          <w:b/>
          <w:color w:val="555555"/>
        </w:rPr>
        <w:t xml:space="preserve">[308]  </w:t>
      </w:r>
      <w:r>
        <w:rPr/>
        <w:t>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pStyle w:val="Normal"/>
        <w:bidi w:val="0"/>
        <w:spacing w:before="0" w:after="80"/>
        <w:ind w:firstLine="432"/>
        <w:jc w:val="both"/>
        <w:rPr>
          <w:rFonts w:hint="eastAsia"/>
        </w:rPr>
      </w:pPr>
      <w:r>
        <w:rPr>
          <w:b/>
          <w:color w:val="555555"/>
        </w:rPr>
        <w:t xml:space="preserve">[309]  </w:t>
      </w:r>
      <w:r>
        <w:rPr/>
        <w:t>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pStyle w:val="Normal"/>
        <w:bidi w:val="0"/>
        <w:spacing w:before="0" w:after="80"/>
        <w:ind w:firstLine="432"/>
        <w:jc w:val="both"/>
        <w:rPr>
          <w:rFonts w:hint="eastAsia"/>
        </w:rPr>
      </w:pPr>
      <w:r>
        <w:rPr>
          <w:b/>
          <w:color w:val="555555"/>
        </w:rPr>
        <w:t xml:space="preserve">[310]  </w:t>
      </w:r>
      <w:r>
        <w:rPr/>
        <w:t>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**Ingestion-time question generation and the author supplemental layer (claims 31–39)**</w:t>
      </w:r>
    </w:p>
    <w:p>
      <w:pPr>
        <w:pStyle w:val="Normal"/>
        <w:bidi w:val="0"/>
        <w:spacing w:before="0" w:after="80"/>
        <w:ind w:firstLine="432"/>
        <w:jc w:val="both"/>
        <w:rPr>
          <w:rFonts w:hint="eastAsia"/>
        </w:rPr>
      </w:pPr>
      <w:r>
        <w:rPr>
          <w:b/>
          <w:color w:val="555555"/>
        </w:rPr>
        <w:t xml:space="preserve">[311]  </w:t>
      </w:r>
      <w:r>
        <w:rPr/>
        <w:t>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pStyle w:val="Normal"/>
        <w:bidi w:val="0"/>
        <w:spacing w:before="0" w:after="80"/>
        <w:ind w:firstLine="432"/>
        <w:jc w:val="both"/>
        <w:rPr>
          <w:rFonts w:hint="eastAsia"/>
        </w:rPr>
      </w:pPr>
      <w:r>
        <w:rPr>
          <w:b/>
          <w:color w:val="555555"/>
        </w:rPr>
        <w:t xml:space="preserve">[312]  </w:t>
      </w:r>
      <w:r>
        <w:rPr/>
        <w:t>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pStyle w:val="Normal"/>
        <w:bidi w:val="0"/>
        <w:spacing w:before="0" w:after="80"/>
        <w:ind w:firstLine="432"/>
        <w:jc w:val="both"/>
        <w:rPr>
          <w:rFonts w:hint="eastAsia"/>
        </w:rPr>
      </w:pPr>
      <w:r>
        <w:rPr>
          <w:b/>
          <w:color w:val="555555"/>
        </w:rPr>
        <w:t xml:space="preserve">[313]  </w:t>
      </w:r>
      <w:r>
        <w:rPr/>
        <w:t>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pStyle w:val="Normal"/>
        <w:bidi w:val="0"/>
        <w:spacing w:before="0" w:after="80"/>
        <w:ind w:firstLine="432"/>
        <w:jc w:val="both"/>
        <w:rPr>
          <w:rFonts w:hint="eastAsia"/>
        </w:rPr>
      </w:pPr>
      <w:r>
        <w:rPr>
          <w:b/>
          <w:color w:val="555555"/>
        </w:rPr>
        <w:t xml:space="preserve">[314]  </w:t>
      </w:r>
      <w:r>
        <w:rPr/>
        <w:t>The method of claim 31, wherein a said candidate question generated by traversal across two or more said knowledge records is a question that no single one of said two or more knowledge records answers alone.</w:t>
      </w:r>
    </w:p>
    <w:p>
      <w:pPr>
        <w:pStyle w:val="Normal"/>
        <w:bidi w:val="0"/>
        <w:spacing w:before="0" w:after="80"/>
        <w:ind w:firstLine="432"/>
        <w:jc w:val="both"/>
        <w:rPr>
          <w:rFonts w:hint="eastAsia"/>
        </w:rPr>
      </w:pPr>
      <w:r>
        <w:rPr>
          <w:b/>
          <w:color w:val="555555"/>
        </w:rPr>
        <w:t xml:space="preserve">[315]  </w:t>
      </w:r>
      <w:r>
        <w:rPr/>
        <w:t>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pStyle w:val="Normal"/>
        <w:bidi w:val="0"/>
        <w:spacing w:before="0" w:after="80"/>
        <w:ind w:firstLine="432"/>
        <w:jc w:val="both"/>
        <w:rPr>
          <w:rFonts w:hint="eastAsia"/>
        </w:rPr>
      </w:pPr>
      <w:r>
        <w:rPr>
          <w:b/>
          <w:color w:val="555555"/>
        </w:rPr>
        <w:t xml:space="preserve">[316]  </w:t>
      </w:r>
      <w:r>
        <w:rPr/>
        <w:t>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pStyle w:val="Normal"/>
        <w:bidi w:val="0"/>
        <w:spacing w:before="0" w:after="80"/>
        <w:ind w:firstLine="432"/>
        <w:jc w:val="both"/>
        <w:rPr>
          <w:rFonts w:hint="eastAsia"/>
        </w:rPr>
      </w:pPr>
      <w:r>
        <w:rPr>
          <w:b/>
          <w:color w:val="555555"/>
        </w:rPr>
        <w:t xml:space="preserve">[317]  </w:t>
      </w:r>
      <w:r>
        <w:rPr/>
        <w:t>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pStyle w:val="Normal"/>
        <w:bidi w:val="0"/>
        <w:spacing w:before="0" w:after="80"/>
        <w:ind w:firstLine="432"/>
        <w:jc w:val="both"/>
        <w:rPr>
          <w:rFonts w:hint="eastAsia"/>
        </w:rPr>
      </w:pPr>
      <w:r>
        <w:rPr>
          <w:b/>
          <w:color w:val="555555"/>
        </w:rPr>
        <w:t xml:space="preserve">[318]  </w:t>
      </w:r>
      <w:r>
        <w:rPr/>
        <w:t>The method of claim 37, wherein said derived-inference record is traceable to the knowledge records whose logical entailment said derived-inference record represents, and is not traceable to a single source passage of said digital work.</w:t>
      </w:r>
    </w:p>
    <w:p>
      <w:pPr>
        <w:pStyle w:val="Normal"/>
        <w:bidi w:val="0"/>
        <w:spacing w:before="0" w:after="80"/>
        <w:ind w:firstLine="432"/>
        <w:jc w:val="both"/>
        <w:rPr>
          <w:rFonts w:hint="eastAsia"/>
        </w:rPr>
      </w:pPr>
      <w:r>
        <w:rPr>
          <w:b/>
          <w:color w:val="555555"/>
        </w:rPr>
        <w:t xml:space="preserve">[319]  </w:t>
      </w:r>
      <w:r>
        <w:rPr/>
        <w:t>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pStyle w:val="Normal"/>
        <w:bidi w:val="0"/>
        <w:spacing w:before="0" w:after="80"/>
        <w:ind w:firstLine="432"/>
        <w:jc w:val="both"/>
        <w:rPr>
          <w:rFonts w:hint="eastAsia"/>
        </w:rPr>
      </w:pPr>
      <w:r>
        <w:rPr>
          <w:b/>
          <w:color w:val="555555"/>
        </w:rPr>
        <w:t xml:space="preserve">[320]  </w:t>
      </w:r>
      <w:r>
        <w:rPr/>
        <w:t>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pStyle w:val="Normal"/>
        <w:bidi w:val="0"/>
        <w:spacing w:before="0" w:after="80"/>
        <w:ind w:firstLine="432"/>
        <w:jc w:val="both"/>
        <w:rPr>
          <w:rFonts w:hint="eastAsia"/>
        </w:rPr>
      </w:pPr>
      <w:r>
        <w:rPr>
          <w:b/>
          <w:color w:val="555555"/>
        </w:rPr>
        <w:t xml:space="preserve">[321]  </w:t>
      </w:r>
      <w:r>
        <w:rPr/>
        <w:t>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**Retrieval-phase boundary and sampling criticality control (claims 40–44)**</w:t>
      </w:r>
    </w:p>
    <w:p>
      <w:pPr>
        <w:pStyle w:val="Normal"/>
        <w:bidi w:val="0"/>
        <w:spacing w:before="0" w:after="80"/>
        <w:ind w:firstLine="432"/>
        <w:jc w:val="both"/>
        <w:rPr>
          <w:rFonts w:hint="eastAsia"/>
        </w:rPr>
      </w:pPr>
      <w:r>
        <w:rPr>
          <w:b/>
          <w:color w:val="555555"/>
        </w:rPr>
        <w:t xml:space="preserve">[322]  </w:t>
      </w:r>
      <w:r>
        <w:rPr/>
        <w:t>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pStyle w:val="Normal"/>
        <w:bidi w:val="0"/>
        <w:spacing w:before="0" w:after="80"/>
        <w:ind w:firstLine="432"/>
        <w:jc w:val="both"/>
        <w:rPr>
          <w:rFonts w:hint="eastAsia"/>
        </w:rPr>
      </w:pPr>
      <w:r>
        <w:rPr>
          <w:b/>
          <w:color w:val="555555"/>
        </w:rPr>
        <w:t xml:space="preserve">[323]  </w:t>
      </w:r>
      <w:r>
        <w:rPr/>
        <w:t>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pStyle w:val="Normal"/>
        <w:bidi w:val="0"/>
        <w:spacing w:before="0" w:after="80"/>
        <w:ind w:firstLine="432"/>
        <w:jc w:val="both"/>
        <w:rPr>
          <w:rFonts w:hint="eastAsia"/>
        </w:rPr>
      </w:pPr>
      <w:r>
        <w:rPr>
          <w:b/>
          <w:color w:val="555555"/>
        </w:rPr>
        <w:t xml:space="preserve">[324]  </w:t>
      </w:r>
      <w:r>
        <w:rPr/>
        <w:t>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pStyle w:val="Normal"/>
        <w:bidi w:val="0"/>
        <w:spacing w:before="0" w:after="80"/>
        <w:ind w:firstLine="432"/>
        <w:jc w:val="both"/>
        <w:rPr>
          <w:rFonts w:hint="eastAsia"/>
        </w:rPr>
      </w:pPr>
      <w:r>
        <w:rPr>
          <w:b/>
          <w:color w:val="555555"/>
        </w:rPr>
        <w:t xml:space="preserve">[325]  </w:t>
      </w:r>
      <w:r>
        <w:rPr/>
        <w:t>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pStyle w:val="Normal"/>
        <w:bidi w:val="0"/>
        <w:spacing w:before="0" w:after="80"/>
        <w:ind w:firstLine="432"/>
        <w:jc w:val="both"/>
        <w:rPr>
          <w:rFonts w:hint="eastAsia"/>
        </w:rPr>
      </w:pPr>
      <w:r>
        <w:rPr>
          <w:b/>
          <w:color w:val="555555"/>
        </w:rPr>
        <w:t xml:space="preserve">[326]  </w:t>
      </w:r>
      <w:r>
        <w:rPr/>
        <w:t>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**Wording-operative spans and idiom equivalence (claims 50–53)**</w:t>
      </w:r>
    </w:p>
    <w:p>
      <w:pPr>
        <w:pStyle w:val="Normal"/>
        <w:bidi w:val="0"/>
        <w:spacing w:before="0" w:after="80"/>
        <w:ind w:firstLine="432"/>
        <w:jc w:val="both"/>
        <w:rPr>
          <w:rFonts w:hint="eastAsia"/>
        </w:rPr>
      </w:pPr>
      <w:r>
        <w:rPr>
          <w:b/>
          <w:color w:val="555555"/>
        </w:rPr>
        <w:t xml:space="preserve">[327]  </w:t>
      </w:r>
      <w:r>
        <w:rPr/>
        <w:t>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pStyle w:val="Normal"/>
        <w:bidi w:val="0"/>
        <w:spacing w:before="0" w:after="80"/>
        <w:ind w:firstLine="432"/>
        <w:jc w:val="both"/>
        <w:rPr>
          <w:rFonts w:hint="eastAsia"/>
        </w:rPr>
      </w:pPr>
      <w:r>
        <w:rPr>
          <w:b/>
          <w:color w:val="555555"/>
        </w:rPr>
        <w:t xml:space="preserve">[328]  </w:t>
      </w:r>
      <w:r>
        <w:rPr/>
        <w:t>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pStyle w:val="Normal"/>
        <w:bidi w:val="0"/>
        <w:spacing w:before="0" w:after="80"/>
        <w:ind w:firstLine="432"/>
        <w:jc w:val="both"/>
        <w:rPr>
          <w:rFonts w:hint="eastAsia"/>
        </w:rPr>
      </w:pPr>
      <w:r>
        <w:rPr>
          <w:b/>
          <w:color w:val="555555"/>
        </w:rPr>
        <w:t xml:space="preserve">[329]  </w:t>
      </w:r>
      <w:r>
        <w:rPr/>
        <w:t>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pStyle w:val="Normal"/>
        <w:bidi w:val="0"/>
        <w:spacing w:before="0" w:after="80"/>
        <w:ind w:firstLine="432"/>
        <w:jc w:val="both"/>
        <w:rPr>
          <w:rFonts w:hint="eastAsia"/>
        </w:rPr>
      </w:pPr>
      <w:r>
        <w:rPr>
          <w:b/>
          <w:color w:val="555555"/>
        </w:rPr>
        <w:t xml:space="preserve">[330]  </w:t>
      </w:r>
      <w:r>
        <w:rPr/>
        <w:t>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**Linguistic resource registry and derived-artifact-only ingestion (claims 54–57)**</w:t>
      </w:r>
    </w:p>
    <w:p>
      <w:pPr>
        <w:pStyle w:val="Normal"/>
        <w:bidi w:val="0"/>
        <w:spacing w:before="0" w:after="80"/>
        <w:ind w:firstLine="432"/>
        <w:jc w:val="both"/>
        <w:rPr>
          <w:rFonts w:hint="eastAsia"/>
        </w:rPr>
      </w:pPr>
      <w:r>
        <w:rPr>
          <w:b/>
          <w:color w:val="555555"/>
        </w:rPr>
        <w:t xml:space="preserve">[331]  </w:t>
      </w:r>
      <w:r>
        <w:rPr/>
        <w:t>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Normal"/>
        <w:bidi w:val="0"/>
        <w:spacing w:before="0" w:after="80"/>
        <w:ind w:firstLine="432"/>
        <w:jc w:val="both"/>
        <w:rPr>
          <w:rFonts w:hint="eastAsia"/>
        </w:rPr>
      </w:pPr>
      <w:r>
        <w:rPr>
          <w:b/>
          <w:color w:val="555555"/>
        </w:rPr>
        <w:t xml:space="preserve">[332]  </w:t>
      </w:r>
      <w:r>
        <w:rPr/>
        <w:t>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pStyle w:val="Normal"/>
        <w:bidi w:val="0"/>
        <w:spacing w:before="0" w:after="80"/>
        <w:ind w:firstLine="432"/>
        <w:jc w:val="both"/>
        <w:rPr>
          <w:rFonts w:hint="eastAsia"/>
        </w:rPr>
      </w:pPr>
      <w:r>
        <w:rPr>
          <w:b/>
          <w:color w:val="555555"/>
        </w:rPr>
        <w:t xml:space="preserve">[333]  </w:t>
      </w:r>
      <w:r>
        <w:rPr/>
        <w:t>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pStyle w:val="Normal"/>
        <w:bidi w:val="0"/>
        <w:spacing w:before="0" w:after="80"/>
        <w:ind w:firstLine="432"/>
        <w:jc w:val="both"/>
        <w:rPr>
          <w:rFonts w:hint="eastAsia"/>
        </w:rPr>
      </w:pPr>
      <w:r>
        <w:rPr>
          <w:b/>
          <w:color w:val="555555"/>
        </w:rPr>
        <w:t xml:space="preserve">[334]  </w:t>
      </w:r>
      <w:r>
        <w:rPr/>
        <w:t>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pStyle w:val="Normal"/>
        <w:bidi w:val="0"/>
        <w:spacing w:before="0" w:after="80"/>
        <w:ind w:firstLine="432"/>
        <w:jc w:val="both"/>
        <w:rPr>
          <w:rFonts w:hint="eastAsia"/>
        </w:rPr>
      </w:pPr>
      <w:r>
        <w:rPr>
          <w:b/>
          <w:color w:val="555555"/>
        </w:rPr>
        <w:t xml:space="preserve">[335]  </w:t>
      </w:r>
      <w:r>
        <w:rPr/>
        <w:t>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pStyle w:val="Normal"/>
        <w:bidi w:val="0"/>
        <w:spacing w:before="0" w:after="80"/>
        <w:ind w:firstLine="432"/>
        <w:jc w:val="both"/>
        <w:rPr>
          <w:rFonts w:hint="eastAsia"/>
        </w:rPr>
      </w:pPr>
      <w:r>
        <w:rPr>
          <w:b/>
          <w:color w:val="555555"/>
        </w:rPr>
        <w:t xml:space="preserve">[336]  </w:t>
      </w:r>
      <w:r>
        <w:rPr/>
        <w:t>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pStyle w:val="Normal"/>
        <w:bidi w:val="0"/>
        <w:spacing w:before="0" w:after="80"/>
        <w:ind w:firstLine="432"/>
        <w:jc w:val="both"/>
        <w:rPr>
          <w:rFonts w:hint="eastAsia"/>
        </w:rPr>
      </w:pPr>
      <w:r>
        <w:rPr>
          <w:b/>
          <w:color w:val="555555"/>
        </w:rPr>
        <w:t xml:space="preserve">[337]  </w:t>
      </w:r>
      <w:r>
        <w:rPr/>
        <w:t>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pStyle w:val="Normal"/>
        <w:bidi w:val="0"/>
        <w:spacing w:before="0" w:after="80"/>
        <w:ind w:firstLine="432"/>
        <w:jc w:val="both"/>
        <w:rPr>
          <w:rFonts w:hint="eastAsia"/>
        </w:rPr>
      </w:pPr>
      <w:r>
        <w:rPr>
          <w:b/>
          <w:color w:val="555555"/>
        </w:rPr>
        <w:t xml:space="preserve">[338]  </w:t>
      </w:r>
      <w:r>
        <w:rPr/>
        <w:t>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**Deployment topology, module replacement and substrate independence (claims 174–182)**</w:t>
      </w:r>
    </w:p>
    <w:p>
      <w:pPr>
        <w:pStyle w:val="Normal"/>
        <w:bidi w:val="0"/>
        <w:spacing w:before="0" w:after="80"/>
        <w:ind w:firstLine="432"/>
        <w:jc w:val="both"/>
        <w:rPr>
          <w:rFonts w:hint="eastAsia"/>
        </w:rPr>
      </w:pPr>
      <w:r>
        <w:rPr>
          <w:b/>
          <w:color w:val="555555"/>
        </w:rPr>
        <w:t xml:space="preserve">[339]  </w:t>
      </w:r>
      <w:r>
        <w:rPr/>
        <w:t>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pStyle w:val="Normal"/>
        <w:bidi w:val="0"/>
        <w:spacing w:before="0" w:after="80"/>
        <w:ind w:firstLine="432"/>
        <w:jc w:val="both"/>
        <w:rPr>
          <w:rFonts w:hint="eastAsia"/>
        </w:rPr>
      </w:pPr>
      <w:r>
        <w:rPr>
          <w:b/>
          <w:color w:val="555555"/>
        </w:rPr>
        <w:t xml:space="preserve">[340]  </w:t>
      </w:r>
      <w:r>
        <w:rPr/>
        <w:t>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pStyle w:val="Normal"/>
        <w:bidi w:val="0"/>
        <w:spacing w:before="0" w:after="80"/>
        <w:ind w:firstLine="432"/>
        <w:jc w:val="both"/>
        <w:rPr>
          <w:rFonts w:hint="eastAsia"/>
        </w:rPr>
      </w:pPr>
      <w:r>
        <w:rPr>
          <w:b/>
          <w:color w:val="555555"/>
        </w:rPr>
        <w:t xml:space="preserve">[341]  </w:t>
      </w:r>
      <w:r>
        <w:rPr/>
        <w:t>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**Event type catalogue, environment vectors and causal validation (claims 119–124)**</w:t>
      </w:r>
    </w:p>
    <w:p>
      <w:pPr>
        <w:pStyle w:val="Normal"/>
        <w:bidi w:val="0"/>
        <w:jc w:val="start"/>
        <w:rPr>
          <w:rFonts w:hint="eastAsia"/>
        </w:rPr>
      </w:pPr>
      <w:r>
        <w:rPr>
          <w:b/>
          <w:color w:val="1A2235"/>
        </w:rPr>
        <w:t xml:space="preserve">— </w:t>
      </w:r>
      <w:r>
        <w:rPr>
          <w:b/>
          <w:color w:val="1A2235"/>
        </w:rPr>
        <w:t>New claims 342–354 (Passes 117–118) —</w:t>
      </w:r>
    </w:p>
    <w:p>
      <w:pPr>
        <w:pStyle w:val="Normal"/>
        <w:bidi w:val="0"/>
        <w:spacing w:before="0" w:after="100"/>
        <w:ind w:firstLine="432"/>
        <w:jc w:val="both"/>
        <w:rPr>
          <w:rFonts w:hint="eastAsia"/>
        </w:rPr>
      </w:pPr>
      <w:r>
        <w:rPr>
          <w:b/>
        </w:rPr>
        <w:t xml:space="preserve">342.  </w:t>
      </w:r>
      <w:r>
        <w:rPr/>
        <w:t>A computer-implemented method as in claim 1, wherein each knowledge record is expressed in a formal, language-independent assertion notation whose vocabulary is a governed predicate catalogue, whose grammar is a fixed record schema, and whose identity function is a semantic fingerprint, such that two statements asserting the same proposition in different natural languages resolve to the same statement, and a candidate not conforming to said notation is refused at admission.</w:t>
      </w:r>
    </w:p>
    <w:p>
      <w:pPr>
        <w:pStyle w:val="Normal"/>
        <w:bidi w:val="0"/>
        <w:spacing w:before="0" w:after="100"/>
        <w:ind w:firstLine="432"/>
        <w:jc w:val="both"/>
        <w:rPr>
          <w:rFonts w:hint="eastAsia"/>
        </w:rPr>
      </w:pPr>
      <w:r>
        <w:rPr>
          <w:b/>
        </w:rPr>
        <w:t xml:space="preserve">343.  </w:t>
      </w:r>
      <w:r>
        <w:rPr/>
        <w:t>The method of claim 1, further comprising maintaining procedural knowledge as provenance-tracked procedural concept models formed from repeated observation, including sensory experience and ingested video, said procedural concept models informing scenario simulation and equipment-control command compilation while never themselves emitting a command.</w:t>
      </w:r>
    </w:p>
    <w:p>
      <w:pPr>
        <w:pStyle w:val="Normal"/>
        <w:bidi w:val="0"/>
        <w:spacing w:before="0" w:after="100"/>
        <w:ind w:firstLine="432"/>
        <w:jc w:val="both"/>
        <w:rPr>
          <w:rFonts w:hint="eastAsia"/>
        </w:rPr>
      </w:pPr>
      <w:r>
        <w:rPr>
          <w:b/>
        </w:rPr>
        <w:t xml:space="preserve">344.  </w:t>
      </w:r>
      <w:r>
        <w:rPr/>
        <w:t>The method of claim 1, further comprising decomposing an uncertainty of a knowledge record into an epistemic component and an aleatory component each carrying explicit sub-parameters, and terminating an evidence-accumulation loop upon a condition defined over said components.</w:t>
      </w:r>
    </w:p>
    <w:p>
      <w:pPr>
        <w:pStyle w:val="Normal"/>
        <w:bidi w:val="0"/>
        <w:spacing w:before="0" w:after="100"/>
        <w:ind w:firstLine="432"/>
        <w:jc w:val="both"/>
        <w:rPr>
          <w:rFonts w:hint="eastAsia"/>
        </w:rPr>
      </w:pPr>
      <w:r>
        <w:rPr>
          <w:b/>
        </w:rPr>
        <w:t xml:space="preserve">345.  </w:t>
      </w:r>
      <w:r>
        <w:rPr/>
        <w:t>The method of claim 1, wherein a knowledge record carries an explicit assertion-polarity field, and said polarity participates in the semantic fingerprint such that an assertion and its negation are distinguished.</w:t>
      </w:r>
    </w:p>
    <w:p>
      <w:pPr>
        <w:pStyle w:val="Normal"/>
        <w:bidi w:val="0"/>
        <w:spacing w:before="0" w:after="100"/>
        <w:ind w:firstLine="432"/>
        <w:jc w:val="both"/>
        <w:rPr>
          <w:rFonts w:hint="eastAsia"/>
        </w:rPr>
      </w:pPr>
      <w:r>
        <w:rPr>
          <w:b/>
        </w:rPr>
        <w:t xml:space="preserve">346.  </w:t>
      </w:r>
      <w:r>
        <w:rPr/>
        <w:t>The method of claim 1, further comprising representing an assertion of more than two participants as a native n-ary structure under a single identifier, a single semantic fingerprint, and a single evidence pair.</w:t>
      </w:r>
    </w:p>
    <w:p>
      <w:pPr>
        <w:pStyle w:val="Normal"/>
        <w:bidi w:val="0"/>
        <w:spacing w:before="0" w:after="100"/>
        <w:ind w:firstLine="432"/>
        <w:jc w:val="both"/>
        <w:rPr>
          <w:rFonts w:hint="eastAsia"/>
        </w:rPr>
      </w:pPr>
      <w:r>
        <w:rPr>
          <w:b/>
        </w:rPr>
        <w:t xml:space="preserve">347.  </w:t>
      </w:r>
      <w:r>
        <w:rPr/>
        <w:t>The method of claim 1, wherein a knowledge record carries an applicability-scope field constituting a record-side complement of a context lock, and a contradiction between two records is evaluated within scope-aware conflict slots defined by said field.</w:t>
      </w:r>
    </w:p>
    <w:p>
      <w:pPr>
        <w:pStyle w:val="Normal"/>
        <w:bidi w:val="0"/>
        <w:spacing w:before="0" w:after="100"/>
        <w:ind w:firstLine="432"/>
        <w:jc w:val="both"/>
        <w:rPr>
          <w:rFonts w:hint="eastAsia"/>
        </w:rPr>
      </w:pPr>
      <w:r>
        <w:rPr>
          <w:b/>
        </w:rPr>
        <w:t xml:space="preserve">348.  </w:t>
      </w:r>
      <w:r>
        <w:rPr/>
        <w:t>The method of claim 1, further comprising maintaining an immutable adjustment-history layer recording each adjustment to a confidence value, whereby said confidence value is deterministically replayable from the record content and an observation stream.</w:t>
      </w:r>
    </w:p>
    <w:p>
      <w:pPr>
        <w:pStyle w:val="Normal"/>
        <w:bidi w:val="0"/>
        <w:spacing w:before="0" w:after="100"/>
        <w:ind w:firstLine="432"/>
        <w:jc w:val="both"/>
        <w:rPr>
          <w:rFonts w:hint="eastAsia"/>
        </w:rPr>
      </w:pPr>
      <w:r>
        <w:rPr>
          <w:b/>
        </w:rPr>
        <w:t xml:space="preserve">349.  </w:t>
      </w:r>
      <w:r>
        <w:rPr/>
        <w:t>The method of claim 1, further comprising hash-linking each superseding version of a knowledge record to its predecessor in a cryptographic integrity chain, without a distributed ledger, token, or ownership-identity node.</w:t>
      </w:r>
    </w:p>
    <w:p>
      <w:pPr>
        <w:pStyle w:val="Normal"/>
        <w:bidi w:val="0"/>
        <w:spacing w:before="0" w:after="100"/>
        <w:ind w:firstLine="432"/>
        <w:jc w:val="both"/>
        <w:rPr>
          <w:rFonts w:hint="eastAsia"/>
        </w:rPr>
      </w:pPr>
      <w:r>
        <w:rPr>
          <w:b/>
        </w:rPr>
        <w:t xml:space="preserve">350.  </w:t>
      </w:r>
      <w:r>
        <w:rPr/>
        <w:t>The method of claim 1, further comprising serializing a knowledge record in a canonical compact encoding for micro-embedded and offline deployment, said canonical compact encoding yielding an identifier and a semantic fingerprint identical to those of a full form of the record.</w:t>
      </w:r>
    </w:p>
    <w:p>
      <w:pPr>
        <w:pStyle w:val="Normal"/>
        <w:bidi w:val="0"/>
        <w:spacing w:before="0" w:after="100"/>
        <w:ind w:firstLine="432"/>
        <w:jc w:val="both"/>
        <w:rPr>
          <w:rFonts w:hint="eastAsia"/>
        </w:rPr>
      </w:pPr>
      <w:r>
        <w:rPr>
          <w:b/>
        </w:rPr>
        <w:t xml:space="preserve">351.  </w:t>
      </w:r>
      <w:r>
        <w:rPr/>
        <w:t>The method of claim 350, wherein said canonical compact encoding constitutes the record's at-rest and wire form fused to the record and not to any store, said encoding being self-describing.</w:t>
      </w:r>
    </w:p>
    <w:p>
      <w:pPr>
        <w:pStyle w:val="Normal"/>
        <w:bidi w:val="0"/>
        <w:spacing w:before="0" w:after="100"/>
        <w:ind w:firstLine="432"/>
        <w:jc w:val="both"/>
        <w:rPr>
          <w:rFonts w:hint="eastAsia"/>
        </w:rPr>
      </w:pPr>
      <w:r>
        <w:rPr>
          <w:b/>
        </w:rPr>
        <w:t xml:space="preserve">352.  </w:t>
      </w:r>
      <w:r>
        <w:rPr/>
        <w:t>The method of claim 351, further comprising storing the encoded record in a host store as an opaque value that the host store does not parse, index, or interpret, an obligation of the host store being to accept and return bytes.</w:t>
      </w:r>
    </w:p>
    <w:p>
      <w:pPr>
        <w:pStyle w:val="Normal"/>
        <w:bidi w:val="0"/>
        <w:spacing w:before="0" w:after="100"/>
        <w:ind w:firstLine="432"/>
        <w:jc w:val="both"/>
        <w:rPr>
          <w:rFonts w:hint="eastAsia"/>
        </w:rPr>
      </w:pPr>
      <w:r>
        <w:rPr>
          <w:b/>
        </w:rPr>
        <w:t xml:space="preserve">353.  </w:t>
      </w:r>
      <w:r>
        <w:rPr/>
        <w:t>The method of claim 352, further comprising expressing a query internally over the record and translating said query at an adapter into a native query language of the host store, whereby the host store never receives the internal query form.</w:t>
      </w:r>
    </w:p>
    <w:p>
      <w:pPr>
        <w:pStyle w:val="Normal"/>
        <w:bidi w:val="0"/>
        <w:spacing w:before="0" w:after="100"/>
        <w:ind w:firstLine="432"/>
        <w:jc w:val="both"/>
        <w:rPr>
          <w:rFonts w:hint="eastAsia"/>
        </w:rPr>
      </w:pPr>
      <w:r>
        <w:rPr>
          <w:b/>
        </w:rPr>
        <w:t xml:space="preserve">354.  </w:t>
      </w:r>
      <w:r>
        <w:rPr/>
        <w:t>The method of claim 351, further comprising carrying an integrity hash chain, an in-record safety classification and access-control list, and an elected zero-knowledge encryption with the encoded record across a storage boundary, whereby the host store can neither read, reorder, nor leak a meaning of the record.</w:t>
      </w:r>
    </w:p>
    <w:p>
      <w:pPr>
        <w:pStyle w:val="Normal"/>
        <w:bidi w:val="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Normal"/>
        <w:bidi w:val="0"/>
        <w:spacing w:before="120" w:after="0"/>
        <w:jc w:val="start"/>
        <w:rPr>
          <w:rFonts w:ascii="Times New Roman" w:hAnsi="Times New Roman"/>
        </w:rPr>
      </w:pPr>
      <w:r>
        <w:rPr>
          <w:rFonts w:ascii="Times New Roman" w:hAnsi="Times New Roman"/>
        </w:rPr>
      </w:r>
    </w:p>
    <w:p>
      <w:pPr>
        <w:sectPr>
          <w:type w:val="continuous"/>
          <w:pgSz w:w="12240" w:h="15840"/>
          <w:pgMar w:left="1134" w:right="1134" w:gutter="0" w:header="0" w:top="1134" w:footer="0" w:bottom="1134"/>
          <w:formProt w:val="false"/>
          <w:textDirection w:val="lrTb"/>
        </w:sectPr>
      </w:pPr>
    </w:p>
    <w:p>
      <w:pPr>
        <w:pStyle w:val="Heading2"/>
        <w:numPr>
          <w:ilvl w:val="1"/>
          <w:numId w:val="1"/>
        </w:numPr>
        <w:bidi w:val="0"/>
        <w:jc w:val="start"/>
        <w:rPr>
          <w:rFonts w:ascii="Times New Roman" w:hAnsi="Times New Roman"/>
          <w:sz w:val="24"/>
          <w:szCs w:val="24"/>
        </w:rPr>
      </w:pPr>
      <w:bookmarkStart w:id="10" w:name="__RefHeading___Toc46822_805184229"/>
      <w:bookmarkEnd w:id="10"/>
      <w:r>
        <w:rPr>
          <w:rFonts w:ascii="Times New Roman" w:hAnsi="Times New Roman"/>
          <w:sz w:val="24"/>
          <w:szCs w:val="24"/>
        </w:rPr>
        <w:t>ABSTRACT</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start"/>
        <w:rPr>
          <w:rFonts w:ascii="Times New Roman" w:hAnsi="Times New Roman"/>
          <w:color w:val="222222"/>
        </w:rPr>
      </w:pPr>
      <w:r>
        <w:rPr>
          <w:rFonts w:ascii="Times New Roman" w:hAnsi="Times New Roman"/>
          <w:color w:val="222222"/>
        </w:rPr>
        <w:t>QueryBook represents a new model of AI - a synthetic cortex and deterministic world</w:t>
        <w:noBreakHyphen/>
        <w:t>model AI engine built on a new primitive—the Fact Unit, an atomic sub-language semantic units</w:t>
      </w:r>
      <w:r>
        <w:rPr>
          <w:rFonts w:ascii="Times New Roman" w:hAnsi="Times New Roman"/>
          <w:b/>
          <w:color w:val="222222"/>
        </w:rPr>
        <w:t>, </w:t>
      </w:r>
      <w:r>
        <w:rPr>
          <w:rFonts w:ascii="Times New Roman" w:hAnsi="Times New Roman"/>
          <w:color w:val="222222"/>
        </w:rPr>
        <w:t>organized and queried through a UFCS/FQL substrate that stores Fact Units as a trust</w:t>
        <w:noBreakHyphen/>
        <w:t>native graph. QueryBook’s engine provides neuromorphic reasoning, multimodal cognition, and an open, flexible architecture. It represents a new paradigm in AI—one that is structured, explainable, multimodal, and universally deployable across virtually every current AI application. QueeryBook’s ability can be micro-encapsulated for Q&amp;A of single or multiple books and documents in smart devices, used for data analysis, as a semantic search engine, as specialized private AI systems, and provide SaaS, ChatBot, Agent and LLM-like applications, bringing to each a distinct and measurable set of advantages including rogue limiting controls.</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both"/>
        <w:rPr>
          <w:rFonts w:ascii="Times New Roman" w:hAnsi="Times New Roman"/>
          <w:color w:val="222222"/>
        </w:rPr>
      </w:pPr>
      <w:r>
        <w:rPr>
          <w:rFonts w:ascii="Times New Roman" w:hAnsi="Times New Roman"/>
          <w:color w:val="222222"/>
        </w:rPr>
        <w:t>QueryBook transforms digital content into a coherent, navigable, intelligent world</w:t>
        <w:noBreakHyphen/>
        <w:t>model, enabling users to understand, explore, and apply knowledge with unprecedented clarity and precision -- deterministic, non-hallucinogenic, with citations. Across all applications, internal controls ensure humanistic action and prohibition of rogue actions and its innovative seven layer security infrastructure</w:t>
      </w:r>
      <w:r>
        <w:rPr>
          <w:rFonts w:ascii="Times New Roman" w:hAnsi="Times New Roman"/>
          <w:b/>
          <w:color w:val="222222"/>
        </w:rPr>
        <w:t>, </w:t>
      </w:r>
      <w:r>
        <w:rPr>
          <w:rFonts w:ascii="Times New Roman" w:hAnsi="Times New Roman"/>
          <w:color w:val="222222"/>
        </w:rPr>
        <w:t>hardened with post</w:t>
        <w:noBreakHyphen/>
        <w:t>quantum provenance, provides a model for AL and computer systems anti-intrusion shield against viral attacks including Agent Worms. QueryBook Fact Unit graph structure simultaneously permits a new level of enhansed  multi-language provision and translation, a projected 90-99 percent advancement in video and audio compression, expansion and VR capability, plus a new Fact Unit based enhanced TCP/IP hybrid protocol carrying Fact Unit identifiers and provenance references alongside network payload data.</w:t>
      </w:r>
    </w:p>
    <w:p>
      <w:pPr>
        <w:pStyle w:val="Normal"/>
        <w:bidi w:val="0"/>
        <w:spacing w:before="120" w:after="0"/>
        <w:jc w:val="start"/>
        <w:rPr>
          <w:rFonts w:ascii="Times New Roman" w:hAnsi="Times New Roman"/>
        </w:rPr>
      </w:pPr>
      <w:r>
        <w:rPr>
          <w:rFonts w:ascii="Times New Roman" w:hAnsi="Times New Roman"/>
        </w:rPr>
      </w:r>
    </w:p>
    <w:p>
      <w:pPr>
        <w:pStyle w:val="Normal"/>
        <w:bidi w:val="0"/>
        <w:spacing w:before="120" w:after="0"/>
        <w:jc w:val="both"/>
        <w:rPr>
          <w:rFonts w:hint="eastAsia"/>
          <w:color w:val="222222"/>
        </w:rPr>
      </w:pPr>
      <w:r>
        <w:rPr>
          <w:rFonts w:ascii="Times New Roman" w:hAnsi="Times New Roman"/>
          <w:color w:val="222222"/>
        </w:rPr>
        <w:t>QueryBooks Fact Unit graph architecture also reduces data storage by orders of magnitude, works on commodity server or product hardware, and in larger complex applications significantly reduce power consumption, cooling costs and deployment real estate.</w:t>
      </w:r>
    </w:p>
    <w:p>
      <w:pPr>
        <w:sectPr>
          <w:type w:val="continuous"/>
          <w:pgSz w:w="12240" w:h="15840"/>
          <w:pgMar w:left="1134" w:right="1134" w:gutter="0" w:header="0" w:top="1134" w:footer="0" w:bottom="1134"/>
          <w:formProt w:val="false"/>
          <w:textDirection w:val="lrTb"/>
        </w:sectPr>
      </w:pPr>
    </w:p>
    <w:p>
      <w:pPr>
        <w:pStyle w:val="Normal"/>
        <w:bidi w:val="0"/>
        <w:jc w:val="start"/>
        <w:rPr>
          <w:rFonts w:ascii="Times New Roman" w:hAnsi="Times New Roman" w:eastAsia="Google Sans;Roboto;RobotoDraft;" w:cs="Google Sans;Roboto;RobotoDraft;"/>
          <w:color w:val="222222"/>
        </w:rPr>
      </w:pPr>
      <w:r>
        <w:rPr>
          <w:rFonts w:eastAsia="Google Sans;Roboto;RobotoDraft;" w:cs="Google Sans;Roboto;RobotoDraft;" w:ascii="Times New Roman" w:hAnsi="Times New Roman"/>
          <w:color w:val="222222"/>
        </w:rPr>
      </w:r>
    </w:p>
    <w:p>
      <w:pPr>
        <w:sectPr>
          <w:type w:val="continuous"/>
          <w:pgSz w:w="12240" w:h="15840"/>
          <w:pgMar w:left="1134" w:right="1134" w:gutter="0" w:header="0" w:top="1134" w:footer="0" w:bottom="1134"/>
          <w:formProt w:val="false"/>
          <w:textDirection w:val="lrTb"/>
        </w:sectPr>
      </w:pPr>
    </w:p>
    <w:p>
      <w:pPr>
        <w:pStyle w:val="Normal"/>
        <w:bidi w:val="0"/>
        <w:jc w:val="start"/>
        <w:rPr>
          <w:rFonts w:ascii="Times New Roman" w:hAnsi="Times New Roman"/>
        </w:rPr>
      </w:pPr>
      <w:r>
        <w:rPr>
          <w:rFonts w:ascii="Times New Roman" w:hAnsi="Times New Roman"/>
        </w:rPr>
        <w:br/>
      </w:r>
    </w:p>
    <w:sectPr>
      <w:type w:val="continuous"/>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Serif">
    <w:altName w:val="Times New Roman"/>
    <w:charset w:val="00" w:characterSet="windows-1252"/>
    <w:family w:val="auto"/>
    <w:pitch w:val="default"/>
  </w:font>
  <w:font w:name="Times New Roman">
    <w:altName w:val="serif"/>
    <w:charset w:val="00" w:characterSet="windows-125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style>
  <w:style w:type="paragraph" w:styleId="TOC2">
    <w:name w:val="toc 2"/>
    <w:basedOn w:val="Index"/>
    <w:pPr>
      <w:tabs>
        <w:tab w:val="clear" w:pos="709"/>
        <w:tab w:val="right" w:pos="10255" w:leader="dot"/>
      </w:tabs>
      <w:ind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1553</TotalTime>
  <Application>LibreOffice/26.2.5.2$Windows_X86_64 LibreOffice_project/cd7284b4cbbfeb507e630c1aac019f4157393acb</Application>
  <AppVersion>15.0000</AppVersion>
  <Pages>92</Pages>
  <Words>51192</Words>
  <Characters>301459</Characters>
  <CharactersWithSpaces>352532</CharactersWithSpaces>
  <Paragraphs>803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2026-10-07T11:27:13Z</dcterms:created>
  <dc:creator/>
  <dc:description/>
  <dc:language>en-US</dc:language>
  <cp:lastModifiedBy/>
  <dcterms:modified xsi:type="dcterms:W3CDTF">2026-10-08T13:31:23Z</dcterms:modified>
  <cp:revision>8</cp:revision>
  <dc:subject/>
  <dc:title/>
</cp:coreProperties>
</file>