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28"/>
          <w:szCs w:val="28"/>
        </w:rPr>
        <w:t xml:space="preserve">QueryBook — Drawings and Description of the Drawings</w:t>
      </w:r>
    </w:p>
    <w:p>
      <w:pPr>
        <w:spacing w:after="60"/>
        <w:jc w:val="center"/>
      </w:pPr>
      <w:r>
        <w:rPr>
          <w:b w:val="false"/>
          <w:bCs w:val="false"/>
          <w:i/>
          <w:iCs/>
        </w:rPr>
        <w:t xml:space="preserve">FIG. 1–56 · companion to the Provisional Patent Application (synchronized, with support for agent-wrapper services)</w:t>
      </w:r>
    </w:p>
    <w:p>
      <w:pPr>
        <w:spacing w:after="240"/>
        <w:jc w:val="center"/>
      </w:pPr>
      <w:r>
        <w:rPr>
          <w:b w:val="false"/>
          <w:bCs w:val="false"/>
          <w:i w:val="false"/>
          <w:iCs w:val="false"/>
        </w:rPr>
        <w:t xml:space="preserve">October 9, 2026</w:t>
      </w:r>
    </w:p>
    <w:p>
      <w:pPr>
        <w:pStyle w:val="Heading1"/>
      </w:pPr>
      <w:r>
        <w:t xml:space="preserve">Brief Description of the Drawings</w:t>
      </w:r>
    </w:p>
    <w:p>
      <w:pPr>
        <w:spacing w:after="160"/>
        <w:jc w:val="both"/>
      </w:pPr>
      <w:r>
        <w:rPr>
          <w:i w:val="false"/>
          <w:iCs w:val="false"/>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Heading2"/>
      </w:pPr>
      <w:r>
        <w:t xml:space="preserve">Platform (FIG. 1–18)</w:t>
      </w:r>
    </w:p>
    <w:p>
      <w:pPr>
        <w:spacing w:after="160"/>
        <w:jc w:val="both"/>
      </w:pPr>
      <w:r>
        <w:rPr>
          <w:b/>
          <w:bCs/>
          <w:i w:val="false"/>
          <w:iCs w:val="false"/>
        </w:rPr>
        <w:t xml:space="preserve">FIG. 1</w:t>
      </w:r>
      <w:r>
        <w:rPr>
          <w:i w:val="false"/>
          <w:iCs w:val="false"/>
        </w:rPr>
        <w:t xml:space="preserve"> is a block diagram of the system, showing the ingestion pipeline, the storage engine, the UFCS substrate, the FQL query engine, the verification ledger, and the federation boundary.</w:t>
      </w:r>
    </w:p>
    <w:p>
      <w:pPr>
        <w:spacing w:after="160"/>
        <w:jc w:val="both"/>
      </w:pPr>
      <w:r>
        <w:rPr>
          <w:b/>
          <w:bCs/>
          <w:i w:val="false"/>
          <w:iCs w:val="false"/>
        </w:rPr>
        <w:t xml:space="preserve">FIG. 2</w:t>
      </w:r>
      <w:r>
        <w:rPr>
          <w:i w:val="false"/>
          <w:iCs w:val="false"/>
        </w:rPr>
        <w:t xml:space="preserve"> is a diagram of a Fact Atom carried within a Fact Envelope, showing the nucleus, group classification, polarity, and links of the atom, together with the envelope's confidence, provenance, certification, and content-derived identifier.</w:t>
      </w:r>
    </w:p>
    <w:p>
      <w:pPr>
        <w:spacing w:after="160"/>
        <w:jc w:val="both"/>
      </w:pPr>
      <w:r>
        <w:rPr>
          <w:b/>
          <w:bCs/>
          <w:i w:val="false"/>
          <w:iCs w:val="false"/>
        </w:rPr>
        <w:t xml:space="preserve">FIG. 3</w:t>
      </w:r>
      <w:r>
        <w:rPr>
          <w:i w:val="false"/>
          <w:iCs w:val="false"/>
        </w:rPr>
        <w:t xml:space="preserve"> is a diagram of a fact-certification authority hierarchy, showing a root trust anchor, domain authorities, and the certified facts and trust scores derived beneath them.</w:t>
      </w:r>
    </w:p>
    <w:p>
      <w:pPr>
        <w:spacing w:after="160"/>
        <w:jc w:val="both"/>
      </w:pPr>
      <w:r>
        <w:rPr>
          <w:b/>
          <w:bCs/>
          <w:i w:val="false"/>
          <w:iCs w:val="false"/>
        </w:rPr>
        <w:t xml:space="preserve">FIG. 4</w:t>
      </w:r>
      <w:r>
        <w:rPr>
          <w:i w:val="false"/>
          <w:iCs w:val="false"/>
        </w:rPr>
        <w:t xml:space="preserve"> is a diagram of the substrate relationships, showing a pairwise graph, a hyperedge, and a directed hyperchain among Fact Units.</w:t>
      </w:r>
    </w:p>
    <w:p>
      <w:pPr>
        <w:spacing w:after="160"/>
        <w:jc w:val="both"/>
      </w:pPr>
      <w:r>
        <w:rPr>
          <w:b/>
          <w:bCs/>
          <w:i w:val="false"/>
          <w:iCs w:val="false"/>
        </w:rPr>
        <w:t xml:space="preserve">FIG. 5</w:t>
      </w:r>
      <w:r>
        <w:rPr>
          <w:i w:val="false"/>
          <w:iCs w:val="false"/>
        </w:rPr>
        <w:t xml:space="preserve"> is a diagram supporting claim 11, showing tour/exhibition sequencing of immersive scenes into ordered waypoints.</w:t>
      </w:r>
    </w:p>
    <w:p>
      <w:pPr>
        <w:spacing w:after="160"/>
        <w:jc w:val="both"/>
      </w:pPr>
      <w:r>
        <w:rPr>
          <w:b/>
          <w:bCs/>
          <w:i w:val="false"/>
          <w:iCs w:val="false"/>
        </w:rPr>
        <w:t xml:space="preserve">FIG. 6</w:t>
      </w:r>
      <w:r>
        <w:rPr>
          <w:i w:val="false"/>
          <w:iCs w:val="false"/>
        </w:rPr>
        <w:t xml:space="preserve"> is a diagram of a query that filters jointly on fact structure and certification trust, and of the trust-native execution by propagation, branch-and-bound pruning, and contradiction exclusion.</w:t>
      </w:r>
    </w:p>
    <w:p>
      <w:pPr>
        <w:spacing w:after="160"/>
        <w:jc w:val="both"/>
      </w:pPr>
      <w:r>
        <w:rPr>
          <w:b/>
          <w:bCs/>
          <w:i w:val="false"/>
          <w:iCs w:val="false"/>
        </w:rPr>
        <w:t xml:space="preserve">FIG. 7</w:t>
      </w:r>
      <w:r>
        <w:rPr>
          <w:i w:val="false"/>
          <w:iCs w:val="false"/>
        </w:rPr>
        <w:t xml:space="preserve"> is a flowchart of verifying machine-generated text against certified records, classifying each assertion as verified, contradicted, or unknown.</w:t>
      </w:r>
    </w:p>
    <w:p>
      <w:pPr>
        <w:spacing w:after="160"/>
        <w:jc w:val="both"/>
      </w:pPr>
      <w:r>
        <w:rPr>
          <w:b/>
          <w:bCs/>
          <w:i w:val="false"/>
          <w:iCs w:val="false"/>
        </w:rPr>
        <w:t xml:space="preserve">FIG. 8</w:t>
      </w:r>
      <w:r>
        <w:rPr>
          <w:i w:val="false"/>
          <w:iCs w:val="false"/>
        </w:rPr>
        <w:t xml:space="preserve"> is a diagram of federation, showing a certified envelope crossing a boundary and being re-validated on the receiving side.</w:t>
      </w:r>
    </w:p>
    <w:p>
      <w:pPr>
        <w:spacing w:after="160"/>
        <w:jc w:val="both"/>
      </w:pPr>
      <w:r>
        <w:rPr>
          <w:b/>
          <w:bCs/>
          <w:i w:val="false"/>
          <w:iCs w:val="false"/>
        </w:rPr>
        <w:t xml:space="preserve">FIG. 9</w:t>
      </w:r>
      <w:r>
        <w:rPr>
          <w:i w:val="false"/>
          <w:iCs w:val="false"/>
        </w:rPr>
        <w:t xml:space="preserve"> is a diagram of fact-level erasure using an externally held key (cryptographic shredding of a sealed payload).</w:t>
      </w:r>
    </w:p>
    <w:p>
      <w:pPr>
        <w:spacing w:after="160"/>
        <w:jc w:val="both"/>
      </w:pPr>
      <w:r>
        <w:rPr>
          <w:b/>
          <w:bCs/>
          <w:i w:val="false"/>
          <w:iCs w:val="false"/>
        </w:rPr>
        <w:t xml:space="preserve">FIG. 10</w:t>
      </w:r>
      <w:r>
        <w:rPr>
          <w:i w:val="false"/>
          <w:iCs w:val="false"/>
        </w:rPr>
        <w:t xml:space="preserve"> is a diagram of the Universal Security Architecture, showing the twelve defensive layers, the five simultaneous defensive postures, and key mechanisms including the AI Attack Prediction Engine.</w:t>
      </w:r>
    </w:p>
    <w:p>
      <w:pPr>
        <w:spacing w:after="160"/>
        <w:jc w:val="both"/>
      </w:pPr>
      <w:r>
        <w:rPr>
          <w:b/>
          <w:bCs/>
          <w:i w:val="false"/>
          <w:iCs w:val="false"/>
        </w:rPr>
        <w:t xml:space="preserve">FIG. 11</w:t>
      </w:r>
      <w:r>
        <w:rPr>
          <w:i w:val="false"/>
          <w:iCs w:val="false"/>
        </w:rPr>
        <w:t xml:space="preserve"> is a diagram of Universal Honeypot Saturation and the Data Firehose, showing port saturation via the Phantom Port Daemon and application-entry-point saturation via the Shadow-App mechanism.</w:t>
      </w:r>
    </w:p>
    <w:p>
      <w:pPr>
        <w:spacing w:after="160"/>
        <w:jc w:val="both"/>
      </w:pPr>
      <w:r>
        <w:rPr>
          <w:b/>
          <w:bCs/>
          <w:i w:val="false"/>
          <w:iCs w:val="false"/>
        </w:rPr>
        <w:t xml:space="preserve">FIG. 12</w:t>
      </w:r>
      <w:r>
        <w:rPr>
          <w:i w:val="false"/>
          <w:iCs w:val="false"/>
        </w:rPr>
        <w:t xml:space="preserve"> is a diagram of the five deployment topologies — cloud SaaS, local server, hybrid, single-device, and edge — over the invariant common layer of safety, governance, and provenance.</w:t>
      </w:r>
    </w:p>
    <w:p>
      <w:pPr>
        <w:spacing w:after="160"/>
        <w:jc w:val="both"/>
      </w:pPr>
      <w:r>
        <w:rPr>
          <w:b/>
          <w:bCs/>
          <w:i w:val="false"/>
          <w:iCs w:val="false"/>
        </w:rPr>
        <w:t xml:space="preserve">FIG. 13</w:t>
      </w:r>
      <w:r>
        <w:rPr>
          <w:i w:val="false"/>
          <w:iCs w:val="false"/>
        </w:rPr>
        <w:t xml:space="preserve"> is a diagram of the Adaptive Response Engine, showing the five-stage pipeline from Result-Set Analysis through Generation-Directive Assembly, with the directive fixed before generation begins.</w:t>
      </w:r>
    </w:p>
    <w:p>
      <w:pPr>
        <w:spacing w:after="160"/>
        <w:jc w:val="both"/>
      </w:pPr>
      <w:r>
        <w:rPr>
          <w:b/>
          <w:bCs/>
          <w:i w:val="false"/>
          <w:iCs w:val="false"/>
        </w:rPr>
        <w:t xml:space="preserve">FIG. 14</w:t>
      </w:r>
      <w:r>
        <w:rPr>
          <w:i w:val="false"/>
          <w:iCs w:val="false"/>
        </w:rPr>
        <w:t xml:space="preserve"> is a diagram of the user-owned agent system, showing Blueprint definition and registration, Agent-Instance creation under commissioner-bounded authority, and the governance evaluation at each action.</w:t>
      </w:r>
    </w:p>
    <w:p>
      <w:pPr>
        <w:spacing w:after="160"/>
        <w:jc w:val="both"/>
      </w:pPr>
      <w:r>
        <w:rPr>
          <w:b/>
          <w:bCs/>
          <w:i w:val="false"/>
          <w:iCs w:val="false"/>
        </w:rPr>
        <w:t xml:space="preserve">FIG. 15</w:t>
      </w:r>
      <w:r>
        <w:rPr>
          <w:i w:val="false"/>
          <w:iCs w:val="false"/>
        </w:rPr>
        <w:t xml:space="preserve"> is a diagram of deterministic multi-language regeneration, showing source ingestion to Fact Units, the language-independent Fact Unit graph as a single knowledge source, and regeneration into any target language.</w:t>
      </w:r>
    </w:p>
    <w:p>
      <w:pPr>
        <w:spacing w:after="160"/>
        <w:jc w:val="both"/>
      </w:pPr>
      <w:r>
        <w:rPr>
          <w:b/>
          <w:bCs/>
          <w:i w:val="false"/>
          <w:iCs w:val="false"/>
        </w:rPr>
        <w:t xml:space="preserve">FIG. 16</w:t>
      </w:r>
      <w:r>
        <w:rPr>
          <w:i w:val="false"/>
          <w:iCs w:val="false"/>
        </w:rPr>
        <w:t xml:space="preserve"> is a diagram of semantic compression, expansion, colorization, and resolution upscaling, showing the meaning-storage compression flow and the on-demand regeneration of a surface representation.</w:t>
      </w:r>
    </w:p>
    <w:p>
      <w:pPr>
        <w:spacing w:after="160"/>
        <w:jc w:val="both"/>
      </w:pPr>
      <w:r>
        <w:rPr>
          <w:b/>
          <w:bCs/>
          <w:i w:val="false"/>
          <w:iCs w:val="false"/>
        </w:rPr>
        <w:t xml:space="preserve">FIG. 17</w:t>
      </w:r>
      <w:r>
        <w:rPr>
          <w:i w:val="false"/>
          <w:iCs w:val="false"/>
        </w:rPr>
        <w:t xml:space="preserve"> is a diagram of the QueryBook-enhanced TCP/IP hybrid protocol packet, showing the optional semantic-metadata header carrying FUID, ProvenanceRef, and confidence fields alongside the standard headers and payload.</w:t>
      </w:r>
    </w:p>
    <w:p>
      <w:pPr>
        <w:spacing w:after="160"/>
        <w:jc w:val="both"/>
      </w:pPr>
      <w:r>
        <w:rPr>
          <w:b/>
          <w:bCs/>
          <w:i w:val="false"/>
          <w:iCs w:val="false"/>
        </w:rPr>
        <w:t xml:space="preserve">FIG. 18</w:t>
      </w:r>
      <w:r>
        <w:rPr>
          <w:i w:val="false"/>
          <w:iCs w:val="false"/>
        </w:rPr>
        <w:t xml:space="preserve"> is a diagram of the Neuromorphic Cognitive Layer and attractor network, showing the energy function, the capacity ceiling, and convergence to a stable equilibrium.</w:t>
      </w:r>
    </w:p>
    <w:p>
      <w:pPr>
        <w:pStyle w:val="Heading2"/>
      </w:pPr>
      <w:r>
        <w:t xml:space="preserve">Confidence, packet, framing and query (FIG. 19–22)</w:t>
      </w:r>
    </w:p>
    <w:p>
      <w:pPr>
        <w:spacing w:after="160"/>
        <w:jc w:val="both"/>
      </w:pPr>
      <w:r>
        <w:rPr>
          <w:b/>
          <w:bCs/>
          <w:i w:val="false"/>
          <w:iCs w:val="false"/>
        </w:rPr>
        <w:t xml:space="preserve">FIG. 19</w:t>
      </w:r>
      <w:r>
        <w:rPr>
          <w:i w:val="false"/>
          <w:iCs w:val="false"/>
        </w:rPr>
        <w:t xml:space="preserve"> is a diagram of the Fact Unit confidence and evidence model, comprising an evidence pair, a Beta posterior, a score, a credible interval, source diversity, temporal decay, and a confidence trend.</w:t>
      </w:r>
    </w:p>
    <w:p>
      <w:pPr>
        <w:spacing w:after="160"/>
        <w:jc w:val="both"/>
      </w:pPr>
      <w:r>
        <w:rPr>
          <w:b/>
          <w:bCs/>
          <w:i w:val="false"/>
          <w:iCs w:val="false"/>
        </w:rPr>
        <w:t xml:space="preserve">FIG. 20</w:t>
      </w:r>
      <w:r>
        <w:rPr>
          <w:i w:val="false"/>
          <w:iCs w:val="false"/>
        </w:rPr>
        <w:t xml:space="preserve"> is a diagram of the UFCS packet structure, showing the fields of a serialized Fact Unit record and an exemplar packet.</w:t>
      </w:r>
    </w:p>
    <w:p>
      <w:pPr>
        <w:spacing w:after="160"/>
        <w:jc w:val="both"/>
      </w:pPr>
      <w:r>
        <w:rPr>
          <w:b/>
          <w:bCs/>
          <w:i w:val="false"/>
          <w:iCs w:val="false"/>
        </w:rPr>
        <w:t xml:space="preserve">FIG. 21</w:t>
      </w:r>
      <w:r>
        <w:rPr>
          <w:i w:val="false"/>
          <w:iCs w:val="false"/>
        </w:rPr>
        <w:t xml:space="preserve"> is a diagram of UFCS packet framing, in which immutable packets are de-duplicated by fingerprint and appended to content-addressed blocks under a fingerprint index.</w:t>
      </w:r>
    </w:p>
    <w:p>
      <w:pPr>
        <w:spacing w:after="160"/>
        <w:jc w:val="both"/>
      </w:pPr>
      <w:r>
        <w:rPr>
          <w:b/>
          <w:bCs/>
          <w:i w:val="false"/>
          <w:iCs w:val="false"/>
        </w:rPr>
        <w:t xml:space="preserve">FIG. 22</w:t>
      </w:r>
      <w:r>
        <w:rPr>
          <w:i w:val="false"/>
          <w:iCs w:val="false"/>
        </w:rPr>
        <w:t xml:space="preserve"> is a diagram of FQL query anatomy with a worked example, in which match, where, exclude, rank, and return clauses produce a highest-trust answer bound to its evidence by a provenance hash.</w:t>
      </w:r>
    </w:p>
    <w:p>
      <w:pPr>
        <w:pStyle w:val="Heading2"/>
      </w:pPr>
      <w:r>
        <w:t xml:space="preserve">Language and speech subsystem (FIG. 23–30)</w:t>
      </w:r>
    </w:p>
    <w:p>
      <w:pPr>
        <w:spacing w:after="160"/>
        <w:jc w:val="both"/>
      </w:pPr>
      <w:r>
        <w:rPr>
          <w:b/>
          <w:bCs/>
          <w:i w:val="false"/>
          <w:iCs w:val="false"/>
        </w:rPr>
        <w:t xml:space="preserve">FIG. 23</w:t>
      </w:r>
      <w:r>
        <w:rPr>
          <w:i w:val="false"/>
          <w:iCs w:val="false"/>
        </w:rPr>
        <w:t xml:space="preserve"> is a block diagram of the overall QueryBook Language Expression Layer (LEL) system architecture.</w:t>
      </w:r>
    </w:p>
    <w:p>
      <w:pPr>
        <w:spacing w:after="160"/>
        <w:jc w:val="both"/>
      </w:pPr>
      <w:r>
        <w:rPr>
          <w:b/>
          <w:bCs/>
          <w:i w:val="false"/>
          <w:iCs w:val="false"/>
        </w:rPr>
        <w:t xml:space="preserve">FIG. 24</w:t>
      </w:r>
      <w:r>
        <w:rPr>
          <w:i w:val="false"/>
          <w:iCs w:val="false"/>
        </w:rPr>
        <w:t xml:space="preserve"> is a block diagram of the Sub-Language Priming Layer (SLPL) and the measurable representation produced by each of its six components.</w:t>
      </w:r>
    </w:p>
    <w:p>
      <w:pPr>
        <w:spacing w:after="160"/>
        <w:jc w:val="both"/>
      </w:pPr>
      <w:r>
        <w:rPr>
          <w:b/>
          <w:bCs/>
          <w:i w:val="false"/>
          <w:iCs w:val="false"/>
        </w:rPr>
        <w:t xml:space="preserve">FIG. 25</w:t>
      </w:r>
      <w:r>
        <w:rPr>
          <w:i w:val="false"/>
          <w:iCs w:val="false"/>
        </w:rPr>
        <w:t xml:space="preserve"> is a flow diagram of the developmental learning sequence and the one-way Transition Gate having four readiness thresholds.</w:t>
      </w:r>
    </w:p>
    <w:p>
      <w:pPr>
        <w:spacing w:after="160"/>
        <w:jc w:val="both"/>
      </w:pPr>
      <w:r>
        <w:rPr>
          <w:b/>
          <w:bCs/>
          <w:i w:val="false"/>
          <w:iCs w:val="false"/>
        </w:rPr>
        <w:t xml:space="preserve">FIG. 26</w:t>
      </w:r>
      <w:r>
        <w:rPr>
          <w:i w:val="false"/>
          <w:iCs w:val="false"/>
        </w:rPr>
        <w:t xml:space="preserve"> is a block diagram of the multilingual Delta Acquisition Model and the acquisition acceleration flywheel.</w:t>
      </w:r>
    </w:p>
    <w:p>
      <w:pPr>
        <w:spacing w:after="160"/>
        <w:jc w:val="both"/>
      </w:pPr>
      <w:r>
        <w:rPr>
          <w:b/>
          <w:bCs/>
          <w:i w:val="false"/>
          <w:iCs w:val="false"/>
        </w:rPr>
        <w:t xml:space="preserve">FIG. 27</w:t>
      </w:r>
      <w:r>
        <w:rPr>
          <w:i w:val="false"/>
          <w:iCs w:val="false"/>
        </w:rPr>
        <w:t xml:space="preserve"> is a block diagram of the seven-stage Speech Output Pipeline.</w:t>
      </w:r>
    </w:p>
    <w:p>
      <w:pPr>
        <w:spacing w:after="160"/>
        <w:jc w:val="both"/>
      </w:pPr>
      <w:r>
        <w:rPr>
          <w:b/>
          <w:bCs/>
          <w:i w:val="false"/>
          <w:iCs w:val="false"/>
        </w:rPr>
        <w:t xml:space="preserve">FIG. 28</w:t>
      </w:r>
      <w:r>
        <w:rPr>
          <w:i w:val="false"/>
          <w:iCs w:val="false"/>
        </w:rPr>
        <w:t xml:space="preserve"> is a data-flow diagram of the co-grounded integration of the LEL with the Federated Query Language (FQL) and the Universal Federated Connectivity System (UFCS).</w:t>
      </w:r>
    </w:p>
    <w:p>
      <w:pPr>
        <w:spacing w:after="160"/>
        <w:jc w:val="both"/>
      </w:pPr>
      <w:r>
        <w:rPr>
          <w:b/>
          <w:bCs/>
          <w:i w:val="false"/>
          <w:iCs w:val="false"/>
        </w:rPr>
        <w:t xml:space="preserve">FIG. 29</w:t>
      </w:r>
      <w:r>
        <w:rPr>
          <w:i w:val="false"/>
          <w:iCs w:val="false"/>
        </w:rPr>
        <w:t xml:space="preserve"> is a block diagram of a reduced-to-practice embodiment (the Language Lab) implementing Phase One, the Transition Gate, and a deterministic Phase Two.</w:t>
      </w:r>
    </w:p>
    <w:p>
      <w:pPr>
        <w:spacing w:after="160"/>
        <w:jc w:val="both"/>
      </w:pPr>
      <w:r>
        <w:rPr>
          <w:b/>
          <w:bCs/>
          <w:i w:val="false"/>
          <w:iCs w:val="false"/>
        </w:rPr>
        <w:t xml:space="preserve">FIG. 30</w:t>
      </w:r>
      <w:r>
        <w:rPr>
          <w:i w:val="false"/>
          <w:iCs w:val="false"/>
        </w:rPr>
        <w:t xml:space="preserve"> 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Heading2"/>
      </w:pPr>
      <w:r>
        <w:t xml:space="preserve">Further subsystems and embodiments (FIG. 31–49)</w:t>
      </w:r>
    </w:p>
    <w:p>
      <w:pPr>
        <w:spacing w:after="160"/>
        <w:jc w:val="both"/>
      </w:pPr>
      <w:r>
        <w:rPr>
          <w:b/>
          <w:bCs/>
          <w:i w:val="false"/>
          <w:iCs w:val="false"/>
        </w:rPr>
        <w:t xml:space="preserve">FIG. 31</w:t>
      </w:r>
      <w:r>
        <w:rPr>
          <w:i w:val="false"/>
          <w:iCs w:val="false"/>
        </w:rPr>
        <w:t xml:space="preserve"> 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spacing w:after="160"/>
        <w:jc w:val="both"/>
      </w:pPr>
      <w:r>
        <w:rPr>
          <w:b/>
          <w:bCs/>
          <w:i w:val="false"/>
          <w:iCs w:val="false"/>
        </w:rPr>
        <w:t xml:space="preserve">FIG. 32</w:t>
      </w:r>
      <w:r>
        <w:rPr>
          <w:i w:val="false"/>
          <w:iCs w:val="false"/>
        </w:rPr>
        <w:t xml:space="preserve"> 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spacing w:after="160"/>
        <w:jc w:val="both"/>
      </w:pPr>
      <w:r>
        <w:rPr>
          <w:b/>
          <w:bCs/>
          <w:i w:val="false"/>
          <w:iCs w:val="false"/>
        </w:rPr>
        <w:t xml:space="preserve">FIG. 33</w:t>
      </w:r>
      <w:r>
        <w:rPr>
          <w:i w:val="false"/>
          <w:iCs w:val="false"/>
        </w:rPr>
        <w:t xml:space="preserve"> 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spacing w:after="160"/>
        <w:jc w:val="both"/>
      </w:pPr>
      <w:r>
        <w:rPr>
          <w:b/>
          <w:bCs/>
          <w:i w:val="false"/>
          <w:iCs w:val="false"/>
        </w:rPr>
        <w:t xml:space="preserve">FIG. 34</w:t>
      </w:r>
      <w:r>
        <w:rPr>
          <w:i w:val="false"/>
          <w:iCs w:val="false"/>
        </w:rPr>
        <w:t xml:space="preserve"> 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spacing w:after="160"/>
        <w:jc w:val="both"/>
      </w:pPr>
      <w:r>
        <w:rPr>
          <w:b/>
          <w:bCs/>
          <w:i w:val="false"/>
          <w:iCs w:val="false"/>
        </w:rPr>
        <w:t xml:space="preserve">FIG. 35</w:t>
      </w:r>
      <w:r>
        <w:rPr>
          <w:i w:val="false"/>
          <w:iCs w:val="false"/>
        </w:rPr>
        <w:t xml:space="preserve"> 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spacing w:after="160"/>
        <w:jc w:val="both"/>
      </w:pPr>
      <w:r>
        <w:rPr>
          <w:b/>
          <w:bCs/>
          <w:i w:val="false"/>
          <w:iCs w:val="false"/>
        </w:rPr>
        <w:t xml:space="preserve">FIG. 36</w:t>
      </w:r>
      <w:r>
        <w:rPr>
          <w:i w:val="false"/>
          <w:iCs w:val="false"/>
        </w:rPr>
        <w:t xml:space="preserve"> 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spacing w:after="160"/>
        <w:jc w:val="both"/>
      </w:pPr>
      <w:r>
        <w:rPr>
          <w:b/>
          <w:bCs/>
          <w:i w:val="false"/>
          <w:iCs w:val="false"/>
        </w:rPr>
        <w:t xml:space="preserve">FIG. 37</w:t>
      </w:r>
      <w:r>
        <w:rPr>
          <w:i w:val="false"/>
          <w:iCs w:val="false"/>
        </w:rPr>
        <w:t xml:space="preserve"> 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spacing w:after="160"/>
        <w:jc w:val="both"/>
      </w:pPr>
      <w:r>
        <w:rPr>
          <w:b/>
          <w:bCs/>
          <w:i w:val="false"/>
          <w:iCs w:val="false"/>
        </w:rPr>
        <w:t xml:space="preserve">FIG. 38</w:t>
      </w:r>
      <w:r>
        <w:rPr>
          <w:i w:val="false"/>
          <w:iCs w:val="false"/>
        </w:rPr>
        <w:t xml:space="preserve"> 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spacing w:after="160"/>
        <w:jc w:val="both"/>
      </w:pPr>
      <w:r>
        <w:rPr>
          <w:b/>
          <w:bCs/>
          <w:i w:val="false"/>
          <w:iCs w:val="false"/>
        </w:rPr>
        <w:t xml:space="preserve">FIG. 39</w:t>
      </w:r>
      <w:r>
        <w:rPr>
          <w:i w:val="false"/>
          <w:iCs w:val="false"/>
        </w:rPr>
        <w:t xml:space="preserve"> 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spacing w:after="160"/>
        <w:jc w:val="both"/>
      </w:pPr>
      <w:r>
        <w:rPr>
          <w:b/>
          <w:bCs/>
          <w:i w:val="false"/>
          <w:iCs w:val="false"/>
        </w:rPr>
        <w:t xml:space="preserve">FIG. 40</w:t>
      </w:r>
      <w:r>
        <w:rPr>
          <w:i w:val="false"/>
          <w:iCs w:val="false"/>
        </w:rPr>
        <w:t xml:space="preserve"> 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spacing w:after="160"/>
        <w:jc w:val="both"/>
      </w:pPr>
      <w:r>
        <w:rPr>
          <w:b/>
          <w:bCs/>
          <w:i w:val="false"/>
          <w:iCs w:val="false"/>
        </w:rPr>
        <w:t xml:space="preserve">FIG. 41</w:t>
      </w:r>
      <w:r>
        <w:rPr>
          <w:i w:val="false"/>
          <w:iCs w:val="false"/>
        </w:rPr>
        <w:t xml:space="preserve"> 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spacing w:after="160"/>
        <w:jc w:val="both"/>
      </w:pPr>
      <w:r>
        <w:rPr>
          <w:b/>
          <w:bCs/>
          <w:i w:val="false"/>
          <w:iCs w:val="false"/>
        </w:rPr>
        <w:t xml:space="preserve">FIG. 42</w:t>
      </w:r>
      <w:r>
        <w:rPr>
          <w:i w:val="false"/>
          <w:iCs w:val="false"/>
        </w:rPr>
        <w:t xml:space="preserve"> 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spacing w:after="160"/>
        <w:jc w:val="both"/>
      </w:pPr>
      <w:r>
        <w:rPr>
          <w:b/>
          <w:bCs/>
          <w:i w:val="false"/>
          <w:iCs w:val="false"/>
        </w:rPr>
        <w:t xml:space="preserve">FIG. 43</w:t>
      </w:r>
      <w:r>
        <w:rPr>
          <w:i w:val="false"/>
          <w:iCs w:val="false"/>
        </w:rPr>
        <w:t xml:space="preserve"> 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spacing w:after="160"/>
        <w:jc w:val="both"/>
      </w:pPr>
      <w:r>
        <w:rPr>
          <w:b/>
          <w:bCs/>
          <w:i w:val="false"/>
          <w:iCs w:val="false"/>
        </w:rPr>
        <w:t xml:space="preserve">FIG. 44</w:t>
      </w:r>
      <w:r>
        <w:rPr>
          <w:i w:val="false"/>
          <w:iCs w:val="false"/>
        </w:rPr>
        <w:t xml:space="preserve"> 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spacing w:after="160"/>
        <w:jc w:val="both"/>
      </w:pPr>
      <w:r>
        <w:rPr>
          <w:b/>
          <w:bCs/>
          <w:i w:val="false"/>
          <w:iCs w:val="false"/>
        </w:rPr>
        <w:t xml:space="preserve">FIG. 45</w:t>
      </w:r>
      <w:r>
        <w:rPr>
          <w:i w:val="false"/>
          <w:iCs w:val="false"/>
        </w:rPr>
        <w:t xml:space="preserve"> 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spacing w:after="160"/>
        <w:jc w:val="both"/>
      </w:pPr>
      <w:r>
        <w:rPr>
          <w:b/>
          <w:bCs/>
          <w:i w:val="false"/>
          <w:iCs w:val="false"/>
        </w:rPr>
        <w:t xml:space="preserve">FIG. 46</w:t>
      </w:r>
      <w:r>
        <w:rPr>
          <w:i w:val="false"/>
          <w:iCs w:val="false"/>
        </w:rPr>
        <w:t xml:space="preserve"> 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spacing w:after="160"/>
        <w:jc w:val="both"/>
      </w:pPr>
      <w:r>
        <w:rPr>
          <w:b/>
          <w:bCs/>
          <w:i w:val="false"/>
          <w:iCs w:val="false"/>
        </w:rPr>
        <w:t xml:space="preserve">FIG. 47</w:t>
      </w:r>
      <w:r>
        <w:rPr>
          <w:i w:val="false"/>
          <w:iCs w:val="false"/>
        </w:rPr>
        <w:t xml:space="preserve"> 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spacing w:after="160"/>
        <w:jc w:val="both"/>
      </w:pPr>
      <w:r>
        <w:rPr>
          <w:b/>
          <w:bCs/>
          <w:i w:val="false"/>
          <w:iCs w:val="false"/>
        </w:rPr>
        <w:t xml:space="preserve">FIG. 48</w:t>
      </w:r>
      <w:r>
        <w:rPr>
          <w:i w:val="false"/>
          <w:iCs w:val="false"/>
        </w:rPr>
        <w:t xml:space="preserve"> 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spacing w:after="160"/>
        <w:jc w:val="both"/>
      </w:pPr>
      <w:r>
        <w:rPr>
          <w:b/>
          <w:bCs/>
          <w:i w:val="false"/>
          <w:iCs w:val="false"/>
        </w:rPr>
        <w:t xml:space="preserve">FIG. 49</w:t>
      </w:r>
      <w:r>
        <w:rPr>
          <w:i w:val="false"/>
          <w:iCs w:val="false"/>
        </w:rPr>
        <w:t xml:space="preserve"> 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Heading2"/>
      </w:pPr>
      <w:r>
        <w:t xml:space="preserve">Agent-era extensions (FIG. 50–55)</w:t>
      </w:r>
    </w:p>
    <w:p>
      <w:pPr>
        <w:spacing w:after="160"/>
        <w:jc w:val="both"/>
      </w:pPr>
      <w:r>
        <w:rPr>
          <w:b/>
          <w:bCs/>
          <w:i w:val="false"/>
          <w:iCs w:val="false"/>
        </w:rPr>
        <w:t xml:space="preserve">FIG. 50</w:t>
      </w:r>
      <w:r>
        <w:rPr>
          <w:i w:val="false"/>
          <w:iCs w:val="false"/>
        </w:rPr>
        <w:t xml:space="preserve"> 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spacing w:after="160"/>
        <w:jc w:val="both"/>
      </w:pPr>
      <w:r>
        <w:rPr>
          <w:b/>
          <w:bCs/>
          <w:i w:val="false"/>
          <w:iCs w:val="false"/>
        </w:rPr>
        <w:t xml:space="preserve">FIG. 51</w:t>
      </w:r>
      <w:r>
        <w:rPr>
          <w:i w:val="false"/>
          <w:iCs w:val="false"/>
        </w:rPr>
        <w:t xml:space="preserve"> 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spacing w:after="160"/>
        <w:jc w:val="both"/>
      </w:pPr>
      <w:r>
        <w:rPr>
          <w:b/>
          <w:bCs/>
          <w:i w:val="false"/>
          <w:iCs w:val="false"/>
        </w:rPr>
        <w:t xml:space="preserve">FIG. 52</w:t>
      </w:r>
      <w:r>
        <w:rPr>
          <w:i w:val="false"/>
          <w:iCs w:val="false"/>
        </w:rPr>
        <w:t xml:space="preserve"> 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spacing w:after="160"/>
        <w:jc w:val="both"/>
      </w:pPr>
      <w:r>
        <w:rPr>
          <w:b/>
          <w:bCs/>
          <w:i w:val="false"/>
          <w:iCs w:val="false"/>
        </w:rPr>
        <w:t xml:space="preserve">FIG. 53</w:t>
      </w:r>
      <w:r>
        <w:rPr>
          <w:i w:val="false"/>
          <w:iCs w:val="false"/>
        </w:rPr>
        <w:t xml:space="preserve"> 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spacing w:after="160"/>
        <w:jc w:val="both"/>
      </w:pPr>
      <w:r>
        <w:rPr>
          <w:b/>
          <w:bCs/>
          <w:i w:val="false"/>
          <w:iCs w:val="false"/>
        </w:rPr>
        <w:t xml:space="preserve">FIG. 54</w:t>
      </w:r>
      <w:r>
        <w:rPr>
          <w:i w:val="false"/>
          <w:iCs w:val="false"/>
        </w:rPr>
        <w:t xml:space="preserve"> 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spacing w:after="160"/>
        <w:jc w:val="both"/>
      </w:pPr>
      <w:r>
        <w:rPr>
          <w:b/>
          <w:bCs/>
          <w:i w:val="false"/>
          <w:iCs w:val="false"/>
        </w:rPr>
        <w:t xml:space="preserve">FIG. 55</w:t>
      </w:r>
      <w:r>
        <w:rPr>
          <w:i w:val="false"/>
          <w:iCs w:val="false"/>
        </w:rPr>
        <w:t xml:space="preserve"> 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Heading2"/>
      </w:pPr>
      <w:r>
        <w:t xml:space="preserve">Support for agent-wrapper services (FIG. 56)</w:t>
      </w:r>
    </w:p>
    <w:p>
      <w:pPr>
        <w:spacing w:after="160"/>
        <w:jc w:val="both"/>
      </w:pPr>
      <w:r>
        <w:rPr>
          <w:b/>
          <w:bCs/>
          <w:i w:val="false"/>
          <w:iCs w:val="false"/>
        </w:rPr>
        <w:t xml:space="preserve">FIG. 56</w:t>
      </w:r>
      <w:r>
        <w:rPr>
          <w:i w:val="false"/>
          <w:iCs w:val="false"/>
        </w:rPr>
        <w:t xml:space="preserve"> is a block diagram of the support interfaces QueryBook provides to external agent-wrapper services such as Verified Agent Transport, grouped as verification, transport, record and certificate, and governance interfaces over the Fact Unit store, security log, certificates, Agent Gateway and MCP server, and framed hybrid transport.</w:t>
      </w:r>
    </w:p>
    <w:p>
      <w:r>
        <w:br w:type="page"/>
      </w:r>
    </w:p>
    <w:p>
      <w:pPr>
        <w:pStyle w:val="Heading1"/>
      </w:pPr>
      <w:r>
        <w:t xml:space="preserve">Detailed Description of FIG. 56</w:t>
      </w:r>
    </w:p>
    <w:p>
      <w:pPr>
        <w:spacing w:after="160"/>
        <w:jc w:val="both"/>
      </w:pPr>
      <w:r>
        <w:rPr>
          <w:i w:val="false"/>
          <w:iCs w:val="false"/>
        </w:rPr>
        <w:t xml:space="preserve">FIG. 56 shows the interfaces QueryBook provides to external agent-wrapper services — Verified Agent Transport (VAT) and similar relays that sit between an AI agent and the network and check what the agent says and does. The wrapper service itself is outside the system and is described separately; FIG. 56 shows only what QueryBook offers it.</w:t>
      </w:r>
    </w:p>
    <w:p>
      <w:pPr>
        <w:spacing w:after="160"/>
        <w:jc w:val="both"/>
      </w:pPr>
      <w:r>
        <w:rPr>
          <w:i w:val="false"/>
          <w:iCs w:val="false"/>
        </w:rPr>
        <w:t xml:space="preserve">The wrapper service (5690) receives the traffic of an AI agent (5695) bound for a destination (5697) and calls the support interfaces (5600) under an identity registered with the Agent Gateway. Verification is read-only and records are append-only: a wrapper service never writes Fact Units.</w:t>
      </w:r>
    </w:p>
    <w:p>
      <w:pPr>
        <w:pStyle w:val="Heading2"/>
      </w:pPr>
      <w:r>
        <w:t xml:space="preserve">Reference numerals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3"/>
        <w:gridCol w:w="5898"/>
        <w:gridCol w:w="2309"/>
      </w:tblGrid>
      <w:tr>
        <w:trPr>
          <w:tblHeader/>
        </w:trPr>
        <w:tc>
          <w:tcPr>
            <w:tcW w:type="dxa" w:w="1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Numeral</w:t>
            </w:r>
          </w:p>
        </w:tc>
        <w:tc>
          <w:tcPr>
            <w:tcW w:type="dxa" w:w="589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Element</w:t>
            </w:r>
          </w:p>
        </w:tc>
        <w:tc>
          <w:tcPr>
            <w:tcW w:type="dxa" w:w="230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Rests on</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5600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QueryBook support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Verification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6, 7, 21, 22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Claim verification endpoint (read-only): candidate Fact Units or fingerprints in; verified, contradicted or unknown out, with citation and trust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Contradiction query template: same subject and predicate, conflicting value or opposite polarity, trust at or above the minimum</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6, 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Fingerprint-only verification mode: fingerprints and canonical subject/predicate identifiers only</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21</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Triple extraction and assertion-type labels (fact, opinion, plan, prediction)</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 6</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Transport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Frame message types 16–31 reserved for registered extensions; unregistered types dropped and recorded</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Extension flag (0x0040) and reserved header field as 16-bit session number and 16-bit hop count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Python frame codec; control, normal and bulk lanes as QUIC streams with TLS-on-TCP fallback</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Have/want fingerprint reconciliation; Bloom filter above 4,096 fingerprints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21,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Record and certificate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51,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Signed verdict records and published verifier key</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Append by a registered service to the security log</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Session-range Merkle root and inclusion proofs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Third-party session certificate type, sealed as a Fact Unit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51</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Governance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 54</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Wrapper service registration (read-only verification, append-only record rights)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Signed, versioned, pull-only policy bundle export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Tool-server pre-call and post-call hooks; hash of each tool result record</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54</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Principal evidence pair (agent reputation); restriction only on a recorded operator decision</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19, 52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5650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Fact Unit store and FQL</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 6, 21, 22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5660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Security log</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5670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Certificates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51</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5680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Agent Gateway and MCP server</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 54</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5685</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Framed hybrid transport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5690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External agent-wrapper service (e.g., Verified Agent Transport) — outside the system</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5695</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AI agent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5697</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Destination (agent, tool or data source)</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bl>
    <w:p>
      <w:pPr>
        <w:spacing w:after="120"/>
      </w:pPr>
    </w:p>
    <w:p>
      <w:pPr>
        <w:pStyle w:val="Heading2"/>
      </w:pPr>
      <w:r>
        <w:t xml:space="preserve">Status</w:t>
      </w:r>
    </w:p>
    <w:p>
      <w:pPr>
        <w:spacing w:after="160"/>
        <w:jc w:val="both"/>
      </w:pPr>
      <w:r>
        <w:rPr>
          <w:i w:val="false"/>
          <w:iCs w:val="false"/>
        </w:rPr>
        <w:t xml:space="preserve">The support interfaces of FIG. 56 are specified and not yet implemented; no performance figures are asserted for them. They correspond to features 364–382 of the QueryBook Composite Feature Registry v68 and to claims 355–357 of the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QueryBook — Drawings and Description of the Drawings (FIG. 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jc w:val="left"/>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Drawings and Description</dc:title>
  <cp:lastModifiedBy>Un-named</cp:lastModifiedBy>
  <cp:revision>1</cp:revision>
  <dcterms:created xsi:type="dcterms:W3CDTF">2026-10-09T19:22:38.630Z</dcterms:created>
  <dcterms:modified xsi:type="dcterms:W3CDTF">2026-10-09T19:22:38.642Z</dcterms:modified>
</cp:coreProperties>
</file>

<file path=docProps/custom.xml><?xml version="1.0" encoding="utf-8"?>
<Properties xmlns="http://schemas.openxmlformats.org/officeDocument/2006/custom-properties" xmlns:vt="http://schemas.openxmlformats.org/officeDocument/2006/docPropsVTypes"/>
</file>