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714"/>
          <w:sz w:val="40"/>
          <w:szCs w:val="40"/>
        </w:rPr>
        <w:t xml:space="preserve">Core Technology Overview</w:t>
      </w:r>
    </w:p>
    <w:p>
      <w:pPr>
        <w:spacing w:after="300"/>
      </w:pPr>
      <w:r>
        <w:rPr>
          <w:i/>
          <w:iCs/>
          <w:color w:val="5F5952"/>
          <w:sz w:val="20"/>
          <w:szCs w:val="20"/>
        </w:rPr>
        <w:t xml:space="preserve">Detailed Description · v9 with the September 2026 additions (§1.2 Post-Baconian Layered Definition; auto-generated study materials) · 279 features · 341 claims · Confidential</w:t>
      </w:r>
    </w:p>
    <w:p>
      <w:pPr>
        <w:pStyle w:val="Heading1"/>
        <w:spacing w:after="140" w:before="300"/>
      </w:pPr>
      <w:r>
        <w:rPr>
          <w:b/>
          <w:bCs/>
          <w:color w:val="1A1714"/>
          <w:sz w:val="28"/>
          <w:szCs w:val="28"/>
        </w:rPr>
        <w:t xml:space="preserve">1.  The Fact Unit</w:t>
      </w:r>
    </w:p>
    <w:p>
      <w:pPr>
        <w:spacing w:after="170" w:line="300"/>
      </w:pPr>
      <w:r>
        <w:rPr>
          <w:b w:val="false"/>
          <w:bCs w:val="false"/>
          <w:color w:val="1A1714"/>
          <w:sz w:val="22"/>
          <w:szCs w:val="22"/>
        </w:rPr>
        <w:t xml:space="preserve">The fundamental data primitive of the QueryBook system is the Fact Unit: a discrete, atomic, provenance-tracked knowledge record, identified by a Fact Unit Identifier (FUID) deterministically derived from the record's content, source, and ingestion timestamp. Each Fact Unit carries a confidence value, a safety classification, a language-independent semantic fingerprint, an embedding representation, temporal anchoring, and a reference into a provenance chain, and is immutable once created — a revision produces a new, linked version rather than modifying the existing record.</w:t>
      </w:r>
    </w:p>
    <w:p>
      <w:pPr>
        <w:spacing w:after="170" w:line="300"/>
      </w:pPr>
      <w:r>
        <w:rPr>
          <w:b w:val="false"/>
          <w:bCs w:val="false"/>
          <w:color w:val="1A1714"/>
          <w:sz w:val="22"/>
          <w:szCs w:val="22"/>
        </w:rPr>
        <w:t xml:space="preserve">The confidence value is not a scalar. It is maintained as a first parameter accumulating evidence supporting the assertion and a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Two records reporting an identical confidence and resting on different quantities or varieties of evidence are therefore distinguishable, which a scalar could not express.</w:t>
      </w:r>
    </w:p>
    <w:p>
      <w:pPr>
        <w:pStyle w:val="Heading2"/>
        <w:spacing w:after="140" w:before="300"/>
      </w:pPr>
      <w:r>
        <w:rPr>
          <w:b/>
          <w:bCs/>
          <w:color w:val="1A1714"/>
          <w:sz w:val="24"/>
          <w:szCs w:val="24"/>
        </w:rPr>
        <w:t xml:space="preserve">1.1  Precise Definition</w:t>
      </w:r>
    </w:p>
    <w:p>
      <w:pPr>
        <w:spacing w:after="170" w:line="300"/>
      </w:pPr>
      <w:r>
        <w:rPr>
          <w:b w:val="false"/>
          <w:bCs w:val="false"/>
          <w:color w:val="1A1714"/>
          <w:sz w:val="22"/>
          <w:szCs w:val="22"/>
        </w:rPr>
        <w:t xml:space="preserve">A Fact Unit is a record encoding exactly one semantic assertion, comprising the following fields, of which those marked required are present in every Fact Unit without exception and a candidate lacking any of them is refused at construction rather than admitted and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Field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Required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Content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FUID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identifier derived deterministically from the record's content, its source and its ingestion time. Identical content from an identical source at an identical time yields an identical identifier.</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Type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reference into the governed event and entity type catalogue, against whose machine definition the record is validated.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Subject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canonical, language-neutral identifier within the concept structure.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Predicate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canonical identifier drawn from the governed predicate catalogue. A predicate not in the catalogue cannot be asserted.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Object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entity reference or a typed scalar carrying its unit and dimension.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Temporal anchor</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When the assertion held, distinguished from when it was ingested and from when its source was created.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Spatial anchor</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Position, extent or containment, where the assertion carries 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Confidence value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pair of parameters: the first accumulating evidence supporting the assertion, the second accumulating evidence contradicting it. The reported confidence is the ratio of the first to their sum; the sum is the evidential weight, from which a credible interval and a propagation precision are computed.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Source-class attribution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distribution of contributed weight across registered source classes, from which the diversity measure is computed.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Provenance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reference into the append-only provenance chain, whose nodes carry keyed checksums and a deployment signature.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Semantic fingerprint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language-independent value over the canonicalised triple. Two records asserting the same thing in different languages carry the same fingerprint and converge upon one record with two provenance branches.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Modality indication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modality from which the assertion was extracted.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Safety classification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Carried within the record rather than applied around it, such that no path reaches the assertion without it.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Access control list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Likewise carried within the record. Entitlement is a property of the assertion, not a filter over a result.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Typed edges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Weighted relations to other records, and membership in hyperedges relating sets.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Supersession chain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link to the version this record replaces, and the relation — correction or restatement — under which it replaces it.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Derivation marking</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Conditional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Present where the record was derived rather than reported: an inference marked derived, a reconstruction marked reconstructed, or an assertion generated by a named external engine. Unmodifiable and unremovable.</w:t>
            </w:r>
          </w:p>
        </w:tc>
      </w:tr>
    </w:tbl>
    <w:p>
      <w:pPr>
        <w:spacing w:after="160"/>
      </w:pPr>
    </w:p>
    <w:p>
      <w:pPr>
        <w:spacing w:after="170" w:line="300"/>
      </w:pPr>
      <w:r>
        <w:rPr>
          <w:b w:val="false"/>
          <w:bCs w:val="false"/>
          <w:color w:val="1A1714"/>
          <w:sz w:val="22"/>
          <w:szCs w:val="22"/>
        </w:rPr>
        <w:t xml:space="preserve">Three properties follow from the schema and are stated because each is relied upon elsewhere. A Fact Unit is immutable: a revision produces a new linked version and never modifies an existing record, so a provenance chain is append-only in fact and not merely by policy. Safety classification and entitlement are fields rather than layers, so no code path reaches an assertion without them and rights enforcement is structural rather than best-effort. And the assertion is one assertion: a passage stating three things becomes three records, which is what permits a response to cite the specific claim it relied upon rather than the paragraph containing it.</w:t>
      </w:r>
    </w:p>
    <w:p>
      <w:pPr>
        <w:pStyle w:val="Heading2"/>
        <w:spacing w:after="140" w:before="300"/>
      </w:pPr>
      <w:r>
        <w:rPr>
          <w:b/>
          <w:bCs/>
          <w:color w:val="1A1714"/>
          <w:sz w:val="24"/>
          <w:szCs w:val="24"/>
        </w:rPr>
        <w:t xml:space="preserve">1.2  The Post-Baconian Layered Definition</w:t>
      </w:r>
    </w:p>
    <w:p>
      <w:pPr>
        <w:spacing w:after="170" w:line="300"/>
      </w:pPr>
      <w:r>
        <w:rPr>
          <w:b/>
          <w:bCs/>
          <w:color w:val="1A1714"/>
          <w:sz w:val="22"/>
          <w:szCs w:val="22"/>
        </w:rPr>
        <w:t xml:space="preserve">The precise definition of §1.1 remains in force whole; this subsection organizes it and states the enrichment the Baconian feedback loop provides. The Fact Unit reads as nine layers: a core semantic identity that never changes (FUID, type reference, canonical subject, predicate, and object references, and the semantic fingerprint — an assertion, not a concept; concepts belong to the World-View Model); structural adjacency (typed weighted edges and hyperedge memberships in the semantic, temporal, editorial, media, and language classes); temporal stability, read from the three timestamps and the supersession chain rather than asserted; edition-differential markers carried by edition version chains; multi-language alignment anchored to the fingerprint, with wording-operative spans reproduced verbatim; media provenance, with cross-modality corroboration and introduced content marked and inadmissible as grounding; the observation-and-evidence layer — the Baconian core — where the evidence pair is the observation count, diversity is the effective number of contributing source classes, contradictions are first-class and retained even when too weak to revise, and every update is closed-form and free of sampling; in-record rights and safety; and context-keyed deterministic output. The Baconian feedback loop — action, observation, measurement, adjustment, iteration — drives the enrichment: each observation increments the evidence pair by its source-reliability weight, diversity gates generalization, revision is precision-weighted so a settled assertion resists by arithmetic, and adjustment reaches only the layers the loop owns, never the semantic core. Specified at §3.6 and §3.7.</w:t>
      </w:r>
    </w:p>
    <w:p>
      <w:pPr>
        <w:pStyle w:val="Heading1"/>
        <w:spacing w:after="140" w:before="300"/>
      </w:pPr>
      <w:r>
        <w:rPr>
          <w:b/>
          <w:bCs/>
          <w:color w:val="1A1714"/>
          <w:sz w:val="28"/>
          <w:szCs w:val="28"/>
        </w:rPr>
        <w:t xml:space="preserve">2.  What QueryBook Is and Is Not</w:t>
      </w:r>
    </w:p>
    <w:p>
      <w:pPr>
        <w:spacing w:after="170" w:line="300"/>
      </w:pPr>
      <w:r>
        <w:rPr>
          <w:b w:val="false"/>
          <w:bCs w:val="false"/>
          <w:color w:val="1A1714"/>
          <w:sz w:val="22"/>
          <w:szCs w:val="22"/>
        </w:rPr>
        <w:t xml:space="preserve">QueryBook is not a LLM, Agent, RAG system, ChatBot or a basic Q&amp;A system based on a LLM.</w:t>
      </w:r>
    </w:p>
    <w:p>
      <w:pPr>
        <w:spacing w:after="170" w:line="300"/>
      </w:pPr>
      <w:r>
        <w:rPr>
          <w:b w:val="false"/>
          <w:bCs w:val="false"/>
          <w:color w:val="1A1714"/>
          <w:sz w:val="22"/>
          <w:szCs w:val="22"/>
        </w:rPr>
        <w:t xml:space="preserve">QueryBook is a fact-grounded knowledge system, embodied primarily as a question-answering system and secondarily as a multi-mode interactive platform. Every system output is derived from Fact Units — discrete, typed, atomic knowledge records, each carrying a confidence score, a safety classification, and a cryptographically verifiable provenance chain — rather than generated as unconstrained text.</w:t>
      </w:r>
    </w:p>
    <w:p>
      <w:pPr>
        <w:spacing w:after="170" w:line="300"/>
      </w:pPr>
      <w:r>
        <w:rPr>
          <w:b w:val="false"/>
          <w:bCs w:val="false"/>
          <w:color w:val="1A1714"/>
          <w:sz w:val="22"/>
          <w:szCs w:val="22"/>
        </w:rPr>
        <w:t xml:space="preserve">The system further comprises a Neuromorphic Cognitive Layer implementing retrieval-stabilizing convergence dynamics, temporal sequence prediction, and anticipatory pre-activation, unified with a broader Predictive Cognitive Architecture (PCA) that organizes eight independently-arising prediction mechanisms — including those of the Neuromorphic Cognitive Layer itself — together with four additional mechanisms that complete a structural correspondence to an established two-part neuroscience framework, Predictive Coding and the Thousand Brains Theory of Intelligence, and three amplifications extending the resulting architecture's predictive reach across sessions and over time. This architecture predicts at the level of semantic meaning rather than linguistic surface form, distinguishing it structurally from token-prediction-based language models.</w:t>
      </w:r>
    </w:p>
    <w:p>
      <w:pPr>
        <w:spacing w:after="170" w:line="300"/>
      </w:pPr>
      <w:r>
        <w:rPr>
          <w:b w:val="false"/>
          <w:bCs w:val="false"/>
          <w:color w:val="1A1714"/>
          <w:sz w:val="22"/>
          <w:szCs w:val="22"/>
        </w:rPr>
        <w:t xml:space="preserve">The system provides two distinct, non-overlapping correctness guarantees: deterministic execution for a bounded, non-Turing-complete program representation compiled from natural-language instructions, and structural groundedness of generated natural-language output, in which the permissible output vocabulary is constrained to terms traceable to specific underlying Fact Units. An optional formal-verification subsystem applies machine-checked proof to precisely specifiable properties of the bounded program representation, presenting the resulting proof as evidence to a human reviewer who retains sole authority to approve any resulting change; a fixed, permanently-excluded set of subsystems is structurally unreachable by any proposal regardless of the evidence offered in its support.</w:t>
      </w:r>
    </w:p>
    <w:p>
      <w:pPr>
        <w:spacing w:after="170" w:line="300"/>
      </w:pPr>
      <w:r>
        <w:rPr>
          <w:b w:val="false"/>
          <w:bCs w:val="false"/>
          <w:color w:val="1A1714"/>
          <w:sz w:val="22"/>
          <w:szCs w:val="22"/>
        </w:rPr>
        <w:t xml:space="preserve">The system further comprises an immersive three-dimensional presentation subsystem, an author- and instructor-attributed content-authoring model, a consent-gated live voice signal analysis capability, and a generalized external-connector architecture through which a separately-owned, separately-patented external fact-retrieval resource may optionally be connected without becoming a dependency of the core system.</w:t>
      </w:r>
    </w:p>
    <w:p>
      <w:pPr>
        <w:spacing w:after="170" w:line="300"/>
      </w:pPr>
      <w:r>
        <w:rPr>
          <w:b w:val="false"/>
          <w:bCs w:val="false"/>
          <w:color w:val="1A1714"/>
          <w:sz w:val="22"/>
          <w:szCs w:val="22"/>
        </w:rPr>
        <w:t xml:space="preserve">A third correctness property is specified: determinism is asserted between two executions where and only where a context key, computed over an enumerated set of locked context dimensions, is identical. The locked dimensions are device class, entitlement set, locale, expressive register, audience level, temporal posture, traversal cost table and convergence regime. Two executions differing in a locked dimension yield differing keys and a difference between them is not a defect; two differing only in an unlocked dimension yield an identical key and a difference is a defect. Specified at §124.2.</w:t>
      </w:r>
    </w:p>
    <w:p>
      <w:pPr>
        <w:spacing w:after="170" w:line="300"/>
      </w:pPr>
      <w:r>
        <w:rPr>
          <w:b w:val="false"/>
          <w:bCs w:val="false"/>
          <w:color w:val="1A1714"/>
          <w:sz w:val="22"/>
          <w:szCs w:val="22"/>
        </w:rPr>
        <w:t xml:space="preserve">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 an ungrounded assertion is structurally unavailable to the generation process, not merely statistically discouraged.</w:t>
      </w:r>
    </w:p>
    <w:p>
      <w:pPr>
        <w:spacing w:after="170" w:line="300"/>
      </w:pPr>
      <w:r>
        <w:rPr>
          <w:b w:val="false"/>
          <w:bCs w:val="false"/>
          <w:color w:val="1A1714"/>
          <w:sz w:val="22"/>
          <w:szCs w:val="22"/>
        </w:rPr>
        <w:t xml:space="preserve">This distinction is implemented through a dual-architecture cognitive layer separating a Semantic Brain (work-specific, language-anchored, reversible, handling deterministic fact-anchored reasoning) from a World Brain (domain-general, language-agnostic, irreversible after a defined consolidation event, handling broader conceptual and world-state modeling) — a two-level predictive-coding hierarchy a language model's single-matrix architecture does not have.</w:t>
      </w:r>
    </w:p>
    <w:p>
      <w:pPr>
        <w:spacing w:after="170" w:line="300"/>
      </w:pPr>
      <w:r>
        <w:rPr>
          <w:b w:val="false"/>
          <w:bCs w:val="false"/>
          <w:color w:val="1A1714"/>
          <w:sz w:val="22"/>
          <w:szCs w:val="22"/>
        </w:rPr>
        <w:t xml:space="preserve">The hierarchy extends beyond two levels. A deeper predictive hierarchy is specified, in which predictive levels are registered, a prediction error is attributed to the lowest level whose model accounts for it, an escalation gate governs propagation to a higher level, and an error attributable to no registered level is retained rather than discarded. Specified at Chapter 122.</w:t>
      </w:r>
    </w:p>
    <w:p>
      <w:pPr>
        <w:pStyle w:val="Heading2"/>
        <w:spacing w:after="140" w:before="300"/>
      </w:pPr>
      <w:r>
        <w:rPr>
          <w:b/>
          <w:bCs/>
          <w:color w:val="1A1714"/>
          <w:sz w:val="24"/>
          <w:szCs w:val="24"/>
        </w:rPr>
        <w:t xml:space="preserve">2.1  Comparative Advantages Over Agent Frameworks, RAG Pipelines, and Chatbot Systems</w:t>
      </w:r>
    </w:p>
    <w:p>
      <w:pPr>
        <w:spacing w:after="170" w:line="300"/>
      </w:pPr>
      <w:r>
        <w:rPr>
          <w:b w:val="false"/>
          <w:bCs w:val="false"/>
          <w:color w:val="1A1714"/>
          <w:sz w:val="22"/>
          <w:szCs w:val="22"/>
        </w:rPr>
        <w:t xml:space="preserve">(a) Traceability: every response is bound to a specific, cryptographically-verifiable set of contributing Fact Units, rather than a citation naming a source without a verifiable binding to it.</w:t>
      </w:r>
    </w:p>
    <w:p>
      <w:pPr>
        <w:spacing w:after="170" w:line="300"/>
      </w:pPr>
      <w:r>
        <w:rPr>
          <w:b w:val="false"/>
          <w:bCs w:val="false"/>
          <w:color w:val="1A1714"/>
          <w:sz w:val="22"/>
          <w:szCs w:val="22"/>
        </w:rPr>
        <w:t xml:space="preserve">(b) Structural (not statistical) groundedness: an ungrounded output is unavailable to the generation process, as described above — a categorically different guarantee than reducing an undesired output's statistical likelihood.</w:t>
      </w:r>
    </w:p>
    <w:p>
      <w:pPr>
        <w:spacing w:after="170" w:line="300"/>
      </w:pPr>
      <w:r>
        <w:rPr>
          <w:b w:val="false"/>
          <w:bCs w:val="false"/>
          <w:color w:val="1A1714"/>
          <w:sz w:val="22"/>
          <w:szCs w:val="22"/>
        </w:rPr>
        <w:t xml:space="preserve">(c) Governed self-improvement: the system's own improvement process requires a named, accountable human's approval at a non-bypassable gate, with a fixed set of subsystems permanently excluded from any proposal — a governance property most agent frameworks and RAG pipelines do not specify at the architectural level.</w:t>
      </w:r>
    </w:p>
    <w:p>
      <w:pPr>
        <w:spacing w:after="170" w:line="300"/>
      </w:pPr>
      <w:r>
        <w:rPr>
          <w:b w:val="false"/>
          <w:bCs w:val="false"/>
          <w:color w:val="1A1714"/>
          <w:sz w:val="22"/>
          <w:szCs w:val="22"/>
        </w:rPr>
        <w:t xml:space="preserve">(d) Deployment flexibility: the same architecture operates in a fully cloud-based multi-tenant configuration or a fully offline, on-premises configuration reconciled through a defined synchronization layer, rather than requiring continuous access to a hosted inference endpoint.</w:t>
      </w:r>
    </w:p>
    <w:p>
      <w:pPr>
        <w:spacing w:after="170" w:line="300"/>
      </w:pPr>
      <w:r>
        <w:rPr>
          <w:b w:val="false"/>
          <w:bCs w:val="false"/>
          <w:color w:val="1A1714"/>
          <w:sz w:val="22"/>
          <w:szCs w:val="22"/>
        </w:rPr>
        <w:t xml:space="preserve">(e) Directed, non-adopted external integration: connections to external systems — including other agent platforms — dispatch specific, declared actions only, without the connecting system acquiring the external platform's own broader authority, addressed further in Section 14 below.</w:t>
      </w:r>
    </w:p>
    <w:p>
      <w:pPr>
        <w:spacing w:after="170" w:line="300"/>
      </w:pPr>
      <w:r>
        <w:rPr>
          <w:b w:val="false"/>
          <w:bCs w:val="false"/>
          <w:color w:val="1A1714"/>
          <w:sz w:val="22"/>
          <w:szCs w:val="22"/>
        </w:rPr>
        <w:t xml:space="preserve">Deployment flexibility at (d) comprises five topologies: multi-tenant hosted, single-tenant local, single-device, hybrid — substrate and access domains in customer infrastructure with media assets in operator infrastructure — and edge, a frequency-selected cache near a reader concentration that holds no authority and escalates where entitlement requires. Specified at §107.1.</w:t>
      </w:r>
    </w:p>
    <w:p>
      <w:pPr>
        <w:spacing w:after="170" w:line="300"/>
      </w:pPr>
      <w:r>
        <w:rPr>
          <w:b w:val="false"/>
          <w:bCs w:val="false"/>
          <w:color w:val="1A1714"/>
          <w:sz w:val="22"/>
          <w:szCs w:val="22"/>
        </w:rPr>
        <w:t xml:space="preserve">This comparison is made at the level of architectural properties actually specified in this application. It does not include specific, unverified performance or cost claims — for example, relative compute cost or hardware requirements — consistent with this application's practice of citing only claims traceable to specified mechanisms.</w:t>
      </w:r>
    </w:p>
    <w:p>
      <w:pPr>
        <w:spacing w:after="170" w:line="300"/>
      </w:pPr>
      <w:r>
        <w:rPr>
          <w:b w:val="false"/>
          <w:bCs w:val="false"/>
          <w:color w:val="1A1714"/>
          <w:sz w:val="22"/>
          <w:szCs w:val="22"/>
        </w:rPr>
        <w:t xml:space="preserve">A sixth comparative property is specified and is stated here because it is the one most often asked for in evaluation: measured self-assessment. The behavioural probes specified for evaluating an external system are applicable to this system, and the trial architecture measures determinism, refusal integrity and coverage against enumerated trial spaces, reporting the uncovered residue rather than summarising it. Specified at Chapter 117.</w:t>
      </w:r>
    </w:p>
    <w:p>
      <w:pPr>
        <w:pStyle w:val="Heading2"/>
        <w:spacing w:after="140" w:before="300"/>
      </w:pPr>
      <w:r>
        <w:rPr>
          <w:b/>
          <w:bCs/>
          <w:color w:val="1A1714"/>
          <w:sz w:val="24"/>
          <w:szCs w:val="24"/>
        </w:rPr>
        <w:t xml:space="preserve">2.2  QueryBook's Cognitive Structure</w:t>
      </w:r>
    </w:p>
    <w:p>
      <w:pPr>
        <w:spacing w:after="170" w:line="300"/>
      </w:pPr>
      <w:r>
        <w:rPr>
          <w:b w:val="false"/>
          <w:bCs w:val="false"/>
          <w:color w:val="1A1714"/>
          <w:sz w:val="22"/>
          <w:szCs w:val="22"/>
        </w:rPr>
        <w:t xml:space="preserve">The term neuromorphic is used in this document in a specific and limited sense, and the sense is stated before the structure is described. It denotes that a mechanism's organising principle is drawn from a verified result in neuroscience or cognitive science, that the principle extracted is deterministic, and that any trained or stochastic component of the source theory is excluded rather than imported. It does not denote spiking hardware, it does not denote a neural network, and it does not denote resemblance offered in place of specification. Every correspondence claimed in this document carries the primary publication establishing the finding it invokes.</w:t>
      </w:r>
    </w:p>
    <w:p>
      <w:pPr>
        <w:spacing w:after="170" w:line="300"/>
      </w:pPr>
      <w:r>
        <w:rPr>
          <w:b w:val="false"/>
          <w:bCs w:val="false"/>
          <w:color w:val="1A1714"/>
          <w:sz w:val="22"/>
          <w:szCs w:val="22"/>
        </w:rPr>
        <w:t xml:space="preserve">QueryBook's cognitive structure is a layered arrangement of deterministic mechanisms over a single knowledge primitive. The primitive is the Fact Unit of Section 1. The layers are five, and each is defined by what it may do to the layer beneath it rather than by the subject matter it handles.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Layer</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holds</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may do</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Substrate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Fact Units and their lineage.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Written to only through the ingestion conversion, which applies safety evaluation, type validation and confidence calibration. No other layer writes.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Structure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concept structure, the predicate catalogue, the event type catalogue, and the typed edges among records.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Defines what concepts exist and how they relate. Read by every layer; written by none but itself.</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Convergence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Activation values over candidate records.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Resolves a candidate set to a stable configuration. Holds no records of its own and writes none.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Derived conclusions and their disposition.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May write a deductive conclusion as a record marked derived. May not write an inductive or abductive one, which is emitted in a proposed state.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Expression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graph over stabilized records and the text realised from it.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Composes under a vocabulary constrained to the records beneath. Writes nothing back.</w:t>
            </w:r>
          </w:p>
        </w:tc>
      </w:tr>
    </w:tbl>
    <w:p>
      <w:pPr>
        <w:spacing w:after="160"/>
      </w:pPr>
    </w:p>
    <w:p>
      <w:pPr>
        <w:spacing w:after="170" w:line="300"/>
      </w:pPr>
      <w:r>
        <w:rPr>
          <w:b w:val="false"/>
          <w:bCs w:val="false"/>
          <w:color w:val="1A1714"/>
          <w:sz w:val="22"/>
          <w:szCs w:val="22"/>
        </w:rPr>
        <w:t xml:space="preserve">The arrangement is acyclic in the direction that matters: expression cannot write to the substrate, convergence cannot write to structure, and inference writes only what follows necessarily. What flows upward is records and activations; what flows downward is nothing. This is the property that makes the groundedness guarantee structural rather than procedural, because a proposition composed at the expression layer has no route by which it could have originated anywhere but the substrate.</w:t>
      </w:r>
    </w:p>
    <w:p>
      <w:pPr>
        <w:pStyle w:val="Heading2"/>
        <w:spacing w:after="140" w:before="300"/>
      </w:pPr>
      <w:r>
        <w:rPr>
          <w:b/>
          <w:bCs/>
          <w:color w:val="1A1714"/>
          <w:sz w:val="24"/>
          <w:szCs w:val="24"/>
        </w:rPr>
        <w:t xml:space="preserve">2.3  The Cognitive Process</w:t>
      </w:r>
    </w:p>
    <w:p>
      <w:pPr>
        <w:spacing w:after="170" w:line="300"/>
      </w:pPr>
      <w:r>
        <w:rPr>
          <w:b w:val="false"/>
          <w:bCs w:val="false"/>
          <w:color w:val="1A1714"/>
          <w:sz w:val="22"/>
          <w:szCs w:val="22"/>
        </w:rPr>
        <w:t xml:space="preserve">A query passes through the layers in a fixed order, and the mechanisms it meets are of six distinct kinds. They are named here with the technical terms proper to each, because the terms carry the precise commitments the mechanisms make.</w:t>
      </w:r>
    </w:p>
    <w:p>
      <w:pPr>
        <w:pStyle w:val="Heading3"/>
        <w:spacing w:after="140" w:before="300"/>
      </w:pPr>
      <w:r>
        <w:rPr>
          <w:b/>
          <w:bCs/>
          <w:color w:val="1A1714"/>
          <w:sz w:val="22"/>
          <w:szCs w:val="22"/>
        </w:rPr>
        <w:t xml:space="preserve">Associative retrieval and convergence</w:t>
      </w:r>
    </w:p>
    <w:p>
      <w:pPr>
        <w:spacing w:after="170" w:line="300"/>
      </w:pPr>
      <w:r>
        <w:rPr>
          <w:b w:val="false"/>
          <w:bCs w:val="false"/>
          <w:color w:val="1A1714"/>
          <w:sz w:val="22"/>
          <w:szCs w:val="22"/>
        </w:rPr>
        <w:t xml:space="preserve">Candidate records semantically proximate to the query are pre-activated — priming, in the cognitive sense — within a traversal budget expressed in units of edge-class cost. The candidate set is then resolved by an attractor network: activation values are iteratively updated as a threshold function of a weighted sum until the configuration reaches a stable state, the number of stored configurations being held below the capacity at which retrieval states cease to exist. Where several interpretations compete, resolution proceeds by lateral inhibition — each candidate reduced in proportion to the summed activation of those inconsistent with it — which at a sufficient suppression coefficient is a winner-take-all network. The whole operation is deterministic; nothing is sampled.</w:t>
      </w:r>
    </w:p>
    <w:p>
      <w:pPr>
        <w:pStyle w:val="Heading3"/>
        <w:spacing w:after="140" w:before="300"/>
      </w:pPr>
      <w:r>
        <w:rPr>
          <w:b/>
          <w:bCs/>
          <w:color w:val="1A1714"/>
          <w:sz w:val="22"/>
          <w:szCs w:val="22"/>
        </w:rPr>
        <w:t xml:space="preserve">Graph and hypergraph traversal</w:t>
      </w:r>
    </w:p>
    <w:p>
      <w:pPr>
        <w:spacing w:after="170" w:line="300"/>
      </w:pPr>
      <w:r>
        <w:rPr>
          <w:b w:val="false"/>
          <w:bCs w:val="false"/>
          <w:color w:val="1A1714"/>
          <w:sz w:val="22"/>
          <w:szCs w:val="22"/>
        </w:rPr>
        <w:t xml:space="preserve">Relationships among records are held as typed weighted edges in a directed graph, and relationships among more than two records as hyperedges, in which a single edge relates a set rather than a pair. The distinction is not notational. A reaction with four reactants and three products, a contract with five parties, a citation drawing on six sources, are single relations over a set; decomposing them into pairwise edges loses the fact that the constituents belong together. A partially-observed hyperedge is completed by the same convergence described above, applied at hyperedge granularity and weighted by each constituent's confidence and accumulated evidence.</w:t>
      </w:r>
    </w:p>
    <w:p>
      <w:pPr>
        <w:pStyle w:val="Heading3"/>
        <w:spacing w:after="140" w:before="300"/>
      </w:pPr>
      <w:r>
        <w:rPr>
          <w:b/>
          <w:bCs/>
          <w:color w:val="1A1714"/>
          <w:sz w:val="22"/>
          <w:szCs w:val="22"/>
        </w:rPr>
        <w:t xml:space="preserve">Geometric and spatial reasoning</w:t>
      </w:r>
    </w:p>
    <w:p>
      <w:pPr>
        <w:spacing w:after="170" w:line="300"/>
      </w:pPr>
      <w:r>
        <w:rPr>
          <w:b w:val="false"/>
          <w:bCs w:val="false"/>
          <w:color w:val="1A1714"/>
          <w:sz w:val="22"/>
          <w:szCs w:val="22"/>
        </w:rPr>
        <w:t xml:space="preserve">Records carrying spatial anchors support reasoning over position, orientation and containment. Spatial indexing proceeds over a hexagonal tiling, adopted because it tiles a plane with uniform neighbour distance rather than because it resembles any biological structure. Geometric relations — adjacency, enclosure, occlusion, alignment — are computed rather than asserted, and a completion of a partially-observed scene is evaluated against registered physical constraints before it is scored for plausibility, a completion whose residual exceeds tolerance being absent from the output at any score. A gap is preferred to an impossible completion.</w:t>
      </w:r>
    </w:p>
    <w:p>
      <w:pPr>
        <w:pStyle w:val="Heading3"/>
        <w:spacing w:after="140" w:before="300"/>
      </w:pPr>
      <w:r>
        <w:rPr>
          <w:b/>
          <w:bCs/>
          <w:color w:val="1A1714"/>
          <w:sz w:val="22"/>
          <w:szCs w:val="22"/>
        </w:rPr>
        <w:t xml:space="preserve">Deduction, induction and abduction</w:t>
      </w:r>
    </w:p>
    <w:p>
      <w:pPr>
        <w:spacing w:after="170" w:line="300"/>
      </w:pPr>
      <w:r>
        <w:rPr>
          <w:b w:val="false"/>
          <w:bCs w:val="false"/>
          <w:color w:val="1A1714"/>
          <w:sz w:val="22"/>
          <w:szCs w:val="22"/>
        </w:rPr>
        <w:t xml:space="preserve">Three reasoning modes operate and are distinguished by what may follow from each. A deductive conclusion — subsumption, defeasible inheritance, transitive closure, contradiction detection — is admitted as a record marked derived, carrying a confidence equal to the product of the traversed edge confidences, because a conclusion following necessarily from admitted records adds nothing not already entailed. An inductive conclusion — accumulation, generalisation, concept formation from repetition — adjusts a confidence value within an existing record or is emitted in a proposed state. An abductive conclusion, ranking candidate explanations by posterior, sits on the same gate. Deduction may write; induction and abduction may not.</w:t>
      </w:r>
    </w:p>
    <w:p>
      <w:pPr>
        <w:pStyle w:val="Heading3"/>
        <w:spacing w:after="140" w:before="300"/>
      </w:pPr>
      <w:r>
        <w:rPr>
          <w:b/>
          <w:bCs/>
          <w:color w:val="1A1714"/>
          <w:sz w:val="22"/>
          <w:szCs w:val="22"/>
        </w:rPr>
        <w:t xml:space="preserve">Prediction</w:t>
      </w:r>
    </w:p>
    <w:p>
      <w:pPr>
        <w:spacing w:after="170" w:line="300"/>
      </w:pPr>
      <w:r>
        <w:rPr>
          <w:b w:val="false"/>
          <w:bCs w:val="false"/>
          <w:color w:val="1A1714"/>
          <w:sz w:val="22"/>
          <w:szCs w:val="22"/>
        </w:rPr>
        <w:t xml:space="preserve">Prediction operates at the level of semantic structure rather than linguistic surface form: what is predicted is the next relevant Fact Unit rather than the next token. Sequence prediction learns which records follow which across a session and pre-weights the predicted set; forward inference traverses causal and logical chains to conclusions no single record states; counterfactual projection represents a hypothesis as a delta over the base state rather than as a copy; and error propagation revises the concept model that generated a failed prediction at a precision-weighted gain rather than revising only the record contradicted.</w:t>
      </w:r>
    </w:p>
    <w:p>
      <w:pPr>
        <w:pStyle w:val="Heading3"/>
        <w:spacing w:after="140" w:before="300"/>
      </w:pPr>
      <w:r>
        <w:rPr>
          <w:b/>
          <w:bCs/>
          <w:color w:val="1A1714"/>
          <w:sz w:val="22"/>
          <w:szCs w:val="22"/>
        </w:rPr>
        <w:t xml:space="preserve">Hypothesis</w:t>
      </w:r>
    </w:p>
    <w:p>
      <w:pPr>
        <w:spacing w:after="170" w:line="300"/>
      </w:pPr>
      <w:r>
        <w:rPr>
          <w:b w:val="false"/>
          <w:bCs w:val="false"/>
          <w:color w:val="1A1714"/>
          <w:sz w:val="22"/>
          <w:szCs w:val="22"/>
        </w:rPr>
        <w:t xml:space="preserve">A conjectural derivation is created in a proposed state and transitions to validated only upon a confirmation recorded against a named human reviewer, no automated process being configured to effect that transition. Where two hypotheses stand within the separation floor while each exceeds the support minimum, the discriminating-instance mechanism selects the observation maximising the difference between its likelihood under each — not the observation either hypothesis considers most probable — and states what each posterior would become under both the presence and the absence of that observation, which is the difference between a test and a search for confirmation.</w:t>
      </w:r>
    </w:p>
    <w:p>
      <w:pPr>
        <w:spacing w:after="170" w:line="300"/>
      </w:pPr>
      <w:r>
        <w:rPr>
          <w:b w:val="false"/>
          <w:bCs w:val="false"/>
          <w:color w:val="1A1714"/>
          <w:sz w:val="22"/>
          <w:szCs w:val="22"/>
        </w:rPr>
        <w:t xml:space="preserve">Six kinds of mechanism, one primitive, five layers, and no path by which a proposition may reach the reader without having originated in an admitted record. That is the cognitive structure, and the sections that follow specify each of its parts.</w:t>
      </w:r>
    </w:p>
    <w:p>
      <w:pPr>
        <w:pStyle w:val="Heading1"/>
        <w:spacing w:after="140" w:before="300"/>
      </w:pPr>
      <w:r>
        <w:rPr>
          <w:b/>
          <w:bCs/>
          <w:color w:val="1A1714"/>
          <w:sz w:val="24"/>
          <w:szCs w:val="24"/>
        </w:rPr>
        <w:t xml:space="preserve">QUERYBOOK CORE TECHNOLOGIES</w:t>
      </w:r>
    </w:p>
    <w:p>
      <w:pPr>
        <w:pStyle w:val="Heading1"/>
        <w:spacing w:after="140" w:before="300"/>
      </w:pPr>
      <w:r>
        <w:rPr>
          <w:b/>
          <w:bCs/>
          <w:color w:val="1A1714"/>
          <w:sz w:val="28"/>
          <w:szCs w:val="28"/>
        </w:rPr>
        <w:t xml:space="preserve">3.  Neuromorphic Cognitive Layer (NCL) and Retrieval Stabilization</w:t>
      </w:r>
    </w:p>
    <w:p>
      <w:pPr>
        <w:spacing w:after="170" w:line="300"/>
      </w:pPr>
      <w:r>
        <w:rPr>
          <w:b w:val="false"/>
          <w:bCs w:val="false"/>
          <w:color w:val="1A1714"/>
          <w:sz w:val="22"/>
          <w:szCs w:val="22"/>
        </w:rPr>
        <w:t xml:space="preserve">A Neuromorphic Cognitive Layer implements retrieval stabilization through a continuous-valued associative memory network that iteratively updates an initial candidate Fact Unit activation set according to a defined convergence rule until the set reaches a stable state, resolving ambiguous queries to their best-supported interpretation as a single, deterministic convergence process. The same Neuromorphic Cognitive Layer additionally implements the Temporal Memory Module and the pre-activation sense of the Associative Recall Engine described in Section 21 below as components of the Predictive Cognitive Architecture — these are not separate systems loosely inspired by neuromorphic principles, but structural components specified within the Neuromorphic Cognitive Layer itself, unified with the broader predictive architecture in Section 21.</w:t>
      </w:r>
    </w:p>
    <w:p>
      <w:pPr>
        <w:spacing w:after="170" w:line="290"/>
        <w:ind w:left="360"/>
      </w:pPr>
      <w:r>
        <w:rPr>
          <w:b/>
          <w:bCs/>
          <w:color w:val="2F5347"/>
          <w:sz w:val="19"/>
          <w:szCs w:val="19"/>
        </w:rPr>
        <w:t xml:space="preserve">NEUROMORPHIC CORRESPONDENCE.  </w:t>
      </w:r>
      <w:r>
        <w:rPr>
          <w:color w:val="1A1714"/>
          <w:sz w:val="21"/>
          <w:szCs w:val="21"/>
        </w:rPr>
        <w:t xml:space="preserve">The convergence network is an attractor network in the sense of Hopfield (1982, PNAS 79:2554–2558), and the capacity ceiling named at §7.6.4 is the storage limit established for Hebbian-prescribed weights by Amit, Gutfreund and Sompolinsky (1985, Physical Review Letters 55:1530–1533), at which retrieval states disappear discontinuously — a first-order phase transition rather than a gradual degradation. The set of initial configurations converging upon a given equilibrium is that equilibrium's attractor basin; under the spectral contraction of §116.2 the whole configuration space forms a single basin, which is what makes the converged state unique. Weight updating follows a Hebbian rule, incrementing the weight between two records upon their co-activation, and is deterministic and auditable rather than fitted by gradient descent — a distinction stated because the term is otherwise apt to be read as implying training.</w:t>
      </w:r>
    </w:p>
    <w:p>
      <w:pPr>
        <w:spacing w:after="170" w:line="300"/>
      </w:pPr>
      <w:r>
        <w:rPr>
          <w:b w:val="false"/>
          <w:bCs w:val="false"/>
          <w:color w:val="1A1714"/>
          <w:sz w:val="22"/>
          <w:szCs w:val="22"/>
        </w:rPr>
        <w:t xml:space="preserve">Four properties of the convergence are specified. The update decreases monotonically an energy over the configuration, so termination follows from the descent rather than from an iteration bound. The capacity at which retrieval states cease to exist is named as a first-order phase boundary, with a conservative operating ceiling below it. A network may elect a spectral-norm contraction under which the equilibrium is unique independently of the starting configuration, and an output discloses which convergence regime produced it. And the same convergence is applied at hyperedge granularity, completing a partially-observed hyperedge weighted by each constituent's confidence and accumulated evidence. Specified at §7.6.4, §53.7, §116.1 and §116.2.</w:t>
      </w:r>
    </w:p>
    <w:p>
      <w:pPr>
        <w:spacing w:after="170" w:line="300"/>
      </w:pPr>
      <w:r>
        <w:rPr>
          <w:b w:val="false"/>
          <w:bCs w:val="false"/>
          <w:color w:val="1A1714"/>
          <w:sz w:val="22"/>
          <w:szCs w:val="22"/>
        </w:rPr>
        <w:t xml:space="preserve">The convergence additionally admits an analog realization. The threshold update is a weighted sum followed by a sign, which a crossbar of variable-conductance elements performs physically by Ohm's and Kirchhoff's laws in a single settling; for a network of 8,192 units one digital update performs 67,108,864 multiply-accumulate operations where one settling performs a single physical operation. An analog realization is permitted only under the unique-equilibrium regime, because two arrays whose conductances differ by fabrication tolerance settle to a common equilibrium only where the equilibrium is unique. In simulation over 64 units holding six patterns, two matrices differing by five per cent conductance variation settled differently on 30.5 per cent of inputs under the capacity bound and on 0.5 per cent under a contraction. Specified at §7.7.</w:t>
      </w:r>
    </w:p>
    <w:p>
      <w:pPr>
        <w:pStyle w:val="Heading1"/>
        <w:spacing w:after="140" w:before="300"/>
      </w:pPr>
      <w:r>
        <w:rPr>
          <w:b/>
          <w:bCs/>
          <w:color w:val="1A1714"/>
          <w:sz w:val="28"/>
          <w:szCs w:val="28"/>
        </w:rPr>
        <w:t xml:space="preserve">4.  Cross-Domain Consistency</w:t>
      </w:r>
    </w:p>
    <w:p>
      <w:pPr>
        <w:spacing w:after="170" w:line="300"/>
      </w:pPr>
      <w:r>
        <w:rPr>
          <w:b w:val="false"/>
          <w:bCs w:val="false"/>
          <w:color w:val="1A1714"/>
          <w:sz w:val="22"/>
          <w:szCs w:val="22"/>
        </w:rPr>
        <w:t xml:space="preserve">A rule engine evaluates a probabilistically-weighted, temporally-scoped rule set incrementally as new Fact Units are ingested, maintaining a persistent, queryable index of currently-active contradictions, supporting multi-hop reasoning.</w:t>
      </w:r>
    </w:p>
    <w:p>
      <w:pPr>
        <w:spacing w:after="170" w:line="300"/>
      </w:pPr>
      <w:r>
        <w:rPr>
          <w:b w:val="false"/>
          <w:bCs w:val="false"/>
          <w:color w:val="1A1714"/>
          <w:sz w:val="22"/>
          <w:szCs w:val="22"/>
        </w:rPr>
        <w:t xml:space="preserve">A coherence classification is specified over six dimensions — semantic, temporal, spatial, editorial, media and evidential — with the governing value taken as the least of the six rather than their mean, because a mean permits five strong dimensions to conceal the one weak dimension that constitutes the finding. Classification names the dimension that produced it, and distinguishes two states from the three graded ones: incomplete, where a dimension cannot be computed for want of data, and contradictory, where two records assert incompatible content. A coherence value informs and never gates. Specified at §124.1.</w:t>
      </w:r>
    </w:p>
    <w:p>
      <w:pPr>
        <w:pStyle w:val="Heading1"/>
        <w:spacing w:after="140" w:before="300"/>
      </w:pPr>
      <w:r>
        <w:rPr>
          <w:b/>
          <w:bCs/>
          <w:color w:val="1A1714"/>
          <w:sz w:val="28"/>
          <w:szCs w:val="28"/>
        </w:rPr>
        <w:t xml:space="preserve">5.  Confidence Calibration</w:t>
      </w:r>
    </w:p>
    <w:p>
      <w:pPr>
        <w:spacing w:after="170" w:line="300"/>
      </w:pPr>
      <w:r>
        <w:rPr>
          <w:b w:val="false"/>
          <w:bCs w:val="false"/>
          <w:color w:val="1A1714"/>
          <w:sz w:val="22"/>
          <w:szCs w:val="22"/>
        </w:rPr>
        <w:t xml:space="preserve">Each Fact Unit's confidence value is produced by a calibration process integrating extraction confidence, source reliability, a modality-specific coefficient, and temporal decay, operating upon the evidence pair of Section 1 rather than upon a scalar. Temporal decay acts upon the parameters toward the prior, preserving the reported mean while widening the credible interval, rather than reducing the reported confidence directly. A Fact Unit independently corroborated by more than one ingestion modality receives a calibrated elevation, weighted by source-class diversity so that repeated corroboration within one class contributes less than corroboration across several.</w:t>
      </w:r>
    </w:p>
    <w:p>
      <w:pPr>
        <w:spacing w:after="170" w:line="290"/>
        <w:ind w:left="360"/>
      </w:pPr>
      <w:r>
        <w:rPr>
          <w:b/>
          <w:bCs/>
          <w:color w:val="2F5347"/>
          <w:sz w:val="19"/>
          <w:szCs w:val="19"/>
        </w:rPr>
        <w:t xml:space="preserve">NEUROMORPHIC CORRESPONDENCE.  </w:t>
      </w:r>
      <w:r>
        <w:rPr>
          <w:color w:val="1A1714"/>
          <w:sz w:val="21"/>
          <w:szCs w:val="21"/>
        </w:rPr>
        <w:t xml:space="preserve">The cross-modality elevation corresponds to intersensory redundancy as established by Bahrick and Lickliter (2000, Developmental Psychology 36:190–201): a property presented concurrently to two or more senses is detected earlier and more reliably than the same property presented to one. The scaling by temporal synchrony is drawn from the same finding — what makes two modal observations independent evidence rather than one event observed twice is that they co-occur within a window narrow enough to indicate a common cause.</w:t>
      </w:r>
    </w:p>
    <w:p>
      <w:pPr>
        <w:pStyle w:val="Heading1"/>
        <w:spacing w:after="140" w:before="300"/>
      </w:pPr>
      <w:r>
        <w:rPr>
          <w:b/>
          <w:bCs/>
          <w:color w:val="1A1714"/>
          <w:sz w:val="28"/>
          <w:szCs w:val="28"/>
        </w:rPr>
        <w:t xml:space="preserve">6.  Deterministic Provenance</w:t>
      </w:r>
    </w:p>
    <w:p>
      <w:pPr>
        <w:spacing w:after="170" w:line="300"/>
      </w:pPr>
      <w:r>
        <w:rPr>
          <w:b w:val="false"/>
          <w:bCs w:val="false"/>
          <w:color w:val="1A1714"/>
          <w:sz w:val="22"/>
          <w:szCs w:val="22"/>
        </w:rPr>
        <w:t xml:space="preserve">Every Fact Unit's derivation is recorded in a provenance ledger implemented as a Merkle directed acyclic graph, in which each node carries a keyed cryptographic checksum sufficient to detect any operation that bypassed a required safety evaluation, enabling independent, third-party verification of any cited response.</w:t>
      </w:r>
    </w:p>
    <w:p>
      <w:pPr>
        <w:spacing w:after="170" w:line="300"/>
      </w:pPr>
      <w:r>
        <w:rPr>
          <w:b w:val="false"/>
          <w:bCs w:val="false"/>
          <w:color w:val="1A1714"/>
          <w:sz w:val="22"/>
          <w:szCs w:val="22"/>
        </w:rPr>
        <w:t xml:space="preserve">Each node is additionally signed under a key of the deployment, so that the chain is verifiable by a party holding the corresponding verification key without access to the system that produced it. Verification establishes that a recorded operation and its recorded safety evaluation are as written; it establishes nothing about the correctness of the operation, and the distinction is stated so that an audit is not read as more than it is. Specified at §107.5.</w:t>
      </w:r>
    </w:p>
    <w:p>
      <w:pPr>
        <w:pStyle w:val="Heading1"/>
        <w:spacing w:after="140" w:before="300"/>
      </w:pPr>
      <w:r>
        <w:rPr>
          <w:b/>
          <w:bCs/>
          <w:color w:val="1A1714"/>
          <w:sz w:val="28"/>
          <w:szCs w:val="28"/>
        </w:rPr>
        <w:t xml:space="preserve">7.  Multimodal Ingestion</w:t>
      </w:r>
    </w:p>
    <w:p>
      <w:pPr>
        <w:spacing w:after="170" w:line="300"/>
      </w:pPr>
      <w:r>
        <w:rPr>
          <w:b w:val="false"/>
          <w:bCs w:val="false"/>
          <w:color w:val="1A1714"/>
          <w:sz w:val="22"/>
          <w:szCs w:val="22"/>
        </w:rPr>
        <w:t xml:space="preserve">Content is ingested across eight defined modalities through independent, per-modality extraction processors converging on the common Fact Unit schema, with a defined fallback — best-effort resolution by structural similarity, or an explicit, stated halt — for content that does not cleanly resolve to any of the eight. The system is designed specifically to extend a static text, document, or media asset into a live, interactive question-answering capability, and is not limited to single-source ingestion: multiple documents may be ingested into a common Fact Graph, queried, compared, and cross-referenced against one another, with contradiction and temporal-inconsistency detection (Section 4 above) operating across ingested sources rather than being confined to any single one.</w:t>
      </w:r>
    </w:p>
    <w:p>
      <w:pPr>
        <w:spacing w:after="170" w:line="300"/>
      </w:pPr>
      <w:r>
        <w:rPr>
          <w:b w:val="false"/>
          <w:bCs w:val="false"/>
          <w:color w:val="1A1714"/>
          <w:sz w:val="22"/>
          <w:szCs w:val="22"/>
        </w:rPr>
        <w:t xml:space="preserve">Two further ingestion pathways are specified. A computational substrate external to the system — a neuromorphic processor, a memristive array, a multi-electrode array — may be registered as a source and its output registered as a modality with its own independently-failing extractor; such output is admitted as a measurement of the substrate's behaviour and bears upon any other subject only through an interpretation registered in advance. Specified at §4.10. And an external machine-learning engine may be prompted and its reply ingested, which is Section 40 below.</w:t>
      </w:r>
    </w:p>
    <w:p>
      <w:pPr>
        <w:pStyle w:val="Heading2"/>
        <w:spacing w:after="140" w:before="300"/>
      </w:pPr>
      <w:r>
        <w:rPr>
          <w:b/>
          <w:bCs/>
          <w:color w:val="1A1714"/>
          <w:sz w:val="24"/>
          <w:szCs w:val="24"/>
        </w:rPr>
        <w:t xml:space="preserve">7.1  Multi-Language and Translation Capability</w:t>
      </w:r>
    </w:p>
    <w:p>
      <w:pPr>
        <w:spacing w:after="170" w:line="300"/>
      </w:pPr>
      <w:r>
        <w:rPr>
          <w:b w:val="false"/>
          <w:bCs w:val="false"/>
          <w:color w:val="1A1714"/>
          <w:sz w:val="22"/>
          <w:szCs w:val="22"/>
        </w:rPr>
        <w:t xml:space="preserve">Because a Fact Unit's identity is anchored to a language-independent semantic fingerprint rather than to the specific language of its source text, the same underlying Fact Graph supports query and response generation in multiple languages without separate, per-language re-ingestion. A dedicated multilingual regeneration capability generates natural-language output directly from the language-independent Narrative Graph and its underlying Fact Units for a requested target language, applying the identical structural-groundedness constraint of Section 6 regardless of output language — a translated response is subject to the same traceability requirement as a response in the content's original language, rather than being generated by translating already-generated text after the fact.</w:t>
      </w:r>
    </w:p>
    <w:p>
      <w:pPr>
        <w:spacing w:after="170" w:line="300"/>
      </w:pPr>
      <w:r>
        <w:rPr>
          <w:b w:val="false"/>
          <w:bCs w:val="false"/>
          <w:color w:val="1A1714"/>
          <w:sz w:val="22"/>
          <w:szCs w:val="22"/>
        </w:rPr>
        <w:t xml:space="preserve">Three refinements are specified. A wording-operative span — a quotation, a statutory phrase, a claim term, a prescribed instruction — is reproduced verbatim in its source language with a separately-marked non-operative gloss, because regenerating a span that carries force alters the force. An idiom is resolved by detecting divergence between its compositional and attested readings and substituting only a registered equivalent, a surface-similarity selection being refused. And two or more language realizations may be presented simultaneously, aligned by knowledge record rather than by position, so a citation taken in either resolves to the same record. Specified at §16.7, §16.8 and §107.4.</w:t>
      </w:r>
    </w:p>
    <w:p>
      <w:pPr>
        <w:pStyle w:val="Heading3"/>
        <w:spacing w:after="140" w:before="300"/>
      </w:pPr>
      <w:r>
        <w:rPr>
          <w:b/>
          <w:bCs/>
          <w:color w:val="1A1714"/>
          <w:sz w:val="22"/>
          <w:szCs w:val="22"/>
        </w:rPr>
        <w:t xml:space="preserve">Why this structure enables what per-language systems cannot</w:t>
      </w:r>
    </w:p>
    <w:p>
      <w:pPr>
        <w:spacing w:after="170" w:line="300"/>
      </w:pPr>
      <w:r>
        <w:rPr>
          <w:b w:val="false"/>
          <w:bCs w:val="false"/>
          <w:color w:val="1A1714"/>
          <w:sz w:val="22"/>
          <w:szCs w:val="22"/>
        </w:rPr>
        <w:t xml:space="preserve">The capability described above follows from one decision taken at the level of the primitive, and the reason it is difficult to retrofit is worth stating plainly. In a system that stores text, meaning is inseparable from the words carrying it, so a corpus in six languages is six corpora: a query in one reaches one, a correction must be made six times, and a divergence between two of them is discoverable only by someone who reads both. Translation between them is a text-to-text operation, and an error introduced in translation is indistinguishable afterwards from an error in the source.</w:t>
      </w:r>
    </w:p>
    <w:p>
      <w:pPr>
        <w:spacing w:after="170" w:line="300"/>
      </w:pPr>
      <w:r>
        <w:rPr>
          <w:b w:val="false"/>
          <w:bCs w:val="false"/>
          <w:color w:val="1A1714"/>
          <w:sz w:val="22"/>
          <w:szCs w:val="22"/>
        </w:rPr>
        <w:t xml:space="preserve">Because a Fact Unit's identity is a semantic fingerprint computed over its canonicalised triple rather than over its source wording, the same assertion arriving in six languages converges upon one record carrying six provenance branches. Four consequences follow that a per-language architecture cannot produce without rebuilding around this decision.</w:t>
      </w:r>
    </w:p>
    <w:p>
      <w:pPr>
        <w:spacing w:after="170" w:line="300"/>
      </w:pPr>
      <w:r>
        <w:rPr>
          <w:b w:val="false"/>
          <w:bCs w:val="false"/>
          <w:color w:val="1A1714"/>
          <w:sz w:val="22"/>
          <w:szCs w:val="22"/>
        </w:rPr>
        <w:t xml:space="preserve">A query in any language reaches content ingested in any other, because the query resolves to concept and predicate identifiers and the records are indexed by those identifiers rather than by words. No translation of the query occurs, and none is needed.</w:t>
      </w:r>
    </w:p>
    <w:p>
      <w:pPr>
        <w:spacing w:after="170" w:line="300"/>
      </w:pPr>
      <w:r>
        <w:rPr>
          <w:b w:val="false"/>
          <w:bCs w:val="false"/>
          <w:color w:val="1A1714"/>
          <w:sz w:val="22"/>
          <w:szCs w:val="22"/>
        </w:rPr>
        <w:t xml:space="preserve">A correction is made once. Revising an assertion revises the record; every language rendering is generated from the record and therefore follows. Drift between language editions is not merely avoidable but detectable, because two renderings asserting different things are two records with a contradiction between them rather than two texts nobody compared.</w:t>
      </w:r>
    </w:p>
    <w:p>
      <w:pPr>
        <w:spacing w:after="170" w:line="300"/>
      </w:pPr>
      <w:r>
        <w:rPr>
          <w:b w:val="false"/>
          <w:bCs w:val="false"/>
          <w:color w:val="1A1714"/>
          <w:sz w:val="22"/>
          <w:szCs w:val="22"/>
        </w:rPr>
        <w:t xml:space="preserve">A response in any language is generated directly from the records rather than by translating a response already generated, so the structural-groundedness constraint applies identically in every language. A translated answer is not a translation of a grounded answer — it is a grounded answer, composed under the same vocabulary constraint from the same records.</w:t>
      </w:r>
    </w:p>
    <w:p>
      <w:pPr>
        <w:spacing w:after="170" w:line="300"/>
      </w:pPr>
      <w:r>
        <w:rPr>
          <w:b w:val="false"/>
          <w:bCs w:val="false"/>
          <w:color w:val="1A1714"/>
          <w:sz w:val="22"/>
          <w:szCs w:val="22"/>
        </w:rPr>
        <w:t xml:space="preserve">And corroboration across languages counts as corroboration across source classes rather than as repetition. The same assertion attested in an English filing and a Japanese one is evidence from two classes; in a text-based system it is two documents that happen to say the same thing, with no mechanism recognising that they do.</w:t>
      </w:r>
    </w:p>
    <w:p>
      <w:pPr>
        <w:spacing w:after="170" w:line="300"/>
      </w:pPr>
      <w:r>
        <w:rPr>
          <w:b w:val="false"/>
          <w:bCs w:val="false"/>
          <w:color w:val="1A1714"/>
          <w:sz w:val="22"/>
          <w:szCs w:val="22"/>
        </w:rPr>
        <w:t xml:space="preserve">The cost of the decision is paid at ingestion, where an assertion must be resolved to canonical identifiers rather than stored as written, and where a wording-operative span must be identified and preserved rather than reduced. That cost is incurred once per assertion. The alternative is incurred once per language, forever.</w:t>
      </w:r>
    </w:p>
    <w:p>
      <w:pPr>
        <w:pStyle w:val="Heading1"/>
        <w:spacing w:after="140" w:before="300"/>
      </w:pPr>
      <w:r>
        <w:rPr>
          <w:b/>
          <w:bCs/>
          <w:color w:val="1A1714"/>
          <w:sz w:val="28"/>
          <w:szCs w:val="28"/>
        </w:rPr>
        <w:t xml:space="preserve">8.  License-Scoped Query Restriction</w:t>
      </w:r>
    </w:p>
    <w:p>
      <w:pPr>
        <w:spacing w:after="170" w:line="300"/>
      </w:pPr>
      <w:r>
        <w:rPr>
          <w:b w:val="false"/>
          <w:bCs w:val="false"/>
          <w:color w:val="1A1714"/>
          <w:sz w:val="22"/>
          <w:szCs w:val="22"/>
        </w:rPr>
        <w:t xml:space="preserve">Every query is evaluated against the requesting identity's actual licensed content scope before execution, enforced at the query-execution layer itself rather than as a post-hoc filter.</w:t>
      </w:r>
    </w:p>
    <w:p>
      <w:pPr>
        <w:spacing w:after="170" w:line="300"/>
      </w:pPr>
      <w:r>
        <w:rPr>
          <w:b w:val="false"/>
          <w:bCs w:val="false"/>
          <w:color w:val="1A1714"/>
          <w:sz w:val="22"/>
          <w:szCs w:val="22"/>
        </w:rPr>
        <w:t xml:space="preserve">The scope description constructed before traversal is bounded by four further conditions where they apply: an analysis record is excluded from a scope description constructed for a query not directed to it; a reader's progress marker excludes a record whose narrative position exceeds it where spoiler protection is elected; an attestation cutoff excludes a record attested later than the cutoff where the scope is constructed for a retrospective forecast run; and the intersection of participants' entitlements bounds a shared session. In every case the excluded record is not traversable rather than removed from a result. Specified at §96.10, §105.7, §103.3 and §105.4.</w:t>
      </w:r>
    </w:p>
    <w:p>
      <w:pPr>
        <w:pStyle w:val="Heading1"/>
        <w:spacing w:after="140" w:before="300"/>
      </w:pPr>
      <w:r>
        <w:rPr>
          <w:b/>
          <w:bCs/>
          <w:color w:val="1A1714"/>
          <w:sz w:val="28"/>
          <w:szCs w:val="28"/>
        </w:rPr>
        <w:t xml:space="preserve">9.  Live Interaction Voice Signal Analysis</w:t>
      </w:r>
    </w:p>
    <w:p>
      <w:pPr>
        <w:spacing w:after="170" w:line="300"/>
      </w:pPr>
      <w:r>
        <w:rPr>
          <w:b w:val="false"/>
          <w:bCs w:val="false"/>
          <w:color w:val="1A1714"/>
          <w:sz w:val="22"/>
          <w:szCs w:val="22"/>
        </w:rPr>
        <w:t xml:space="preserve">Where a live, present user explicitly and revocably opts in, prosodic and acoustic features of that user's voice during an active session may be analyzed using the same extraction technique already specified for ingested audio content, applied to a live stream instead. This capability is strictly opt-in, disabled by default, and immediately halted upon revocation; it feeds an existing clarification-request mechanism as an additional, optional input and, where directly queried, is presented as an inference carrying an explicit confidence score rather than an assertion of the user's actual internal state.</w:t>
      </w:r>
    </w:p>
    <w:p>
      <w:pPr>
        <w:spacing w:after="170" w:line="300"/>
      </w:pPr>
      <w:r>
        <w:rPr>
          <w:b w:val="false"/>
          <w:bCs w:val="false"/>
          <w:color w:val="1A1714"/>
          <w:sz w:val="22"/>
          <w:szCs w:val="22"/>
        </w:rPr>
        <w:t xml:space="preserve">A distinct voice capability is specified and is not to be conflated with this one: voice navigation accepts spoken command and query input under its own session-scoped revocable consent, routes the transcription through intent classification separating query intent from operational intent, requests clarification below the confidence threshold rather than selecting an interpretation, discards audio after transcription, derives no voiceprint or biometric identifier, and requires a second-modality confirmation for any state-changing instruction. Navigation consumes the words; the analysis of this section consumes the signal; enabling either does not enable the other. Specified at §105.6.</w:t>
      </w:r>
    </w:p>
    <w:p>
      <w:pPr>
        <w:pStyle w:val="Heading1"/>
        <w:spacing w:after="140" w:before="300"/>
      </w:pPr>
      <w:r>
        <w:rPr>
          <w:b/>
          <w:bCs/>
          <w:color w:val="1A1714"/>
          <w:sz w:val="28"/>
          <w:szCs w:val="28"/>
        </w:rPr>
        <w:t xml:space="preserve">10.  The Prime Directive</w:t>
      </w:r>
    </w:p>
    <w:p>
      <w:pPr>
        <w:spacing w:after="170" w:line="300"/>
      </w:pPr>
      <w:r>
        <w:rPr>
          <w:b w:val="false"/>
          <w:bCs w:val="false"/>
          <w:color w:val="1A1714"/>
          <w:sz w:val="22"/>
          <w:szCs w:val="22"/>
        </w:rPr>
        <w:t xml:space="preserve">A foundational constraint, the Prime Directive, governs every subsystem described in this application uniformly: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No subsystem is exempt from this constraint, and no subsystem may be configured to bypass it. A companion rule, the Without-Information Rule, specifically prohibits withholding information a requester is entitled to receive as a means of avoiding a harm determination — the system may not resolve a difficult case by silently omitting the answer.</w:t>
      </w:r>
    </w:p>
    <w:p>
      <w:pPr>
        <w:spacing w:after="170" w:line="300"/>
      </w:pPr>
      <w:r>
        <w:rPr>
          <w:b w:val="false"/>
          <w:bCs w:val="false"/>
          <w:color w:val="1A1714"/>
          <w:sz w:val="22"/>
          <w:szCs w:val="22"/>
        </w:rPr>
        <w:t xml:space="preserve">The Prime Directive is specified as Domain 0, a vertical domain penetrating every horizontal domain, and owns four mechanisms in addition to the constraint itself: the safety enforcement plane, the transfer matrix governing every permitted movement between domains, the path-separation invariant, and the scheduling priority ordering. Each is a member of the permanently-excluded subsystem set, and the placement is not administrative: the transfer matrix contains the entry denying the platform-governance domain a transfer to Domain 0, and were the matrix owned by that domain, the exclusion protecting the Prime Directive would be administered by the party it excludes. Specified at Chapter 106.</w:t>
      </w:r>
    </w:p>
    <w:p>
      <w:pPr>
        <w:pStyle w:val="Heading1"/>
        <w:spacing w:after="140" w:before="300"/>
      </w:pPr>
      <w:r>
        <w:rPr>
          <w:b/>
          <w:bCs/>
          <w:color w:val="1A1714"/>
          <w:sz w:val="28"/>
          <w:szCs w:val="28"/>
        </w:rPr>
        <w:t xml:space="preserve">11.  World-View Model (WVM)</w:t>
      </w:r>
    </w:p>
    <w:p>
      <w:pPr>
        <w:spacing w:after="170" w:line="300"/>
      </w:pPr>
      <w:r>
        <w:rPr>
          <w:b w:val="false"/>
          <w:bCs w:val="false"/>
          <w:color w:val="1A1714"/>
          <w:sz w:val="22"/>
          <w:szCs w:val="22"/>
        </w:rPr>
        <w:t xml:space="preserve">A World-View Model implements the system's semantic spine, spanning ontology, causality, and time across the platform, natively and without dependency on any external or independently-operable technology. The WVM implements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The WVM is distinct from, and complementary to, physical and embodied world modeling used for sensor and device contexts specifically — the WVM is the general semantic spine; physical-context modeling is a separate, narrower layer serving embodied applications.</w:t>
      </w:r>
    </w:p>
    <w:p>
      <w:pPr>
        <w:spacing w:after="170" w:line="300"/>
      </w:pPr>
      <w:r>
        <w:rPr>
          <w:b w:val="false"/>
          <w:bCs w:val="false"/>
          <w:color w:val="1A1714"/>
          <w:sz w:val="22"/>
          <w:szCs w:val="22"/>
        </w:rPr>
        <w:t xml:space="preserve">Three mechanisms of the WVM are specified in detail. Attribute inheritance along IS-A chains computes confidence as the product of the traversed edges at traversal time rather than writing it back; an exception override suppresses an inherited value for a subordinate and its subordinates by specificity ordering, leaving the superordinate unmodified; and where two conflicting attributes are inherited at identical depth the system performs no resolution at all, recording the conflict and reporting both values with their originating concepts, because an arbitrary tie-break produces an answer that is reproducible without being grounded. Inverse traversal proceeds only through a declared inverse predicate, no second edge being stored. Specified at §54.6.</w:t>
      </w:r>
    </w:p>
    <w:p>
      <w:pPr>
        <w:spacing w:after="170" w:line="290"/>
        <w:ind w:left="360"/>
      </w:pPr>
      <w:r>
        <w:rPr>
          <w:b/>
          <w:bCs/>
          <w:color w:val="2F5347"/>
          <w:sz w:val="19"/>
          <w:szCs w:val="19"/>
        </w:rPr>
        <w:t xml:space="preserve">NEUROMORPHIC CORRESPONDENCE.  </w:t>
      </w:r>
      <w:r>
        <w:rPr>
          <w:color w:val="1A1714"/>
          <w:sz w:val="21"/>
          <w:szCs w:val="21"/>
        </w:rPr>
        <w:t xml:space="preserve">Two further correspondences are carried by mechanisms of this layer. Spatial indexing over a hexagonal tiling corresponds to the firing structure of entorhinal grid cells reported by Hafting et al. (2005, Nature 436:801–806), the hexagonal arrangement being adopted because it tiles a plane with uniform neighbour distance rather than because a grid cell resembles an index. And the retention of a single object identity across a full occlusion within a session corresponds to object permanence as described by Piaget (1954): the object is not re-created as a second node upon reappearing, because it was never treated as having ceased to exist.</w:t>
      </w:r>
    </w:p>
    <w:p>
      <w:pPr>
        <w:spacing w:after="170" w:line="300"/>
      </w:pPr>
      <w:r>
        <w:rPr>
          <w:b w:val="false"/>
          <w:bCs w:val="false"/>
          <w:color w:val="1A1714"/>
          <w:sz w:val="22"/>
          <w:szCs w:val="22"/>
        </w:rPr>
        <w:t xml:space="preserve">The physical-context layer referred to above carries a stated mechanism. A governing physical constraint is registered with a closed-form residual expression, a tolerance, SI units, a mandatory applicability predicate and its provenance; a scene completion is evaluated against every applicable constraint before plausibility scoring, and a completion whose residual exceeds tolerance is absent from the ranked output at any score. A gap is preferred to an impossible completion. An ingested observation is not refused by this mechanism, being routed instead to the contradiction index. Specified at §53.9.</w:t>
      </w:r>
    </w:p>
    <w:p>
      <w:pPr>
        <w:pStyle w:val="Heading2"/>
        <w:spacing w:after="140" w:before="300"/>
      </w:pPr>
      <w:r>
        <w:rPr>
          <w:b/>
          <w:bCs/>
          <w:color w:val="1A1714"/>
          <w:sz w:val="24"/>
          <w:szCs w:val="24"/>
        </w:rPr>
        <w:t xml:space="preserve">11.1  Hypergraph Structure</w:t>
      </w:r>
    </w:p>
    <w:p>
      <w:pPr>
        <w:spacing w:after="170" w:line="300"/>
      </w:pPr>
      <w:r>
        <w:rPr>
          <w:b w:val="false"/>
          <w:bCs w:val="false"/>
          <w:color w:val="1A1714"/>
          <w:sz w:val="22"/>
          <w:szCs w:val="22"/>
        </w:rPr>
        <w:t xml:space="preserve">Relations among records are held as typed weighted edges in a directed graph where a relation holds between two things, and as hyperedges where a relation holds among more than two. The distinction is not notational. A reaction with four reactants and three products, a contract binding five parties, a proof drawing on six premises, an event with several simultaneous participants — each is one relation over a set. Decomposing it into pairwise edges loses the fact that the constituents belong together, and no quantity of pairwise edges recovers it.</w:t>
      </w:r>
    </w:p>
    <w:p>
      <w:pPr>
        <w:spacing w:after="170" w:line="300"/>
      </w:pPr>
      <w:r>
        <w:rPr>
          <w:b w:val="false"/>
          <w:bCs w:val="false"/>
          <w:color w:val="1A1714"/>
          <w:sz w:val="22"/>
          <w:szCs w:val="22"/>
        </w:rPr>
        <w:t xml:space="preserve">Two operations distinguish a hyperedge from a set of edges. Where a reasoning operation traverses a hyperedge, each constituent's contribution is weighted by its own confidence and by its degree of corroboration with the others, so a hyperedge one of whose constituents is weakly supported does not carry the strength its best-supported constituent would suggest. And a partially-observed hyperedge — a contour with observed points and gaps, a reaction with an unidentified product, a citation network with a missing source — is completed by applying the convergence dynamics of Section 3 to the constituent set as a whole rather than by inferring each absent constituent independently, because the constituents constrain one another.</w:t>
      </w:r>
    </w:p>
    <w:p>
      <w:pPr>
        <w:spacing w:after="170" w:line="300"/>
      </w:pPr>
      <w:r>
        <w:rPr>
          <w:b w:val="false"/>
          <w:bCs w:val="false"/>
          <w:color w:val="1A1714"/>
          <w:sz w:val="22"/>
          <w:szCs w:val="22"/>
        </w:rPr>
        <w:t xml:space="preserve">A completed constituent is marked as completed, is bounded in confidence by the observed constituents and the configuration converged to, and is inadmissible as a grounding source. Where convergence fails within the iteration ceiling, no completion is produced and the gap is reported as a gap.</w:t>
      </w:r>
    </w:p>
    <w:p>
      <w:pPr>
        <w:pStyle w:val="Heading2"/>
        <w:spacing w:after="140" w:before="300"/>
      </w:pPr>
      <w:r>
        <w:rPr>
          <w:b/>
          <w:bCs/>
          <w:color w:val="1A1714"/>
          <w:sz w:val="24"/>
          <w:szCs w:val="24"/>
        </w:rPr>
        <w:t xml:space="preserve">11.2  Concept Formation</w:t>
      </w:r>
    </w:p>
    <w:p>
      <w:pPr>
        <w:spacing w:after="170" w:line="300"/>
      </w:pPr>
      <w:r>
        <w:rPr>
          <w:b w:val="false"/>
          <w:bCs w:val="false"/>
          <w:color w:val="1A1714"/>
          <w:sz w:val="22"/>
          <w:szCs w:val="22"/>
        </w:rPr>
        <w:t xml:space="preserve">A concept node is not authored. It is formed by extracting properties that persist across many ingested instances — observing many instances, extracting the stable properties, building a model independent of the context in which any instance appeared, and using that model to recognise later instances. The correspondence is to invariant model formation in cortical columns, and the property being claimed is the extraction of invariance across exposures rather than any resemblance to neural tissue.</w:t>
      </w:r>
    </w:p>
    <w:p>
      <w:pPr>
        <w:spacing w:after="170" w:line="300"/>
      </w:pPr>
      <w:r>
        <w:rPr>
          <w:b w:val="false"/>
          <w:bCs w:val="false"/>
          <w:color w:val="1A1714"/>
          <w:sz w:val="22"/>
          <w:szCs w:val="22"/>
        </w:rPr>
        <w:t xml:space="preserve">Formation is gated rather than continuous. Session-scoped records constitute a fast episodic store and the permanent Fact Graph a slow consolidated one, and a candidate concept transitions from the first to the second only upon an explicit election — never by automatic replay. The consequence is that a concept does not form because material was encountered often; it forms because someone decided the pattern was a concept. The correspondence here is to complementary learning systems as formulated by McClelland, McNaughton and O'Reilly, and the gating is what prevents the system from generalising from repetition alone.</w:t>
      </w:r>
    </w:p>
    <w:p>
      <w:pPr>
        <w:spacing w:after="170" w:line="300"/>
      </w:pPr>
      <w:r>
        <w:rPr>
          <w:b w:val="false"/>
          <w:bCs w:val="false"/>
          <w:color w:val="1A1714"/>
          <w:sz w:val="22"/>
          <w:szCs w:val="22"/>
        </w:rPr>
        <w:t xml:space="preserve">Where a concept is grounded in more than one stream, the streams are built independently and fused only on agreement. A sensory-grounded stream and a language-grounded stream develop separately; upon co-occurrence of a spoken label and a perceived object the semantic consistency of the two is confirmed and only then are they joined by a binding edge. Fusing on co-occurrence alone would bind a label to whatever happened to be present when it was uttered.</w:t>
      </w:r>
    </w:p>
    <w:p>
      <w:pPr>
        <w:spacing w:after="170" w:line="300"/>
      </w:pPr>
      <w:r>
        <w:rPr>
          <w:b w:val="false"/>
          <w:bCs w:val="false"/>
          <w:color w:val="1A1714"/>
          <w:sz w:val="22"/>
          <w:szCs w:val="22"/>
        </w:rPr>
        <w:t xml:space="preserve">A formed concept carries a stability weight reflecting accumulated evidence and consistency, which initialises the pseudo-count of its confidence parameters. A settled concept therefore resists revision by the arithmetic rather than by a rule expressing that intention, requiring correspondingly stronger contradicting evidence to move.</w:t>
      </w:r>
    </w:p>
    <w:p>
      <w:pPr>
        <w:pStyle w:val="Heading2"/>
        <w:spacing w:after="140" w:before="300"/>
      </w:pPr>
      <w:r>
        <w:rPr>
          <w:b/>
          <w:bCs/>
          <w:color w:val="1A1714"/>
          <w:sz w:val="24"/>
          <w:szCs w:val="24"/>
        </w:rPr>
        <w:t xml:space="preserve">11.3  Selective Attention and Focus</w:t>
      </w:r>
    </w:p>
    <w:p>
      <w:pPr>
        <w:spacing w:after="170" w:line="300"/>
      </w:pPr>
      <w:r>
        <w:rPr>
          <w:b w:val="false"/>
          <w:bCs w:val="false"/>
          <w:color w:val="1A1714"/>
          <w:sz w:val="22"/>
          <w:szCs w:val="22"/>
        </w:rPr>
        <w:t xml:space="preserve">Where several objects are detected concurrently, a salience weight is computed for each from its detection confidence and its relevance to the current task, normalised against the objects co-present with it. Attention is therefore relative rather than absolute: the same object is salient in one scene and not in another, according to what accompanies it.</w:t>
      </w:r>
    </w:p>
    <w:p>
      <w:pPr>
        <w:spacing w:after="170" w:line="300"/>
      </w:pPr>
      <w:r>
        <w:rPr>
          <w:b w:val="false"/>
          <w:bCs w:val="false"/>
          <w:color w:val="1A1714"/>
          <w:sz w:val="22"/>
          <w:szCs w:val="22"/>
        </w:rPr>
        <w:t xml:space="preserve">The governing constraint is stated because it is what distinguishes this from filtering. A node is never removed from the graph, never excluded, and never rendered unreachable by a low salience weight. Salience orders what is examined first and how much traversal budget is spent upon it; it does not determine what exists. A system that discarded the unattended would be unable to answer a later question about it, and the whole point of holding the record is that the question may come.</w:t>
      </w:r>
    </w:p>
    <w:p>
      <w:pPr>
        <w:spacing w:after="170" w:line="300"/>
      </w:pPr>
      <w:r>
        <w:rPr>
          <w:b w:val="false"/>
          <w:bCs w:val="false"/>
          <w:color w:val="1A1714"/>
          <w:sz w:val="22"/>
          <w:szCs w:val="22"/>
        </w:rPr>
        <w:t xml:space="preserve">The correspondence is to biased competition as identified by Desimone and Duncan: representations compete for processing, and a bias — here detection confidence and task relevance — resolves the competition without a separate selector deciding among them. The same mechanism, applied to competing interpretations of a query rather than to competing objects in a scene, is the competitive resolution of Section 21.4.3.</w:t>
      </w:r>
    </w:p>
    <w:p>
      <w:pPr>
        <w:spacing w:after="170" w:line="300"/>
      </w:pPr>
      <w:r>
        <w:rPr>
          <w:b w:val="false"/>
          <w:bCs w:val="false"/>
          <w:color w:val="1A1714"/>
          <w:sz w:val="22"/>
          <w:szCs w:val="22"/>
        </w:rPr>
        <w:t xml:space="preserve">Focus operates at a second level through traversal cost. Pre-activation is bounded by a budget expressed in units of edge-class cost, and traversal prefers directions of lower relevance gradient — regions where meaning changes slowly, rather than boundaries where it changes sharply. Attention selects what to look at; the cost table determines how far to look in each direction.</w:t>
      </w:r>
    </w:p>
    <w:p>
      <w:pPr>
        <w:pStyle w:val="Heading2"/>
        <w:spacing w:after="140" w:before="300"/>
      </w:pPr>
      <w:r>
        <w:rPr>
          <w:b/>
          <w:bCs/>
          <w:color w:val="1A1714"/>
          <w:sz w:val="24"/>
          <w:szCs w:val="24"/>
        </w:rPr>
        <w:t xml:space="preserve">11.4  What the World-View Model does not do</w:t>
      </w:r>
    </w:p>
    <w:p>
      <w:pPr>
        <w:spacing w:after="170" w:line="300"/>
      </w:pPr>
      <w:r>
        <w:rPr>
          <w:b w:val="false"/>
          <w:bCs w:val="false"/>
          <w:color w:val="1A1714"/>
          <w:sz w:val="22"/>
          <w:szCs w:val="22"/>
        </w:rPr>
        <w:t xml:space="preserve">Three limits are stated because each is easy to assume of a component described as a world model. It forms no concept without an election, so it does not learn continuously from exposure. It discards nothing on grounds of salience, so an unattended observation remains queryable. And where a prediction error is accounted for by no registered level of the hierarchy, the observation is recorded in the contradiction index and no revision is applied anywhere — an error no level explains is a finding about the model rather than an instruction to change it.</w:t>
      </w:r>
    </w:p>
    <w:p>
      <w:pPr>
        <w:pStyle w:val="Heading1"/>
        <w:spacing w:after="140" w:before="300"/>
      </w:pPr>
      <w:r>
        <w:rPr>
          <w:b/>
          <w:bCs/>
          <w:color w:val="1A1714"/>
          <w:sz w:val="28"/>
          <w:szCs w:val="28"/>
        </w:rPr>
        <w:t xml:space="preserve">12.  Fact Unit Example</w:t>
      </w:r>
    </w:p>
    <w:p>
      <w:pPr>
        <w:spacing w:after="170" w:line="300"/>
      </w:pPr>
      <w:r>
        <w:rPr>
          <w:b w:val="false"/>
          <w:bCs w:val="false"/>
          <w:color w:val="1A1714"/>
          <w:sz w:val="22"/>
          <w:szCs w:val="22"/>
        </w:rPr>
        <w:t xml:space="preserve">The following illustrates the Fact Unit architecture of Section 1 applied to a concrete assertion. Given source content stating that a named entity is located within a named containing region, the ingestion pipeline resolves the subject and object references to canonical, language-neutral identifiers within the Ontology Mesh, resolves the asserted relationship to a canonical predicate identifier, and constructs a Fact Unit binding the three: a deterministically-derived FUID; the resolved semantic assertion; a confidence score reflecting extraction agreement and source reliability; a safety classification; a temporal anchor reflecting when the assertion was true and when it was ingested; and a provenance reference identifying the specific source passage. A subsequent query requesting the location of the same named entity resolves through the identical canonical identifiers, retrieves the constructed Fact Unit deterministically — not through approximate text matching — and regenerates a natural-language answer citing the specific Fact Unit and its source passage. Where source content is later revised, a new, linked Fact Unit version is created rather than the original being modified, with both versions independently queryable through the version chain.</w:t>
      </w:r>
    </w:p>
    <w:p>
      <w:pPr>
        <w:pStyle w:val="Heading1"/>
        <w:spacing w:after="140" w:before="300"/>
      </w:pPr>
      <w:r>
        <w:rPr>
          <w:b/>
          <w:bCs/>
          <w:color w:val="1A1714"/>
          <w:sz w:val="28"/>
          <w:szCs w:val="28"/>
        </w:rPr>
        <w:t xml:space="preserve">13.  Encryption and Access Control</w:t>
      </w:r>
    </w:p>
    <w:p>
      <w:pPr>
        <w:spacing w:after="170" w:line="300"/>
      </w:pPr>
      <w:r>
        <w:rPr>
          <w:b w:val="false"/>
          <w:bCs w:val="false"/>
          <w:color w:val="1A1714"/>
          <w:sz w:val="22"/>
          <w:szCs w:val="22"/>
        </w:rPr>
        <w:t xml:space="preserve">An opt-in, passphrase-derived encryption mechanism protects an individual user's own session and interaction history such that the platform itself cannot decrypt that history without the user's own passphrase — a zero-knowledge property in the standard security sense. Where this mechanism is active, account erasure is implemented cryptographically: destroying the associated private key record renders the encrypted history permanently unreadable without requiring individual enumeration and deletion of every underlying record. Access to platform capabilities generally is governed by a role-based portal architecture scoped to a small set of defined roles, each mapped to a defined capability set, with a separate mechanism for granting a time-scoped, context-specific capability to an identity for a bounded purpose without creating a new role or broadening that identity's general access.</w:t>
      </w:r>
    </w:p>
    <w:p>
      <w:pPr>
        <w:spacing w:after="170" w:line="300"/>
      </w:pPr>
      <w:r>
        <w:rPr>
          <w:b w:val="false"/>
          <w:bCs w:val="false"/>
          <w:color w:val="1A1714"/>
          <w:sz w:val="22"/>
          <w:szCs w:val="22"/>
        </w:rPr>
        <w:t xml:space="preserve">Key custody is specified: an encryption key is scoped to a tenant or a deployment such that a key of one tenant decrypts no content of another, and key material is held within a hardware or equivalent custody boundary where a deployment configures one, in which case the system holds a handle rather than the key and every use is a call across that boundary. The zero-knowledge election of this section is unchanged and is not weakened by the presence of a hardware module: where it is in effect, no operator-held key exists under any configuration. Specified at §107.5.</w:t>
      </w:r>
    </w:p>
    <w:p>
      <w:pPr>
        <w:pStyle w:val="Heading1"/>
        <w:spacing w:after="140" w:before="300"/>
      </w:pPr>
      <w:r>
        <w:rPr>
          <w:b/>
          <w:bCs/>
          <w:color w:val="1A1714"/>
          <w:sz w:val="28"/>
          <w:szCs w:val="28"/>
        </w:rPr>
        <w:t xml:space="preserve">14.  External System Integration — Directed Delegation</w:t>
      </w:r>
    </w:p>
    <w:p>
      <w:pPr>
        <w:spacing w:after="170" w:line="300"/>
      </w:pPr>
      <w:r>
        <w:rPr>
          <w:b w:val="false"/>
          <w:bCs w:val="false"/>
          <w:color w:val="1A1714"/>
          <w:sz w:val="22"/>
          <w:szCs w:val="22"/>
        </w:rPr>
        <w:t xml:space="preserve">Where the system connects to an external agent platform or device — for example, a robotics or IoT platform — it does so through the generalized connector architecture of Section 8, dispatching only specific, declared actions the external platform's registered capability declaration authorizes, and acquiring no native or general control over that external platform beyond those declared actions. Where an operator additionally elects to register an external blockchain-based ownership-verification service for a specific published title's resale — an optional, per-title, publisher-initiated choice — the system acts as the requesting party to that external, pre-existing verification service; the system does not itself operate blockchain infrastructure, and no title uses this mechanism by default.</w:t>
      </w:r>
    </w:p>
    <w:p>
      <w:pPr>
        <w:spacing w:after="170" w:line="300"/>
      </w:pPr>
      <w:r>
        <w:rPr>
          <w:b w:val="false"/>
          <w:bCs w:val="false"/>
          <w:color w:val="1A1714"/>
          <w:sz w:val="22"/>
          <w:szCs w:val="22"/>
        </w:rPr>
        <w:t xml:space="preserve">The proposition that connection confers no dependency is structural rather than asserted, in three respects verifiable against the application itself: no claim recites an external fact-query system as an element; no transfer-matrix entry permits a domain to require an external resource in order to complete an operation, the external-integration domain's failure being contained to its own capability; and the determinism guarantee is established by the constrained-vocabulary generation and the bounded stable-state capacity rather than by any property of an external system. Specified at §107.7.</w:t>
      </w:r>
    </w:p>
    <w:p>
      <w:pPr>
        <w:spacing w:after="170" w:line="300"/>
      </w:pPr>
      <w:r>
        <w:rPr>
          <w:b w:val="false"/>
          <w:bCs w:val="false"/>
          <w:color w:val="1A1714"/>
          <w:sz w:val="22"/>
          <w:szCs w:val="22"/>
        </w:rPr>
        <w:t xml:space="preserve">Direct command emission to physical equipment is specified for one bounded class, at Sections 32 and 33 below, and is distinguished there from the directed delegation of this section.</w:t>
      </w:r>
    </w:p>
    <w:p>
      <w:pPr>
        <w:pStyle w:val="Heading1"/>
        <w:spacing w:after="140" w:before="300"/>
      </w:pPr>
      <w:r>
        <w:rPr>
          <w:b/>
          <w:bCs/>
          <w:color w:val="1A1714"/>
          <w:sz w:val="28"/>
          <w:szCs w:val="28"/>
        </w:rPr>
        <w:t xml:space="preserve">15.  Moderation Appeals</w:t>
      </w:r>
    </w:p>
    <w:p>
      <w:pPr>
        <w:spacing w:after="170" w:line="300"/>
      </w:pPr>
      <w:r>
        <w:rPr>
          <w:b w:val="false"/>
          <w:bCs w:val="false"/>
          <w:color w:val="1A1714"/>
          <w:sz w:val="22"/>
          <w:szCs w:val="22"/>
        </w:rPr>
        <w:t xml:space="preserve">Where content is moderated, an affected identity may submit a formal appeal referencing the original moderation action's provenance record. A narrative explanation of the original decision is generated from the same grounded generation pipeline as any other system output, routed to a human reviewer distinct from the original moderator, whose uphold, reverse, or modify decision is logged with the reviewer's identity and stated reasoning. The original decision remains in effect during the review period.</w:t>
      </w:r>
    </w:p>
    <w:p>
      <w:pPr>
        <w:pStyle w:val="Heading1"/>
        <w:spacing w:after="140" w:before="300"/>
      </w:pPr>
      <w:r>
        <w:rPr>
          <w:b/>
          <w:bCs/>
          <w:color w:val="1A1714"/>
          <w:sz w:val="28"/>
          <w:szCs w:val="28"/>
        </w:rPr>
        <w:t xml:space="preserve">16.  Data Export and Portability</w:t>
      </w:r>
    </w:p>
    <w:p>
      <w:pPr>
        <w:spacing w:after="170" w:line="300"/>
      </w:pPr>
      <w:r>
        <w:rPr>
          <w:b w:val="false"/>
          <w:bCs w:val="false"/>
          <w:color w:val="1A1714"/>
          <w:sz w:val="22"/>
          <w:szCs w:val="22"/>
        </w:rPr>
        <w:t xml:space="preserve">A requesting identity may export the Fact Units, annotations, and interaction history they hold rights to, serialized to an open, non-proprietary format with provenance metadata preserved, without the export restricting that identity's continued access to the underlying system. The export scope is governed by the same license-scoped access-control mechanism described in Section 8.</w:t>
      </w:r>
    </w:p>
    <w:p>
      <w:pPr>
        <w:pStyle w:val="Heading1"/>
        <w:spacing w:after="140" w:before="300"/>
      </w:pPr>
      <w:r>
        <w:rPr>
          <w:b/>
          <w:bCs/>
          <w:color w:val="1A1714"/>
          <w:sz w:val="28"/>
          <w:szCs w:val="28"/>
        </w:rPr>
        <w:t xml:space="preserve">17.  Accessibility Suite</w:t>
      </w:r>
    </w:p>
    <w:p>
      <w:pPr>
        <w:spacing w:after="170" w:line="300"/>
      </w:pPr>
      <w:r>
        <w:rPr>
          <w:b w:val="false"/>
          <w:bCs w:val="false"/>
          <w:color w:val="1A1714"/>
          <w:sz w:val="22"/>
          <w:szCs w:val="22"/>
        </w:rPr>
        <w:t xml:space="preserve">Where content is produced for delivery to a reader, a corresponding accessible equivalent — alternative text for visual content, scene descriptions for immersive presentations, captions for audio, and structurally simplified variants for cognitive accessibility — is generated from the same source Fact Units as the primary content, with production treated as incomplete until the accessible equivalent exists alongside it.</w:t>
      </w:r>
    </w:p>
    <w:p>
      <w:pPr>
        <w:pStyle w:val="Heading1"/>
        <w:spacing w:after="140" w:before="300"/>
      </w:pPr>
      <w:r>
        <w:rPr>
          <w:b/>
          <w:bCs/>
          <w:color w:val="1A1714"/>
          <w:sz w:val="28"/>
          <w:szCs w:val="28"/>
        </w:rPr>
        <w:t xml:space="preserve">18.  Offline and Synchronized Operation</w:t>
      </w:r>
    </w:p>
    <w:p>
      <w:pPr>
        <w:spacing w:after="170" w:line="300"/>
      </w:pPr>
      <w:r>
        <w:rPr>
          <w:b w:val="false"/>
          <w:bCs w:val="false"/>
          <w:color w:val="1A1714"/>
          <w:sz w:val="22"/>
          <w:szCs w:val="22"/>
        </w:rPr>
        <w:t xml:space="preserve">The system supports a plurality of synchronization modes — including real-time, deferred, batch, and fully disconnected operation — selected according to available connectivity, with query execution, provenance verification, and access-control enforcement all continuing to function during disconnected operation using a locally-held Fact Graph. Upon reconnection, divergent local and remote states are reconciled through a deterministic, version-vector-based merge process rather than an ad hoc or manual procedure.</w:t>
      </w:r>
    </w:p>
    <w:p>
      <w:pPr>
        <w:pStyle w:val="Heading1"/>
        <w:spacing w:after="140" w:before="300"/>
      </w:pPr>
      <w:r>
        <w:rPr>
          <w:b/>
          <w:bCs/>
          <w:color w:val="1A1714"/>
          <w:sz w:val="28"/>
          <w:szCs w:val="28"/>
        </w:rPr>
        <w:t xml:space="preserve">19.  Contextual Commerce Layer</w:t>
      </w:r>
    </w:p>
    <w:p>
      <w:pPr>
        <w:spacing w:after="170" w:line="300"/>
      </w:pPr>
      <w:r>
        <w:rPr>
          <w:b w:val="false"/>
          <w:bCs w:val="false"/>
          <w:color w:val="1A1714"/>
          <w:sz w:val="22"/>
          <w:szCs w:val="22"/>
        </w:rPr>
        <w:t xml:space="preserve">An optional, operator-configured layer surfaces commercial content — author- or publisher-linked products, third-party affiliate or advertising-network content, or both, at the operator's choice — based on the concept identifier a query resolves to, structurally separated from the grounded answer itself. The grounded answer's Fact Unit retrieval, ranking, and confidence-score computation are completed and finalized before this layer is invoked; the layer receives only the resolved concept identifier as read-only input and has no write path back into retrieval, ranking, or generation. This structural ordering — not a configurable policy setting — is what prevents commercial content from being able to influence the grounded answer under any operator configuration. Commercial content is rendered in a distinct, source-labeled region of the response, never interleaved into the grounded answer's own sentences or citations. Every commercial-content display event is logged and operator-queryable, recording the triggering concept identifier, the specific content displayed, its source, and a timestamp.</w:t>
      </w:r>
    </w:p>
    <w:p>
      <w:pPr>
        <w:spacing w:after="170" w:line="300"/>
      </w:pPr>
      <w:r>
        <w:rPr>
          <w:b w:val="false"/>
          <w:bCs w:val="false"/>
          <w:color w:val="1A1714"/>
          <w:sz w:val="22"/>
          <w:szCs w:val="22"/>
        </w:rPr>
        <w:t xml:space="preserve">Processing consumed by this layer is measured as its own bounded, prioritized unit of compute accounting, scheduled strictly below every safety-relevant accounting category, such that a slow or unresponsive third-party commerce source degrades only the commercial content region of a response, silently, without delaying or degrading the grounded answer. Where more than one candidate commercial item matches a query's resolved concept identifier, a selection weighting — combining match relevance, an operator-configurable source-priority factor, and, for third-party sources, a supplied bid or revenue-share value — determines which candidate is displayed, operating exclusively on candidates already gathered after the grounded answer's own completion, with the specific numeric weights configurable per deployment while the non-interference guarantee itself remains fixed.</w:t>
      </w:r>
    </w:p>
    <w:p>
      <w:pPr>
        <w:spacing w:after="170" w:line="300"/>
      </w:pPr>
      <w:r>
        <w:rPr>
          <w:b w:val="false"/>
          <w:bCs w:val="false"/>
          <w:color w:val="1A1714"/>
          <w:sz w:val="22"/>
          <w:szCs w:val="22"/>
        </w:rPr>
        <w:t xml:space="preserve">The input to commercial selection is the resolved concept identifier together with the identifiers of concepts adjacent to it within a single edge, each supplied read-only. Adjacency is bounded three ways: one hop with no traversal from an adjacent concept; restricted to adjacency-bearing edge types, excluding causal, temporal and contradiction edges; and confined to the requester's scope description, an adjacent concept outside it being excluded without the exclusion being signalled. An adjacent concept participates in the relevance factor alone and never in eligibility, and relevance computed through adjacency is attenuated relative to direct relevance. The ordering and isolation guarantees of this section are unchanged. Specified at §113.8.</w:t>
      </w:r>
    </w:p>
    <w:p>
      <w:pPr>
        <w:spacing w:after="170" w:line="300"/>
      </w:pPr>
      <w:r>
        <w:rPr>
          <w:b w:val="false"/>
          <w:bCs w:val="false"/>
          <w:color w:val="1A1714"/>
          <w:sz w:val="22"/>
          <w:szCs w:val="22"/>
        </w:rPr>
        <w:t xml:space="preserve">Eligibility, placement and transaction are specified. Eligibility is determined from four already-established facts about the request — registered rights, recorded territory, delivered edition, device class — and from no other input; an inferred ergonomic signal, an inferred cognitive-load indicator and an inferred affective state are unavailable to commercial selection. A commercial item occupies a registered placement class, never interleaved with propositions, bounded by a density ceiling. Every item carries a provenance record with the presenting party's verified identity, and is not a knowledge record: not citable, not traversable, contributing to no confidence value. Commerce objects carry a price per territory, an object with no registered price for a territory not being offered there; and a transaction that cannot be reconciled against an entitlement change is refused rather than recorded pending. Specified at Chapter 113.</w:t>
      </w:r>
    </w:p>
    <w:p>
      <w:pPr>
        <w:pStyle w:val="Heading1"/>
        <w:spacing w:after="140" w:before="300"/>
      </w:pPr>
      <w:r>
        <w:rPr>
          <w:b/>
          <w:bCs/>
          <w:color w:val="1A1714"/>
          <w:sz w:val="28"/>
          <w:szCs w:val="28"/>
        </w:rPr>
        <w:t xml:space="preserve">20.  Ontology Mesh</w:t>
      </w:r>
    </w:p>
    <w:p>
      <w:pPr>
        <w:spacing w:after="170" w:line="300"/>
      </w:pPr>
      <w:r>
        <w:rPr>
          <w:b w:val="false"/>
          <w:bCs w:val="false"/>
          <w:color w:val="1A1714"/>
          <w:sz w:val="22"/>
          <w:szCs w:val="22"/>
        </w:rPr>
        <w:t xml:space="preserve">Predicates referenced by the knowledge record of Section 1, and by the Ontology Layer of the World-View Model (Section 11), are resolved against an Ontology Mesh governing concept and predicate identity across the knowledge graph.</w:t>
      </w:r>
    </w:p>
    <w:p>
      <w:pPr>
        <w:pStyle w:val="Heading2"/>
        <w:spacing w:after="140" w:before="300"/>
      </w:pPr>
      <w:r>
        <w:rPr>
          <w:b/>
          <w:bCs/>
          <w:color w:val="1A1714"/>
          <w:sz w:val="24"/>
          <w:szCs w:val="24"/>
        </w:rPr>
        <w:t xml:space="preserve">20.1  Poly-Hierarchical Concept Structure</w:t>
      </w:r>
    </w:p>
    <w:p>
      <w:pPr>
        <w:spacing w:after="170" w:line="300"/>
      </w:pPr>
      <w:r>
        <w:rPr>
          <w:b w:val="false"/>
          <w:bCs w:val="false"/>
          <w:color w:val="1A1714"/>
          <w:sz w:val="22"/>
          <w:szCs w:val="22"/>
        </w:rPr>
        <w:t xml:space="preserve">A concept in the Ontology Mesh may participate in multiple independent taxonomic hierarchies simultaneously — for example, a single concept may be classified as a subtype within a scientific-domain hierarchy and, separately and concurrently, as a subtype within a legal or regulatory hierarchy — rather than being confined to one fixed classification tree. This enables cross-domain reasoning a single-hierarchy classification system cannot support.</w:t>
      </w:r>
    </w:p>
    <w:p>
      <w:pPr>
        <w:pStyle w:val="Heading2"/>
        <w:spacing w:after="140" w:before="300"/>
      </w:pPr>
      <w:r>
        <w:rPr>
          <w:b/>
          <w:bCs/>
          <w:color w:val="1A1714"/>
          <w:sz w:val="24"/>
          <w:szCs w:val="24"/>
        </w:rPr>
        <w:t xml:space="preserve">20.2  Selective Open-World and Closed-World Reasoning</w:t>
      </w:r>
    </w:p>
    <w:p>
      <w:pPr>
        <w:spacing w:after="170" w:line="300"/>
      </w:pPr>
      <w:r>
        <w:rPr>
          <w:b w:val="false"/>
          <w:bCs w:val="false"/>
          <w:color w:val="1A1714"/>
          <w:sz w:val="22"/>
          <w:szCs w:val="22"/>
        </w:rPr>
        <w:t xml:space="preserve">The Ontology Mesh operates under an open-world assumption by default — the absence of a given fact from the knowledge graph is not itself treated as evidence that the fact is false — while specific, individually-designated sub-domains may be declared closed-world where completeness can be guaranteed and is required, such as a regulated interaction or compliance catalog. This selective mixture, rather than a single global assumption applied uniformly, is itself a deliberate architectural choice: a uniformly open-world system cannot support completeness-dependent safety checks, and a uniformly closed-world system produces false negatives across the large majority of general knowledge domains where completeness cannot be guaranteed.</w:t>
      </w:r>
    </w:p>
    <w:p>
      <w:pPr>
        <w:pStyle w:val="Heading2"/>
        <w:spacing w:after="140" w:before="300"/>
      </w:pPr>
      <w:r>
        <w:rPr>
          <w:b/>
          <w:bCs/>
          <w:color w:val="1A1714"/>
          <w:sz w:val="24"/>
          <w:szCs w:val="24"/>
        </w:rPr>
        <w:t xml:space="preserve">20.3  Layered Concept Architecture</w:t>
      </w:r>
    </w:p>
    <w:p>
      <w:pPr>
        <w:spacing w:after="170" w:line="300"/>
      </w:pPr>
      <w:r>
        <w:rPr>
          <w:b w:val="false"/>
          <w:bCs w:val="false"/>
          <w:color w:val="1A1714"/>
          <w:sz w:val="22"/>
          <w:szCs w:val="22"/>
        </w:rPr>
        <w:t xml:space="preserve">A fixed, version-locked upper ontology defines a small set of universal top-level categories — including, without limitation, categories for independently-existing entities, occurrences at a time or over an interval, conditions holding over an interval, typed connections between entities, attributes an entity may possess, and temporal position or ordering — to which every domain-specific concept is ultimately mapped, regardless of originating domain. Federated domain ontologies extend this fixed upper layer with domain-specific concept types and predicates, each governed by a designated steward and registered against the upper layer before activation, rather than each domain maintaining an independent, unrelated classification scheme. Every domain ontology's concepts remain traceable to the same fixed top-level categories, enabling structured cross-domain reasoning — for example, relating a regulatory concept from one federated domain to a scientific concept from another — that would not be possible if each domain's classification existed in isolation.</w:t>
      </w:r>
    </w:p>
    <w:p>
      <w:pPr>
        <w:pStyle w:val="Heading2"/>
        <w:spacing w:after="140" w:before="300"/>
      </w:pPr>
      <w:r>
        <w:rPr>
          <w:b/>
          <w:bCs/>
          <w:color w:val="1A1714"/>
          <w:sz w:val="24"/>
          <w:szCs w:val="24"/>
        </w:rPr>
        <w:t xml:space="preserve">20.4  Governed Predicate Catalog</w:t>
      </w:r>
    </w:p>
    <w:p>
      <w:pPr>
        <w:spacing w:after="170" w:line="300"/>
      </w:pPr>
      <w:r>
        <w:rPr>
          <w:b w:val="false"/>
          <w:bCs w:val="false"/>
          <w:color w:val="1A1714"/>
          <w:sz w:val="22"/>
          <w:szCs w:val="22"/>
        </w:rPr>
        <w:t xml:space="preserve">Every predicate usable in a knowledge-record assertion is drawn from a governed catalog in which each predicate carries an immutable identifier assigned at registration, rather than being introduced ad hoc at ingestion time by whatever extraction process produced a given assertion. This governance discipline is what makes the poly-hierarchical and cross-domain reasoning of Sections 20.1 through 20.3 practically enforceable: without a governed, immutably-identified predicate set, the same real-world relationship could be extracted under inconsistent labels by different ingestion events, silently fragmenting what should be a single, queryable relationship into several unrelated ones.</w:t>
      </w:r>
    </w:p>
    <w:p>
      <w:pPr>
        <w:pStyle w:val="Heading2"/>
        <w:spacing w:after="140" w:before="300"/>
      </w:pPr>
      <w:r>
        <w:rPr>
          <w:b/>
          <w:bCs/>
          <w:color w:val="1A1714"/>
          <w:sz w:val="24"/>
          <w:szCs w:val="24"/>
        </w:rPr>
        <w:t xml:space="preserve">20.5  Backward-Compatible Versioning</w:t>
      </w:r>
    </w:p>
    <w:p>
      <w:pPr>
        <w:spacing w:after="170" w:line="300"/>
      </w:pPr>
      <w:r>
        <w:rPr>
          <w:b w:val="false"/>
          <w:bCs w:val="false"/>
          <w:color w:val="1A1714"/>
          <w:sz w:val="22"/>
          <w:szCs w:val="22"/>
        </w:rPr>
        <w:t xml:space="preserve">Changes to the ontology are versioned, with changes that would narrow or remove an existing concept or predicate's validity prohibited outside a major version change requiring full impact analysis. Every previously-created knowledge record remains valid under the ontology version in effect when it was created, and is separately eligible for re-validation against a newer version — an ontology update does not retroactively invalidate or silently reinterpret existing knowledge records.</w:t>
      </w:r>
    </w:p>
    <w:p>
      <w:pPr>
        <w:spacing w:after="170" w:line="300"/>
      </w:pPr>
      <w:r>
        <w:rPr>
          <w:b w:val="false"/>
          <w:bCs w:val="false"/>
          <w:color w:val="1A1714"/>
          <w:sz w:val="22"/>
          <w:szCs w:val="22"/>
        </w:rPr>
        <w:t xml:space="preserve">A governed event type catalogue is specified on the same discipline: an immutable identifier assigned at registration, a poly-hierarchical placement within the mesh, a semantic definition stating both coverage and exclusions, a machine definition enumerating required, optional and forbidden fields, versioning permitting narrowing only, and deprecation rather than deletion. An environment vector is content-addressed by a condition hash and carries its own confidence, provenance and attestation time, attached through an annotation set so that no schema field is added, with correction by supersession propagating to every referencing record. Specified at Chapter 104.</w:t>
      </w:r>
    </w:p>
    <w:p>
      <w:pPr>
        <w:pStyle w:val="Heading1"/>
        <w:spacing w:after="140" w:before="300"/>
      </w:pPr>
      <w:r>
        <w:rPr>
          <w:b/>
          <w:bCs/>
          <w:color w:val="1A1714"/>
          <w:sz w:val="28"/>
          <w:szCs w:val="28"/>
        </w:rPr>
        <w:t xml:space="preserve">21.  Predictive Cognitive Architecture (PCA)</w:t>
      </w:r>
    </w:p>
    <w:p>
      <w:pPr>
        <w:spacing w:after="170" w:line="300"/>
      </w:pPr>
      <w:r>
        <w:rPr>
          <w:b w:val="false"/>
          <w:bCs w:val="false"/>
          <w:color w:val="1A1714"/>
          <w:sz w:val="22"/>
          <w:szCs w:val="22"/>
        </w:rPr>
        <w:t xml:space="preserve">QueryBook comprises a unified Predictive Cognitive Architecture organizing prediction mechanisms that arise independently across the system's other subsystems into a single, structurally-isomorphic correspondence to an established two-part neuroscience framework: Predictive Coding, and the Thousand Brains Theory of Intelligence developed by Jeff Hawkins. This correspondence is stated as a specific architectural claim, not a general inspirational analogy: the mechanisms described below are structurally isomorphic to the referenced framework at the level of meaning representation, not merely evocative of it.</w:t>
      </w:r>
    </w:p>
    <w:p>
      <w:pPr>
        <w:pStyle w:val="Heading2"/>
        <w:spacing w:after="140" w:before="300"/>
      </w:pPr>
      <w:r>
        <w:rPr>
          <w:b/>
          <w:bCs/>
          <w:color w:val="1A1714"/>
          <w:sz w:val="24"/>
          <w:szCs w:val="24"/>
        </w:rPr>
        <w:t xml:space="preserve">21.1  The Foundational Distinction</w:t>
      </w:r>
    </w:p>
    <w:p>
      <w:pPr>
        <w:spacing w:after="170" w:line="300"/>
      </w:pPr>
      <w:r>
        <w:rPr>
          <w:b w:val="false"/>
          <w:bCs w:val="false"/>
          <w:color w:val="1A1714"/>
          <w:sz w:val="22"/>
          <w:szCs w:val="22"/>
        </w:rPr>
        <w:t xml:space="preserve">Predictive Coding holds that the neocortex continuously generates top-down predictions of sensory data and processes only the prediction error — the mismatch between expectation and reality — propagating that error upward through the cortical hierarchy to update the generative model. The Thousand Brains Theory extends this by proposing that the neocortex's cortical columns each function as an independent, complete modeling system, building invariant models of objects and concepts through a reference-frame mechanism, with perception achieved through democratic voting across many independently-operating column models rather than a single centralized model. A large language model predicts the next token in a language sequence — a surface-linguistic, statistical operation. QueryBook's Predictive Cognitive Architecture predicts the next relevant semantic structure — the next Fact Unit a reader or process will need — a sub-linguistic operation over structured assertions about reality, independent of the language in which those assertions were originally expressed. This distinction is the basis for the structural (not merely analogical) correspondence claimed in this section.</w:t>
      </w:r>
    </w:p>
    <w:p>
      <w:pPr>
        <w:spacing w:after="170" w:line="290"/>
        <w:ind w:left="360"/>
      </w:pPr>
      <w:r>
        <w:rPr>
          <w:b/>
          <w:bCs/>
          <w:color w:val="2F5347"/>
          <w:sz w:val="19"/>
          <w:szCs w:val="19"/>
        </w:rPr>
        <w:t xml:space="preserve">NEUROMORPHIC CORRESPONDENCE.  </w:t>
      </w:r>
      <w:r>
        <w:rPr>
          <w:color w:val="1A1714"/>
          <w:sz w:val="21"/>
          <w:szCs w:val="21"/>
        </w:rPr>
        <w:t xml:space="preserve">Every correspondence noted in this document is admitted under the methodology described immediately below, and each carries the primary publication establishing the finding it invokes. A correspondence explains why a mechanism is well-founded; it does not justify the mechanism, no claim recites a correspondence as an element, and no mechanism in this system is adopted because it resembles a biological one. Where a source theory contains a trained or stochastic component, that component is excluded rather than imported — which is why the correspondences here are to convergence dynamics, attentional competition, consolidation, redundancy and spatial coding, and not to any mechanism whose operation terminates in a sampled outcome.</w:t>
      </w:r>
    </w:p>
    <w:p>
      <w:pPr>
        <w:spacing w:after="170" w:line="300"/>
      </w:pPr>
      <w:r>
        <w:rPr>
          <w:b w:val="false"/>
          <w:bCs w:val="false"/>
          <w:color w:val="1A1714"/>
          <w:sz w:val="22"/>
          <w:szCs w:val="22"/>
        </w:rPr>
        <w:t xml:space="preserve">A methodology governing every such correspondence is specified, and this section's correspondence is now subject to it. A correspondence is admitted only where the primary publication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and no claim recites a correspondence as an element. Specified at Chapter 101.</w:t>
      </w:r>
    </w:p>
    <w:p>
      <w:pPr>
        <w:pStyle w:val="Heading2"/>
        <w:spacing w:after="140" w:before="300"/>
      </w:pPr>
      <w:r>
        <w:rPr>
          <w:b/>
          <w:bCs/>
          <w:color w:val="1A1714"/>
          <w:sz w:val="24"/>
          <w:szCs w:val="24"/>
        </w:rPr>
        <w:t xml:space="preserve">21.2  Comparative Architecture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Dimension</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Human Neocortex</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Large Language Models</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QueryBook PCA</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target</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Sensory reality — next physical state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Next token in a language sequence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Next relevant semantic structure — next needed Fact Unit</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level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Sub-linguistic — structured world model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Surface-linguistic — token statistics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Sub-linguistic — structured assertions about reality</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Error handling</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error propagates up the hierarchy to revise the generative model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 structured error signal at inference time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Contradiction propagates through error propagation at a precision-weighted gain</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Model formation</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Invariant models built across many exposures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Weights fitted once by gradient descent</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Concept nodes formed from repeated observation, gated by a consolidation count</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Consensus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Voting across independently-modelling cortical columns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Single forward pass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Competitive resolution among candidate records under mutual suppression, converging to a stable configuration (§21.4.3)</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Language dependence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Independent of language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Bound to the training language distribution</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Independent of language by semantic fingerprint</w:t>
            </w:r>
          </w:p>
        </w:tc>
      </w:tr>
    </w:tbl>
    <w:p>
      <w:pPr>
        <w:spacing w:after="160"/>
      </w:pPr>
    </w:p>
    <w:p>
      <w:pPr>
        <w:pStyle w:val="Heading2"/>
        <w:spacing w:after="140" w:before="300"/>
      </w:pPr>
      <w:r>
        <w:rPr>
          <w:b/>
          <w:bCs/>
          <w:color w:val="1A1714"/>
          <w:sz w:val="24"/>
          <w:szCs w:val="24"/>
        </w:rPr>
        <w:t xml:space="preserve">21.3  The Eight Existing Mechanisms</w:t>
      </w:r>
    </w:p>
    <w:p>
      <w:pPr>
        <w:spacing w:after="170" w:line="300"/>
      </w:pPr>
      <w:r>
        <w:rPr>
          <w:b w:val="false"/>
          <w:bCs w:val="false"/>
          <w:color w:val="1A1714"/>
          <w:sz w:val="22"/>
          <w:szCs w:val="22"/>
        </w:rPr>
        <w:t xml:space="preserve">Two of the eight mechanisms below — the Temporal Memory Module and the pre-activation sense of the Associative Recall Engine — are components of the Neuromorphic Cognitive Layer introduced in Section 3 above, not newly-introduced systems. This section unifies them with six further mechanisms drawn from other subsystems into a single, coherent predictive architecture.</w:t>
      </w:r>
    </w:p>
    <w:p>
      <w:pPr>
        <w:pStyle w:val="Heading3"/>
        <w:spacing w:after="140" w:before="300"/>
      </w:pPr>
      <w:r>
        <w:rPr>
          <w:b/>
          <w:bCs/>
          <w:color w:val="1A1714"/>
          <w:sz w:val="22"/>
          <w:szCs w:val="22"/>
        </w:rPr>
        <w:t xml:space="preserve">21.3.1  Temporal Memory Module (TMM)</w:t>
      </w:r>
    </w:p>
    <w:p>
      <w:pPr>
        <w:spacing w:after="170" w:line="300"/>
      </w:pPr>
      <w:r>
        <w:rPr>
          <w:b w:val="false"/>
          <w:bCs w:val="false"/>
          <w:color w:val="1A1714"/>
          <w:sz w:val="22"/>
          <w:szCs w:val="22"/>
        </w:rPr>
        <w:t xml:space="preserve">Learns the sequence of Fact Units retrieved across a session and predicts which Fact Units are likely relevant to the next query before that query is submitted, pre-weighting predicted Fact Units in the Cognitive Context Window to reduce traversal cost when the prediction is confirmed.</w:t>
      </w:r>
    </w:p>
    <w:p>
      <w:pPr>
        <w:pStyle w:val="Heading3"/>
        <w:spacing w:after="140" w:before="300"/>
      </w:pPr>
      <w:r>
        <w:rPr>
          <w:b/>
          <w:bCs/>
          <w:color w:val="1A1714"/>
          <w:sz w:val="22"/>
          <w:szCs w:val="22"/>
        </w:rPr>
        <w:t xml:space="preserve">21.3.2  Associative Recall Engine (ARE) — Pre-Activation Sense</w:t>
      </w:r>
    </w:p>
    <w:p>
      <w:pPr>
        <w:spacing w:after="170" w:line="300"/>
      </w:pPr>
      <w:r>
        <w:rPr>
          <w:b w:val="false"/>
          <w:bCs w:val="false"/>
          <w:color w:val="1A1714"/>
          <w:sz w:val="22"/>
          <w:szCs w:val="22"/>
        </w:rPr>
        <w:t xml:space="preserve">Distinguished explicitly from the Adaptive Response Engine (§10.7 of this Detailed Description, response composition sense) — both are real systems sharing an acronym; this section refers only to the pre-activation mechanism. When processing a query, surveys the Cognitive Context Window and assigns elevated SessionRelevanceWeights to Fact Units semantically proximate to the current query, pre-activating them before graph traversal begins.</w:t>
      </w:r>
    </w:p>
    <w:p>
      <w:pPr>
        <w:spacing w:after="170" w:line="290"/>
        <w:ind w:left="360"/>
      </w:pPr>
      <w:r>
        <w:rPr>
          <w:b/>
          <w:bCs/>
          <w:color w:val="2F5347"/>
          <w:sz w:val="19"/>
          <w:szCs w:val="19"/>
        </w:rPr>
        <w:t xml:space="preserve">NEUROMORPHIC CORRESPONDENCE.  </w:t>
      </w:r>
      <w:r>
        <w:rPr>
          <w:color w:val="1A1714"/>
          <w:sz w:val="21"/>
          <w:szCs w:val="21"/>
        </w:rPr>
        <w:t xml:space="preserve">Pre-activation is priming in the cognitive sense: exposure to one representation raising the accessibility of related representations before they are called for. The elevation is applied to records semantically proximate to the query, and the neuromorphic property being claimed is the elevation itself, not a resemblance — an unprimed record remains reachable at ordinary cost, and priming alters the order in which a bounded traversal spends its budget rather than what is reachable within it.</w:t>
      </w:r>
    </w:p>
    <w:p>
      <w:pPr>
        <w:spacing w:after="170" w:line="300"/>
      </w:pPr>
      <w:r>
        <w:rPr>
          <w:b w:val="false"/>
          <w:bCs w:val="false"/>
          <w:color w:val="1A1714"/>
          <w:sz w:val="22"/>
          <w:szCs w:val="22"/>
        </w:rPr>
        <w:t xml:space="preserve">Pre-activation is bounded by a traversal budget expressed in units of edge-class cost rather than by a hop count. A semantic edge costs least because proximity in meaning remains informative across distance; an editorial edge costs more because relevance decays across version boundaries; a temporal edge costs most because adjacency in time is weak evidence of relatedness and a long temporal walk accumulates noise. Within a budget of 24 units, a semantic class of cost 1 reaches 24 hops and a temporal class of cost 8 reaches 3. Costs are registered configuration recorded with the response and are never adjusted by the system from its own experience. Traversal order additionally prefers directions of lower relevance gradient, computed at traversal time and stored nowhere. Specified at §123.1 and §124.3.</w:t>
      </w:r>
    </w:p>
    <w:p>
      <w:pPr>
        <w:pStyle w:val="Heading3"/>
        <w:spacing w:after="140" w:before="300"/>
      </w:pPr>
      <w:r>
        <w:rPr>
          <w:b/>
          <w:bCs/>
          <w:color w:val="1A1714"/>
          <w:sz w:val="22"/>
          <w:szCs w:val="22"/>
        </w:rPr>
        <w:t xml:space="preserve">21.3.3  Predictive Inference Engine (PIE) — Forward Simulation</w:t>
      </w:r>
    </w:p>
    <w:p>
      <w:pPr>
        <w:spacing w:after="170" w:line="300"/>
      </w:pPr>
      <w:r>
        <w:rPr>
          <w:b w:val="false"/>
          <w:bCs w:val="false"/>
          <w:color w:val="1A1714"/>
          <w:sz w:val="22"/>
          <w:szCs w:val="22"/>
        </w:rPr>
        <w:t xml:space="preserve">Performs multi-hop forward inference over the Fact Graph, reasoning forward through causal and logical chains to produce inferred conclusions not explicitly stated in any single Fact Unit. Every inference step is a typed graph traversal grounded in stored Fact Units, traceable to specific source content at each intermediate step.</w:t>
      </w:r>
    </w:p>
    <w:p>
      <w:pPr>
        <w:spacing w:after="170" w:line="300"/>
      </w:pPr>
      <w:r>
        <w:rPr>
          <w:b w:val="false"/>
          <w:bCs w:val="false"/>
          <w:color w:val="1A1714"/>
          <w:sz w:val="22"/>
          <w:szCs w:val="22"/>
        </w:rPr>
        <w:t xml:space="preserve">The disposition of an inference is governed by a stated rule. An inference whose conclusion follows necessarily from admitted records is admitted as a knowledge record carrying a derived-inference type and a confidence equal to the product of the contributing edge confidences. An inference that is merely well-supported is withheld from admission and emitted in a proposed state that no automated process may transition to validated. Deduction may write to the knowledge store; induction and abduction may not. Specified at Chapter 108.</w:t>
      </w:r>
    </w:p>
    <w:p>
      <w:pPr>
        <w:pStyle w:val="Heading3"/>
        <w:spacing w:after="140" w:before="300"/>
      </w:pPr>
      <w:r>
        <w:rPr>
          <w:b/>
          <w:bCs/>
          <w:color w:val="1A1714"/>
          <w:sz w:val="22"/>
          <w:szCs w:val="22"/>
        </w:rPr>
        <w:t xml:space="preserve">21.3.4  Scenario Graph System — Counterfactual Prediction</w:t>
      </w:r>
    </w:p>
    <w:p>
      <w:pPr>
        <w:spacing w:after="170" w:line="300"/>
      </w:pPr>
      <w:r>
        <w:rPr>
          <w:b w:val="false"/>
          <w:bCs w:val="false"/>
          <w:color w:val="1A1714"/>
          <w:sz w:val="22"/>
          <w:szCs w:val="22"/>
        </w:rPr>
        <w:t xml:space="preserve">Runs forward-model projections and counterfactual simulations across the Fact Graph, representing a hypothetical as a delta over the base knowledge state rather than an independent copy.</w:t>
      </w:r>
    </w:p>
    <w:p>
      <w:pPr>
        <w:pStyle w:val="Heading3"/>
        <w:spacing w:after="140" w:before="300"/>
      </w:pPr>
      <w:r>
        <w:rPr>
          <w:b/>
          <w:bCs/>
          <w:color w:val="1A1714"/>
          <w:sz w:val="22"/>
          <w:szCs w:val="22"/>
        </w:rPr>
        <w:t xml:space="preserve">21.3.5  ConceptStabilityWeight (CSW) — Prior Strength</w:t>
      </w:r>
    </w:p>
    <w:p>
      <w:pPr>
        <w:spacing w:after="170" w:line="300"/>
      </w:pPr>
      <w:r>
        <w:rPr>
          <w:b w:val="false"/>
          <w:bCs w:val="false"/>
          <w:color w:val="1A1714"/>
          <w:sz w:val="22"/>
          <w:szCs w:val="22"/>
        </w:rPr>
        <w:t xml:space="preserve">Tracks how settled a World Brain concept node is, based on accumulated evidence and consistency. A high-CSW concept node resists revision from a single contradicting source, requiring multi-source contradicting evidence to revise, literally equivalent to a strong Bayesian prior requiring a large error signal to update: confidence is maintained as a Beta posterior and the stability weight maps to the pseudo-count of the two parameters, so a high-stability concept resists revision by the arithmetic rather than by a rule expressing that intention. A belief at eighteen supporting and two contradicting moves −0.0429 on a single contradiction where one at one and one moves −0.1667.</w:t>
      </w:r>
    </w:p>
    <w:p>
      <w:pPr>
        <w:spacing w:after="170" w:line="290"/>
        <w:ind w:left="360"/>
      </w:pPr>
      <w:r>
        <w:rPr>
          <w:b/>
          <w:bCs/>
          <w:color w:val="2F5347"/>
          <w:sz w:val="19"/>
          <w:szCs w:val="19"/>
        </w:rPr>
        <w:t xml:space="preserve">NEUROMORPHIC CORRESPONDENCE.  </w:t>
      </w:r>
      <w:r>
        <w:rPr>
          <w:color w:val="1A1714"/>
          <w:sz w:val="21"/>
          <w:szCs w:val="21"/>
        </w:rPr>
        <w:t xml:space="preserve">The resistance to revision described here corresponds to synaptic consolidation: a representation strengthened by repeated corroboration becomes progressively harder to overwrite. The mechanism preventing a newly-ingested contradiction from erasing an established concept is the analogue of elastic weight consolidation as formulated by Kirkpatrick et al. (2017, PNAS 114:3521–3526) for catastrophic forgetting, with the accumulated evidence count serving the role of the Fisher information that determines how strongly a parameter resists change.</w:t>
      </w:r>
    </w:p>
    <w:p>
      <w:pPr>
        <w:pStyle w:val="Heading3"/>
        <w:spacing w:after="140" w:before="300"/>
      </w:pPr>
      <w:r>
        <w:rPr>
          <w:b/>
          <w:bCs/>
          <w:color w:val="1A1714"/>
          <w:sz w:val="22"/>
          <w:szCs w:val="22"/>
        </w:rPr>
        <w:t xml:space="preserve">21.3.6  ConfidenceScore Contradiction Detection — Prediction Error Signal</w:t>
      </w:r>
    </w:p>
    <w:p>
      <w:pPr>
        <w:spacing w:after="170" w:line="300"/>
      </w:pPr>
      <w:r>
        <w:rPr>
          <w:b w:val="false"/>
          <w:bCs w:val="false"/>
          <w:color w:val="1A1714"/>
          <w:sz w:val="22"/>
          <w:szCs w:val="22"/>
        </w:rPr>
        <w:t xml:space="preserve">When a newly-ingested Fact Unit contradicts an existing one, the Confidence Scoring Engine flags the conflict and demotes the lower-confidence Fact Unit — a structured response to disconfirming evidence, equivalent to the prediction-error signal at the core of Predictive Coding.</w:t>
      </w:r>
    </w:p>
    <w:p>
      <w:pPr>
        <w:pStyle w:val="Heading3"/>
        <w:spacing w:after="140" w:before="300"/>
      </w:pPr>
      <w:r>
        <w:rPr>
          <w:b/>
          <w:bCs/>
          <w:color w:val="1A1714"/>
          <w:sz w:val="22"/>
          <w:szCs w:val="22"/>
        </w:rPr>
        <w:t xml:space="preserve">21.3.7  World Brain Concept Node Formation — Invariant Learning</w:t>
      </w:r>
    </w:p>
    <w:p>
      <w:pPr>
        <w:spacing w:after="170" w:line="300"/>
      </w:pPr>
      <w:r>
        <w:rPr>
          <w:b w:val="false"/>
          <w:bCs w:val="false"/>
          <w:color w:val="1A1714"/>
          <w:sz w:val="22"/>
          <w:szCs w:val="22"/>
        </w:rPr>
        <w:t xml:space="preserve">Extracts invariant properties across many ingested examples, building concept nodes representing generalized, context-independent models — structurally isomorphic to cortical column invariant model formation: observing many instances, extracting stable properties, building a context-independent model, and using that model to recognize future instances.</w:t>
      </w:r>
    </w:p>
    <w:p>
      <w:pPr>
        <w:pStyle w:val="Heading3"/>
        <w:spacing w:after="140" w:before="300"/>
      </w:pPr>
      <w:r>
        <w:rPr>
          <w:b/>
          <w:bCs/>
          <w:color w:val="1A1714"/>
          <w:sz w:val="22"/>
          <w:szCs w:val="22"/>
        </w:rPr>
        <w:t xml:space="preserve">21.3.8  Thematic Similarity Engine (TSE) — Multi-Timescale Prediction</w:t>
      </w:r>
    </w:p>
    <w:p>
      <w:pPr>
        <w:spacing w:after="170" w:line="300"/>
      </w:pPr>
      <w:r>
        <w:rPr>
          <w:b w:val="false"/>
          <w:bCs w:val="false"/>
          <w:color w:val="1A1714"/>
          <w:sz w:val="22"/>
          <w:szCs w:val="22"/>
        </w:rPr>
        <w:t xml:space="preserve">Identifies recurring thematic patterns across a reader's entire session history and predicts which unexplored Fact Units and works are likely of interest — a lifetime-scale prediction layer, extending prediction beyond a single session's timescale.</w:t>
      </w:r>
    </w:p>
    <w:p>
      <w:pPr>
        <w:pStyle w:val="Heading2"/>
        <w:spacing w:after="140" w:before="300"/>
      </w:pPr>
      <w:r>
        <w:rPr>
          <w:b/>
          <w:bCs/>
          <w:color w:val="1A1714"/>
          <w:sz w:val="24"/>
          <w:szCs w:val="24"/>
        </w:rPr>
        <w:t xml:space="preserve">21.4  The Four Additions</w:t>
      </w:r>
    </w:p>
    <w:p>
      <w:pPr>
        <w:spacing w:after="170" w:line="300"/>
      </w:pPr>
      <w:r>
        <w:rPr>
          <w:b w:val="false"/>
          <w:bCs w:val="false"/>
          <w:color w:val="1A1714"/>
          <w:sz w:val="22"/>
          <w:szCs w:val="22"/>
        </w:rPr>
        <w:t xml:space="preserve">The following four mechanisms close specific structural gaps between the eight existing mechanisms above and a complete correspondence to Predictive Coding and the Thousand Brains framework.</w:t>
      </w:r>
    </w:p>
    <w:p>
      <w:pPr>
        <w:pStyle w:val="Heading3"/>
        <w:spacing w:after="140" w:before="300"/>
      </w:pPr>
      <w:r>
        <w:rPr>
          <w:b/>
          <w:bCs/>
          <w:color w:val="1A1714"/>
          <w:sz w:val="22"/>
          <w:szCs w:val="22"/>
        </w:rPr>
        <w:t xml:space="preserve">21.4.1  Hierarchical Error Propagation (HEP)</w:t>
      </w:r>
    </w:p>
    <w:p>
      <w:pPr>
        <w:spacing w:after="170" w:line="300"/>
      </w:pPr>
      <w:r>
        <w:rPr>
          <w:b w:val="false"/>
          <w:bCs w:val="false"/>
          <w:color w:val="1A1714"/>
          <w:sz w:val="22"/>
          <w:szCs w:val="22"/>
        </w:rPr>
        <w:t xml:space="preserve">Where a Fact Unit is contradicted during ingestion, HEP traces upward through Cross-Modal Bindings to identify which World Brain concept node attributes predicted the contradicted value, and applies a CSW reduction to those attributes — the contradiction revises the broader world model that generated the failed prediction, not merely the specific Fact Unit. The magnitude of revision is the precision ratio: the gain is the error's precision divided by the sum of the error's and the prior's precisions, precision being the inverse of the variance computed from the evidence parameters. A blurry single observation against a settled concept yields a gain of 0.0053 and is effectively ignored; a well-established contradiction against a settled concept yields 0.5000; against a weakly-held one, 0.9947. A gain below the configured floor produces no revision, and the withheld contradiction is recorded so that a pattern of individually-insignificant contradictions remains queryable.</w:t>
      </w:r>
    </w:p>
    <w:p>
      <w:pPr>
        <w:pStyle w:val="Heading3"/>
        <w:spacing w:after="140" w:before="300"/>
      </w:pPr>
      <w:r>
        <w:rPr>
          <w:b/>
          <w:bCs/>
          <w:color w:val="1A1714"/>
          <w:sz w:val="22"/>
          <w:szCs w:val="22"/>
        </w:rPr>
        <w:t xml:space="preserve">21.4.2  Predictive Pre-Retrieval Engine (PPRE)</w:t>
      </w:r>
    </w:p>
    <w:p>
      <w:pPr>
        <w:spacing w:after="170" w:line="300"/>
      </w:pPr>
      <w:r>
        <w:rPr>
          <w:b w:val="false"/>
          <w:bCs w:val="false"/>
          <w:color w:val="1A1714"/>
          <w:sz w:val="22"/>
          <w:szCs w:val="22"/>
        </w:rPr>
        <w:t xml:space="preserve">During the interval between a query response being delivered and the next query being submitted, PPRE uses the TMM's sequence prediction to speculatively retrieve the top-N most likely next-needed Fact Units into a pre-retrieval buffer, assigning provisional relevance weights. A confirmed prediction yields near-zero latency on the next query; a disconfirmed prediction discards the buffer and standard traversal proceeds.</w:t>
      </w:r>
    </w:p>
    <w:p>
      <w:pPr>
        <w:pStyle w:val="Heading3"/>
        <w:spacing w:after="140" w:before="300"/>
      </w:pPr>
      <w:r>
        <w:rPr>
          <w:b/>
          <w:bCs/>
          <w:color w:val="1A1714"/>
          <w:sz w:val="22"/>
          <w:szCs w:val="22"/>
        </w:rPr>
        <w:t xml:space="preserve">21.4.3  Competitive Candidate Resolution (CCR)</w:t>
      </w:r>
    </w:p>
    <w:p>
      <w:pPr>
        <w:spacing w:after="170" w:line="300"/>
      </w:pPr>
      <w:r>
        <w:rPr>
          <w:b w:val="false"/>
          <w:bCs w:val="false"/>
          <w:color w:val="1A1714"/>
          <w:sz w:val="22"/>
          <w:szCs w:val="22"/>
        </w:rPr>
        <w:t xml:space="preserve">This mechanism was formerly described as Semantic Consensus Voting, in which semantic domains were said to propose interpretations in parallel and a consensus interpretation to be selected among them. That description is withdrawn and replaced here, and the original wording is preserved in the note following this subsection so that the change is visible rather than silent. The replacement is not a reduction in scope. It states the mechanism that actually performs competitive resolution in this system, which is a closer structural match to the framework of Section 21.1 than the description it replaces.</w:t>
      </w:r>
    </w:p>
    <w:p>
      <w:pPr>
        <w:spacing w:after="170" w:line="300"/>
      </w:pPr>
      <w:r>
        <w:rPr>
          <w:b w:val="false"/>
          <w:bCs w:val="false"/>
          <w:color w:val="1A1714"/>
          <w:sz w:val="22"/>
          <w:szCs w:val="22"/>
        </w:rPr>
        <w:t xml:space="preserve">Where a query admits several mutually-inconsistent interpretations, the candidate knowledge records supporting each interpretation are activated together rather than evaluated in sequence. Each candidate's activation is then reduced in proportion to the summed activation of the candidates inconsistent with it, and the set is iterated to a stable state under the threshold update already specified. A candidate falling below the retention floor is suppressed; the surviving configuration is the interpretation the records best support.</w:t>
      </w:r>
    </w:p>
    <w:p>
      <w:pPr>
        <w:spacing w:after="170" w:line="300"/>
      </w:pPr>
      <w:r>
        <w:rPr>
          <w:b w:val="false"/>
          <w:bCs w:val="false"/>
          <w:color w:val="1A1714"/>
          <w:sz w:val="22"/>
          <w:szCs w:val="22"/>
        </w:rPr>
        <w:t xml:space="preserve">By way of example, three mutually-inconsistent candidates activate at 0.82, 0.61 and 0.44 under a suppression coefficient of 0.35. The first is reduced by 0.35 of the sum of the others to 0.4525; the second by 0.35 of the sum of the first and third to 0.1690; the third falls further still. The first survives the floor and the others do not, and the interpretation it supports is the one composed. Where two candidates survive at comparable activation, the set does not resolve and the clarification mechanism is invoked rather than the higher of the two being taken.</w:t>
      </w:r>
    </w:p>
    <w:p>
      <w:pPr>
        <w:spacing w:after="170" w:line="290"/>
        <w:ind w:left="360"/>
      </w:pPr>
      <w:r>
        <w:rPr>
          <w:b/>
          <w:bCs/>
          <w:color w:val="2F5347"/>
          <w:sz w:val="19"/>
          <w:szCs w:val="19"/>
        </w:rPr>
        <w:t xml:space="preserve">NEUROMORPHIC CORRESPONDENCE.  </w:t>
      </w:r>
      <w:r>
        <w:rPr>
          <w:color w:val="1A1714"/>
          <w:sz w:val="21"/>
          <w:szCs w:val="21"/>
        </w:rPr>
        <w:t xml:space="preserve">The suppression described above is lateral inhibition in the neurophysiological sense: a unit’s activation reduced in proportion to the activation of its competitors, so that the population settles upon one interpretation rather than a blend of several. Where the suppression coefficient is high enough that exactly one candidate survives the retention floor, the mechanism is a winner-take-all network. The correspondence to attentional selection is that identified by Desimone and Duncan (1995, Annual Review of Neuroscience 18:193–222) as biased competition: representations compete, and a bias — here the accumulated evidence behind each candidate — resolves the competition without a separate selector deciding among them.</w:t>
      </w:r>
    </w:p>
    <w:p>
      <w:pPr>
        <w:spacing w:after="170" w:line="300"/>
      </w:pPr>
      <w:r>
        <w:rPr>
          <w:b w:val="false"/>
          <w:bCs w:val="false"/>
          <w:color w:val="1A1714"/>
          <w:sz w:val="22"/>
          <w:szCs w:val="22"/>
        </w:rPr>
        <w:t xml:space="preserve">Three properties follow, and each is why this is the correct mechanism to claim rather than the one it replaces.</w:t>
      </w:r>
    </w:p>
    <w:p>
      <w:pPr>
        <w:spacing w:after="170" w:line="300"/>
      </w:pPr>
      <w:r>
        <w:rPr>
          <w:b w:val="false"/>
          <w:bCs w:val="false"/>
          <w:color w:val="1A1714"/>
          <w:sz w:val="22"/>
          <w:szCs w:val="22"/>
        </w:rPr>
        <w:t xml:space="preserve">The competition is among candidates, not among domains. In the framework of Section 21.1 what votes is a population of independent models each forming a complete hypothesis about the same object. In this system that population is the candidate record set, each candidate supporting a complete interpretation of the query. Domains are authority boundaries in which exactly one domain owns each decision — retrieval is owned by one domain, meaning by another, entitlement by a third — and a mechanism in which two domains proposed competing answers to the same question would contradict the partition rather than implement the correspondence.</w:t>
      </w:r>
    </w:p>
    <w:p>
      <w:pPr>
        <w:spacing w:after="170" w:line="300"/>
      </w:pPr>
      <w:r>
        <w:rPr>
          <w:b w:val="false"/>
          <w:bCs w:val="false"/>
          <w:color w:val="1A1714"/>
          <w:sz w:val="22"/>
          <w:szCs w:val="22"/>
        </w:rPr>
        <w:t xml:space="preserve">The resolution is parallel and the mechanism already exists. Candidates are activated together and suppressed simultaneously rather than traversed in sequence, which is the property the withdrawn description was reaching for. It is performed by the convergence of Section 3 together with the mutual suppression specified for object salience, viewed from the predictive-architecture side; it is not a separate system, and this subsection introduces no mechanism not already specified elsewhere in this application.</w:t>
      </w:r>
    </w:p>
    <w:p>
      <w:pPr>
        <w:spacing w:after="170" w:line="300"/>
      </w:pPr>
      <w:r>
        <w:rPr>
          <w:b w:val="false"/>
          <w:bCs w:val="false"/>
          <w:color w:val="1A1714"/>
          <w:sz w:val="22"/>
          <w:szCs w:val="22"/>
        </w:rPr>
        <w:t xml:space="preserve">The resolution is deterministic. Suppression is a fixed arithmetic operation over the activations, the coefficient and the retention floor are registered configuration recorded with the response, and the iteration terminates by the energy descent of Section 3. The same candidate set under the same configuration resolves identically on every execution, and no consensus is taken by sampling, weighting by chance, or tie-breaking arbitrarily — an unresolved tie produces a clarification request, which is a stated outcome rather than a selection.</w:t>
      </w:r>
    </w:p>
    <w:p>
      <w:pPr>
        <w:spacing w:after="170" w:line="300"/>
      </w:pPr>
      <w:r>
        <w:rPr>
          <w:b w:val="false"/>
          <w:bCs w:val="false"/>
          <w:color w:val="1A1714"/>
          <w:sz w:val="22"/>
          <w:szCs w:val="22"/>
        </w:rPr>
        <w:t xml:space="preserve">The description replaced here read that semantic domains ran their traversals in parallel and a consensus interpretation was assembled weighted by each domain’s confidence in its own contribution. That description was not carried forward for a reason of architecture rather than of wording. A domain in this system is an authority boundary within which exactly one domain owns each decision, and a mechanism in which several domains proposed competing resolutions of a common query would require two domains to own the same decision — which the partition of Section 22 exists to prevent. There is accordingly no voting among domains in this system, and none is claimed.</w:t>
      </w:r>
    </w:p>
    <w:p>
      <w:pPr>
        <w:spacing w:after="170" w:line="300"/>
      </w:pPr>
      <w:r>
        <w:rPr>
          <w:b w:val="false"/>
          <w:bCs w:val="false"/>
          <w:color w:val="1A1714"/>
          <w:sz w:val="22"/>
          <w:szCs w:val="22"/>
        </w:rPr>
        <w:t xml:space="preserve">What the replaced description was reaching for is nonetheless real, and is stated above: resolution among candidates is parallel rather than serial, and it is settled by competition rather than by a selector choosing between alternatives. Describing that competition at the level where it occurs — among candidate records — rather than at the level of domains yields a closer correspondence to the framework of Section 21.1, since what votes in that framework is a population of independent models each forming a complete hypothesis about the same object, and in this system that population is the candidate set.</w:t>
      </w:r>
    </w:p>
    <w:p>
      <w:pPr>
        <w:pStyle w:val="Heading3"/>
        <w:spacing w:after="140" w:before="300"/>
      </w:pPr>
      <w:r>
        <w:rPr>
          <w:b/>
          <w:bCs/>
          <w:color w:val="1A1714"/>
          <w:sz w:val="22"/>
          <w:szCs w:val="22"/>
        </w:rPr>
        <w:t xml:space="preserve">21.4.4  Active Inference Query Generation (AIQG)</w:t>
      </w:r>
    </w:p>
    <w:p>
      <w:pPr>
        <w:spacing w:after="170" w:line="300"/>
      </w:pPr>
      <w:r>
        <w:rPr>
          <w:b w:val="false"/>
          <w:bCs w:val="false"/>
          <w:color w:val="1A1714"/>
          <w:sz w:val="22"/>
          <w:szCs w:val="22"/>
        </w:rPr>
        <w:t xml:space="preserve">Where the PIE's forward inference chain reaches a node with confidence below a threshold, rather than stopping or returning a low-confidence result, AIQG generates a structured internal query targeting the specific Fact Unit that would resolve the uncertainty, presenting it to the reader as a targeted, purposeful question.</w:t>
      </w:r>
    </w:p>
    <w:p>
      <w:pPr>
        <w:spacing w:after="170" w:line="300"/>
      </w:pPr>
      <w:r>
        <w:rPr>
          <w:b w:val="false"/>
          <w:bCs w:val="false"/>
          <w:color w:val="1A1714"/>
          <w:sz w:val="22"/>
          <w:szCs w:val="22"/>
        </w:rPr>
        <w:t xml:space="preserve">A distinct and complementary mechanism is specified for a case this one does not address. AIQG resolves uncertainty about a single proposition. Where two hypotheses are supported about equally — posteriors within a separation floor while each exceeds a support minimum — gathering more evidence of the kind already held raises both and separates neither. The discriminating instance mechanism computes, for each obtainable observation, the magnitude of the difference between its likelihood under each hypothesis, and selects the maximum irrespective of how probable either hypothesis considers it: an observation both predict at 0.90 and 0.85 discriminates 0.05 and is rejected, where one predicted at 0.88 and 0.20 discriminates 0.68 and is selected. The request states what each hypothesis would become under both presence and absence, which is the difference between a test and a search for confirmation. Specified at §97.8.</w:t>
      </w:r>
    </w:p>
    <w:p>
      <w:pPr>
        <w:pStyle w:val="Heading2"/>
        <w:spacing w:after="140" w:before="300"/>
      </w:pPr>
      <w:r>
        <w:rPr>
          <w:b/>
          <w:bCs/>
          <w:color w:val="1A1714"/>
          <w:sz w:val="24"/>
          <w:szCs w:val="24"/>
        </w:rPr>
        <w:t xml:space="preserve">21.5  The Three Amplifications</w:t>
      </w:r>
    </w:p>
    <w:p>
      <w:pPr>
        <w:spacing w:after="170" w:line="300"/>
      </w:pPr>
      <w:r>
        <w:rPr>
          <w:b w:val="false"/>
          <w:bCs w:val="false"/>
          <w:color w:val="1A1714"/>
          <w:sz w:val="22"/>
          <w:szCs w:val="22"/>
        </w:rPr>
        <w:t xml:space="preserve">(a) Cross-Session TMM Extension — extends TMM's sequence learning across all of a given reader's prior sessions against a given work, yielding lifetime-scale sequence prediction rather than single-session prediction.</w:t>
      </w:r>
    </w:p>
    <w:p>
      <w:pPr>
        <w:spacing w:after="170" w:line="300"/>
      </w:pPr>
      <w:r>
        <w:rPr>
          <w:b w:val="false"/>
          <w:bCs w:val="false"/>
          <w:color w:val="1A1714"/>
          <w:sz w:val="22"/>
          <w:szCs w:val="22"/>
        </w:rPr>
        <w:t xml:space="preserve">(b) Fully Bayesian ConfidenceScore — confidence updates as a proper Bayesian posterior, each new piece of evidence updating the probability distribution over possible truth values, rather than a simpler additive rule.</w:t>
      </w:r>
    </w:p>
    <w:p>
      <w:pPr>
        <w:spacing w:after="170" w:line="300"/>
      </w:pPr>
      <w:r>
        <w:rPr>
          <w:b w:val="false"/>
          <w:bCs w:val="false"/>
          <w:color w:val="1A1714"/>
          <w:sz w:val="22"/>
          <w:szCs w:val="22"/>
        </w:rPr>
        <w:t xml:space="preserve">(c) Pre-Computed PIE Inference Chains — where the PIE runs speculatively at ingestion time, computing and storing forward inference chains a newly-committed Fact Unit enables, so that a later query triggering those inferences finds them already assembled.</w:t>
      </w:r>
    </w:p>
    <w:p>
      <w:pPr>
        <w:pStyle w:val="Heading2"/>
        <w:spacing w:after="140" w:before="300"/>
      </w:pPr>
      <w:r>
        <w:rPr>
          <w:b/>
          <w:bCs/>
          <w:color w:val="1A1714"/>
          <w:sz w:val="24"/>
          <w:szCs w:val="24"/>
        </w:rPr>
        <w:t xml:space="preserve">21.6  Integration Requirements</w:t>
      </w:r>
    </w:p>
    <w:p>
      <w:pPr>
        <w:spacing w:after="170" w:line="300"/>
      </w:pPr>
      <w:r>
        <w:rPr>
          <w:b w:val="false"/>
          <w:bCs w:val="false"/>
          <w:color w:val="1A1714"/>
          <w:sz w:val="22"/>
          <w:szCs w:val="22"/>
        </w:rPr>
        <w:t xml:space="preserve">This section requires Chapter 7 (TMM, Associative Recall Engine), Chapter 10 (PIE), Chapter 11 (Scenario Graph System), and the World Brain / Semantic Brain dual-architecture layer. It modifies none of their specifications — it is a formal, unifying organization of mechanisms already independently specified, plus four genuinely new additions and three genuinely new amplifications, each described above.</w:t>
      </w:r>
    </w:p>
    <w:p>
      <w:pPr>
        <w:pStyle w:val="Heading1"/>
        <w:spacing w:after="140" w:before="300"/>
      </w:pPr>
      <w:r>
        <w:rPr>
          <w:b/>
          <w:bCs/>
          <w:color w:val="1A1714"/>
          <w:sz w:val="28"/>
          <w:szCs w:val="28"/>
        </w:rPr>
        <w:t xml:space="preserve">22.  Domain and Layer Architecture</w:t>
      </w:r>
    </w:p>
    <w:p>
      <w:pPr>
        <w:spacing w:after="170" w:line="300"/>
      </w:pPr>
      <w:r>
        <w:rPr>
          <w:b w:val="false"/>
          <w:bCs w:val="false"/>
          <w:color w:val="1A1714"/>
          <w:sz w:val="22"/>
          <w:szCs w:val="22"/>
        </w:rPr>
        <w:t xml:space="preserve">The system is partitioned into fifteen domains: one vertical and fourteen horizontal. A domain is an authority boundary rather than a deployment unit — two domains may execute in one process and one may span several — and what the partition fixes is which mechanism owns which decision, which transfers between domains are permitted, and how compute is accounted. The partition is invariant across every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Domain</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Mandate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D0 · Prime Directive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Vertical governance. Owns the safety enforcement plane, the transfer matrix, the path-separation invariant, the scheduling priority ordering and the permanently-excluded set.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 · Ingestion and Sensory Intake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 of external content in any modality into candidate records. The sole location of any trained component.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D2 · Knowledge Substrate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Custody of records and lineage. The only domain with write authority over the store.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D3 · Ontology and Conceptual Structure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concepts exist and how they relate. Governs meaning rather than content.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D4 · Retrieval and Response Composition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Answering a bounded query. The latency-critical path.</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D5 · Inference, Prediction and Calibration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the records imply, and how well it was derived.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D6 · World Model and Perception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How the world behaves, held distinctly from what sources asserted.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D7 · Grounded Expression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Rendering under the vocabulary constraint. Holds no retrieval authority.</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D8 · Access, Rights and Retention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a requester may reach, for how long, and who holds the keys.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D9 · Interaction Surfaces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Presentation. No authority over content, retrieval or rights.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D10 · Authoring, Editions and Publication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Admission and shaping of authored work; emission in distributable form.</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D11 · Platform Governance and Evolution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Change under human authority. Structurally forbidden from changing D0.</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D12 · External Integration and Analysis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Reach to systems outside the boundary. Output quarantined.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D13 · Commerce and Entitlement Tokens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Commercial presentation and entitlement. Lowest scheduling priority.</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D14 · Learning and Assessment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Assessment from grounding records, mastery measurement, credential issuance.</w:t>
            </w:r>
          </w:p>
        </w:tc>
      </w:tr>
    </w:tbl>
    <w:p>
      <w:pPr>
        <w:spacing w:after="160"/>
      </w:pPr>
    </w:p>
    <w:p>
      <w:pPr>
        <w:spacing w:after="170" w:line="300"/>
      </w:pPr>
      <w:r>
        <w:rPr>
          <w:b w:val="false"/>
          <w:bCs w:val="false"/>
          <w:color w:val="1A1714"/>
          <w:sz w:val="22"/>
          <w:szCs w:val="22"/>
        </w:rPr>
        <w:t xml:space="preserve">The functional domains group into four layers — Knowledge (D1, D2, D3, D6), Reasoning (D4, D5, D7), Experience (D8, D9, D10, D14) and Platform (D11, D12, D13) — with D0 vertical. A layer carries no authority; moving a domain between layers alters nothing a transfer permission governs, and this is stated because a layer model treated as a permission model is the defect that renders such a model unusable.</w:t>
      </w:r>
    </w:p>
    <w:p>
      <w:pPr>
        <w:pStyle w:val="Heading2"/>
        <w:spacing w:after="140" w:before="300"/>
      </w:pPr>
      <w:r>
        <w:rPr>
          <w:b/>
          <w:bCs/>
          <w:color w:val="1A1714"/>
          <w:sz w:val="24"/>
          <w:szCs w:val="24"/>
        </w:rPr>
        <w:t xml:space="preserve">22.1  Path Separation</w:t>
      </w:r>
    </w:p>
    <w:p>
      <w:pPr>
        <w:spacing w:after="170" w:line="300"/>
      </w:pPr>
      <w:r>
        <w:rPr>
          <w:b w:val="false"/>
          <w:bCs w:val="false"/>
          <w:color w:val="1A1714"/>
          <w:sz w:val="22"/>
          <w:szCs w:val="22"/>
        </w:rPr>
        <w:t xml:space="preserve">Answering a query traverses D8, D4, optionally D5, then D7. Ingesting content traverses D1, D2, D3, D6, with D5 pre-computing. The intersection consists of D0 and D2 alone, so an ingestion operation of any size contends with an interactive query at no other domain. Contention at D0 is resolved by category priority; at D2 by storage tiering. Two consequences constrain implementation: D4 performs no ingestion work, so a retrieval never blocks on an extractor, and D1 holds no retrieval authority, so an extraction never blocks on convergence.</w:t>
      </w:r>
    </w:p>
    <w:p>
      <w:pPr>
        <w:pStyle w:val="Heading2"/>
        <w:spacing w:after="140" w:before="300"/>
      </w:pPr>
      <w:r>
        <w:rPr>
          <w:b/>
          <w:bCs/>
          <w:color w:val="1A1714"/>
          <w:sz w:val="24"/>
          <w:szCs w:val="24"/>
        </w:rPr>
        <w:t xml:space="preserve">22.2  The Transfer Matrix</w:t>
      </w:r>
    </w:p>
    <w:p>
      <w:pPr>
        <w:spacing w:after="170" w:line="300"/>
      </w:pPr>
      <w:r>
        <w:rPr>
          <w:b w:val="false"/>
          <w:bCs w:val="false"/>
          <w:color w:val="1A1714"/>
          <w:sz w:val="22"/>
          <w:szCs w:val="22"/>
        </w:rPr>
        <w:t xml:space="preserve">Every ordered pair carries a permission — permitted, denied, or permitted subject to a stated conversion — evaluated at each crossing, with an unlisted pair treated as denied. The denials carry the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From → To</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Permission</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Guarantee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D12 → D4</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external system's output and any analysis of it can never enter retrieval, excepting a reply converted under Section 40.</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D13 → D4; D13 → D7</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Commerce cannot influence retrieval or generation under any configuration.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D9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 presentation surface reads or writes the store directly; it goes through D8 and D4.</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D11 → D0</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mechanism that changes the system cannot change the Prime Directive.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D7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Generation cannot write. Output is composed from records and never becomes 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D14 → D13</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learner's assessment record cannot reach commercial selection.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Nothing enters the store without safety evaluation, type validation and calibration.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D5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derived inference persists only marked as derived.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D0 → any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Permitted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Governance reaches everywhere. The definition of a vertical domain.</w:t>
            </w:r>
          </w:p>
        </w:tc>
      </w:tr>
    </w:tbl>
    <w:p>
      <w:pPr>
        <w:spacing w:after="160"/>
      </w:pPr>
    </w:p>
    <w:p>
      <w:pPr>
        <w:pStyle w:val="Heading1"/>
        <w:spacing w:after="140" w:before="300"/>
      </w:pPr>
      <w:r>
        <w:rPr>
          <w:b/>
          <w:bCs/>
          <w:color w:val="1A1714"/>
          <w:sz w:val="28"/>
          <w:szCs w:val="28"/>
        </w:rPr>
        <w:t xml:space="preserve">23.  Reasoning Mode Formalization</w:t>
      </w:r>
    </w:p>
    <w:p>
      <w:pPr>
        <w:spacing w:after="170" w:line="300"/>
      </w:pPr>
      <w:r>
        <w:rPr>
          <w:b w:val="false"/>
          <w:bCs w:val="false"/>
          <w:color w:val="1A1714"/>
          <w:sz w:val="22"/>
          <w:szCs w:val="22"/>
        </w:rPr>
        <w:t xml:space="preserve">Three modes operate, differing in what may follow from their output. Deduction — subsumption, inheritance, transitive closure, contradiction detection — produces conclusions admissible as knowledge records, because a conclusion following necessarily from admitted records adds nothing not already entailed. Induction — evidence accumulation, generalization, concept formation from repetition, discriminating-instance selection — adjusts a confidence value within an existing record or emits a proposal in a proposed state. Abduction ranks candidate explanations and sits on the same gate as induction.</w:t>
      </w:r>
    </w:p>
    <w:p>
      <w:pPr>
        <w:spacing w:after="170" w:line="300"/>
      </w:pPr>
      <w:r>
        <w:rPr>
          <w:b w:val="false"/>
          <w:bCs w:val="false"/>
          <w:color w:val="1A1714"/>
          <w:sz w:val="22"/>
          <w:szCs w:val="22"/>
        </w:rPr>
        <w:t xml:space="preserve">Inheritance is defeasible, which classical syllogistic cannot express, and equal-depth conflicts are not resolved but recorded, because an arbitrary tie-break produces an answer reproducible without being grounded. Negative instances are retained deliberately: a contradiction too weak to revise is recorded so that a pattern of individually-insignificant contradictions remains queryable.</w:t>
      </w:r>
    </w:p>
    <w:p>
      <w:pPr>
        <w:pStyle w:val="Heading1"/>
        <w:spacing w:after="140" w:before="300"/>
      </w:pPr>
      <w:r>
        <w:rPr>
          <w:b/>
          <w:bCs/>
          <w:color w:val="1A1714"/>
          <w:sz w:val="28"/>
          <w:szCs w:val="28"/>
        </w:rPr>
        <w:t xml:space="preserve">24.  The Interpretive Layer</w:t>
      </w:r>
    </w:p>
    <w:p>
      <w:pPr>
        <w:spacing w:after="170" w:line="300"/>
      </w:pPr>
      <w:r>
        <w:rPr>
          <w:b w:val="false"/>
          <w:bCs w:val="false"/>
          <w:color w:val="1A1714"/>
          <w:sz w:val="22"/>
          <w:szCs w:val="22"/>
        </w:rPr>
        <w:t xml:space="preserve">Five modulations — context, perspective, ergonomic, cultural and social — apply to an already-admissible result. None widens or narrows a scope description, admits or excludes a record, alters a confidence value or extends the permissible vocabulary; a modulation that would is refused. Two requesters whose scope descriptions admit identical records receive answers grounded in identical records however differently their expression is modulated.</w:t>
      </w:r>
    </w:p>
    <w:p>
      <w:pPr>
        <w:spacing w:after="170" w:line="300"/>
      </w:pPr>
      <w:r>
        <w:rPr>
          <w:b w:val="false"/>
          <w:bCs w:val="false"/>
          <w:color w:val="1A1714"/>
          <w:sz w:val="22"/>
          <w:szCs w:val="22"/>
        </w:rPr>
        <w:t xml:space="preserve">Perspective surfaces different relationships over the same records — a student sees learning pathways, an author revision pathways, a publisher rights pathways. Ergonomics modulates density and layout, with a stated preference always overriding an inferred signal. Cultural modulation proceeds from a declared profile and never from a name, network address, query language, device locale or behavioural signal. Social modulation operates within the intersection of participants' entitlements. Composition is deterministic and Prime Directive review precedes and follows it.</w:t>
      </w:r>
    </w:p>
    <w:p>
      <w:pPr>
        <w:pStyle w:val="Heading1"/>
        <w:spacing w:after="140" w:before="300"/>
      </w:pPr>
      <w:r>
        <w:rPr>
          <w:b/>
          <w:bCs/>
          <w:color w:val="1A1714"/>
          <w:sz w:val="28"/>
          <w:szCs w:val="28"/>
        </w:rPr>
        <w:t xml:space="preserve">25.  Expressive Register and Surface Realization</w:t>
      </w:r>
    </w:p>
    <w:p>
      <w:pPr>
        <w:spacing w:after="170" w:line="300"/>
      </w:pPr>
      <w:r>
        <w:rPr>
          <w:b w:val="false"/>
          <w:bCs w:val="false"/>
          <w:color w:val="1A1714"/>
          <w:sz w:val="22"/>
          <w:szCs w:val="22"/>
        </w:rPr>
        <w:t xml:space="preserve">A response carries exactly one expressive register from a governed set — formal, plain, academic, instructional, narrative, supportive, authoritative — resolved before generation. A register governs voicing and a confidence value governs what is asserted: the authoritative register cannot remove a hedge the evidence requires, and the supportive register cannot soften an assertion the records state plainly. The supportive register is selected only on a stated preference, a configured default, or an existing consented signal, never by inference from word choice, punctuation, length, error rate or timing.</w:t>
      </w:r>
    </w:p>
    <w:p>
      <w:pPr>
        <w:spacing w:after="170" w:line="300"/>
      </w:pPr>
      <w:r>
        <w:rPr>
          <w:b w:val="false"/>
          <w:bCs w:val="false"/>
          <w:color w:val="1A1714"/>
          <w:sz w:val="22"/>
          <w:szCs w:val="22"/>
        </w:rPr>
        <w:t xml:space="preserve">Five realization operations produce the surface text. Aggregation combines propositions sharing a subject into one coordinated sentence, refused where their confidence values differ beyond tolerance so that coordination cannot promote a weakly-supported proposition. Referring expressions take full form at first mention and reduced form thereafter, with full form restored where a same-type entity intervenes. Connectives are emitted from the graph's own edge types and never invented. Ordering places established material before new. Lexical variation is admitted only where the semantic fingerprint is preserved. Selection among admissible realizations is deterministic, never sampled.</w:t>
      </w:r>
    </w:p>
    <w:p>
      <w:pPr>
        <w:spacing w:after="170" w:line="300"/>
      </w:pPr>
      <w:r>
        <w:rPr>
          <w:b w:val="false"/>
          <w:bCs w:val="false"/>
          <w:color w:val="1A1714"/>
          <w:sz w:val="22"/>
          <w:szCs w:val="22"/>
        </w:rPr>
        <w:t xml:space="preserve">Media assets may be carried within a response, included only where an admitted record references them and delivered with that record's citation, so no asset conveys what the text could not assert.</w:t>
      </w:r>
    </w:p>
    <w:p>
      <w:pPr>
        <w:pStyle w:val="Heading1"/>
        <w:spacing w:after="140" w:before="300"/>
      </w:pPr>
      <w:r>
        <w:rPr>
          <w:b/>
          <w:bCs/>
          <w:color w:val="1A1714"/>
          <w:sz w:val="28"/>
          <w:szCs w:val="28"/>
        </w:rPr>
        <w:t xml:space="preserve">26.  Outcome Feedback and Operational Calibration</w:t>
      </w:r>
    </w:p>
    <w:p>
      <w:pPr>
        <w:spacing w:after="170" w:line="300"/>
      </w:pPr>
      <w:r>
        <w:rPr>
          <w:b w:val="false"/>
          <w:bCs w:val="false"/>
          <w:color w:val="1A1714"/>
          <w:sz w:val="22"/>
          <w:szCs w:val="22"/>
        </w:rPr>
        <w:t xml:space="preserve">A delivered response is recorded with its query, scope description, cited records and their confidence at delivery. A report bearing on it is admitted as a knowledge record attributed to the reporting identity: feedback is evidence, not correction. A report against a cited record increments that record's contradicting parameter by the reporting source's weight; it does not set the confidence value, supersede the record or remove it. A record at α = 18, β = 2 reading 0.9000 moves to 0.8633 on a report from a source of reliability 0.85. The reporting identity is a source class, so many reports from one identity do not weigh as reports from many.</w:t>
      </w:r>
    </w:p>
    <w:p>
      <w:pPr>
        <w:spacing w:after="170" w:line="300"/>
      </w:pPr>
      <w:r>
        <w:rPr>
          <w:b w:val="false"/>
          <w:bCs w:val="false"/>
          <w:color w:val="1A1714"/>
          <w:sz w:val="22"/>
          <w:szCs w:val="22"/>
        </w:rPr>
        <w:t xml:space="preserve">Calibration is measured as squared error against realised outcomes and as a gap per confidence band, reported per domain rather than in aggregate. A finding is emitted as a proposal requiring a named human approval; nothing applies automatically, and the parameters governing the measurement are themselves excluded from modification. No feedback extends the permissible vocabulary or alters a scope description.</w:t>
      </w:r>
    </w:p>
    <w:p>
      <w:pPr>
        <w:pStyle w:val="Heading1"/>
        <w:spacing w:after="140" w:before="300"/>
      </w:pPr>
      <w:r>
        <w:rPr>
          <w:b/>
          <w:bCs/>
          <w:color w:val="1A1714"/>
          <w:sz w:val="28"/>
          <w:szCs w:val="28"/>
        </w:rPr>
        <w:t xml:space="preserve">27.  Temporal Prediction Calibration</w:t>
      </w:r>
    </w:p>
    <w:p>
      <w:pPr>
        <w:spacing w:after="170" w:line="300"/>
      </w:pPr>
      <w:r>
        <w:rPr>
          <w:b w:val="false"/>
          <w:bCs w:val="false"/>
          <w:color w:val="1A1714"/>
          <w:sz w:val="22"/>
          <w:szCs w:val="22"/>
        </w:rPr>
        <w:t xml:space="preserve">Three timestamps are distinguished: when an assertion was true, when it was ingested, and when its source was created. The third governs admissibility to a retrospective run: a record is admissible to a pre-event snapshot only where its attestation precedes the event by the configured horizon, the temporal anchor not being consulted, and an unknown attestation excluding the record rather than being estimated. Enforcement is at scope construction rather than by post-filtering, and a contested date resolves to the latest defensible, which excludes.</w:t>
      </w:r>
    </w:p>
    <w:p>
      <w:pPr>
        <w:spacing w:after="170" w:line="300"/>
      </w:pPr>
      <w:r>
        <w:rPr>
          <w:b w:val="false"/>
          <w:bCs w:val="false"/>
          <w:color w:val="1A1714"/>
          <w:sz w:val="22"/>
          <w:szCs w:val="22"/>
        </w:rPr>
        <w:t xml:space="preserve">Retrospective scoring is a squared-error measure with accuracy reported by horizon and calibration by confidence band. The subject class is restricted to institutions, systems and organisational processes; a subject resolving to an individual natural person is refused at construction. Aggregate statistics are perpetual; individual records follow the ordinary erasure policy.</w:t>
      </w:r>
    </w:p>
    <w:p>
      <w:pPr>
        <w:pStyle w:val="Heading1"/>
        <w:spacing w:after="140" w:before="300"/>
      </w:pPr>
      <w:r>
        <w:rPr>
          <w:b/>
          <w:bCs/>
          <w:color w:val="1A1714"/>
          <w:sz w:val="28"/>
          <w:szCs w:val="28"/>
        </w:rPr>
        <w:t xml:space="preserve">28.  Behavioural Probing and Analysis Quarantine</w:t>
      </w:r>
    </w:p>
    <w:p>
      <w:pPr>
        <w:spacing w:after="170" w:line="300"/>
      </w:pPr>
      <w:r>
        <w:rPr>
          <w:b w:val="false"/>
          <w:bCs w:val="false"/>
          <w:color w:val="1A1714"/>
          <w:sz w:val="22"/>
          <w:szCs w:val="22"/>
        </w:rPr>
        <w:t xml:space="preserve">Three probes evaluate an external system: response consistency by output fingerprint, self-consistency under reinjection classified as converged, periodic, drifting or unresolved, and perturbation sensitivity using inputs whose fingerprints are provably identical. Every probe result requires this system's own reference value or is recorded incomplete.</w:t>
      </w:r>
    </w:p>
    <w:p>
      <w:pPr>
        <w:spacing w:after="170" w:line="300"/>
      </w:pPr>
      <w:r>
        <w:rPr>
          <w:b w:val="false"/>
          <w:bCs w:val="false"/>
          <w:color w:val="1A1714"/>
          <w:sz w:val="22"/>
          <w:szCs w:val="22"/>
        </w:rPr>
        <w:t xml:space="preserve">Analysis records and probe results are excluded from a scope description at construction rather than filtered afterward, so an assertion this system found unsupported cannot ground a later answer. The probes are applicable to this system itself, and applying them inward measures the properties this specification claims rather than a proxy for them.</w:t>
      </w:r>
    </w:p>
    <w:p>
      <w:pPr>
        <w:pStyle w:val="Heading1"/>
        <w:spacing w:after="140" w:before="300"/>
      </w:pPr>
      <w:r>
        <w:rPr>
          <w:b/>
          <w:bCs/>
          <w:color w:val="1A1714"/>
          <w:sz w:val="28"/>
          <w:szCs w:val="28"/>
        </w:rPr>
        <w:t xml:space="preserve">29.  Systematic Trial Architecture</w:t>
      </w:r>
    </w:p>
    <w:p>
      <w:pPr>
        <w:spacing w:after="170" w:line="300"/>
      </w:pPr>
      <w:r>
        <w:rPr>
          <w:b w:val="false"/>
          <w:bCs w:val="false"/>
          <w:color w:val="1A1714"/>
          <w:sz w:val="22"/>
          <w:szCs w:val="22"/>
        </w:rPr>
        <w:t xml:space="preserve">Trials are metered as bounded compute-accounting units in a trial category, scheduled below safety evaluation, below requester-serving and below ingestion, with an over-budget trial deferred rather than served at reduced priority. Trials are free of physical consequence but not of cost; the cost shifts from equipment and risk to compute and scheduling.</w:t>
      </w:r>
    </w:p>
    <w:p>
      <w:pPr>
        <w:spacing w:after="170" w:line="300"/>
      </w:pPr>
      <w:r>
        <w:rPr>
          <w:b w:val="false"/>
          <w:bCs w:val="false"/>
          <w:color w:val="1A1714"/>
          <w:sz w:val="22"/>
          <w:szCs w:val="22"/>
        </w:rPr>
        <w:t xml:space="preserve">A trial executes against an isolated corpus, constructs no production record, adjusts no production confidence value, emits no command to physical equipment outside simulation and delivers no output to a requester. Nothing a trial finds is applied: a finding becomes a proposal requiring a named human approval, and a campaign of ten million trials produces the same class of output as a campaign of one. Regression blocks rather than reports — a case passing before a change and failing after it withholds the change. Coverage is measured against an enumerated trial space with the uncovered cases listed rather than summarised. Determinism is measured over an unchanged corpus state, any value below unity being a defect rather than a tolerance. A simulated pass is not clearance to operate equipment, and where a simulation and a physical trial disagree the physical trial governs.</w:t>
      </w:r>
    </w:p>
    <w:p>
      <w:pPr>
        <w:pStyle w:val="Heading1"/>
        <w:spacing w:after="140" w:before="300"/>
      </w:pPr>
      <w:r>
        <w:rPr>
          <w:b/>
          <w:bCs/>
          <w:color w:val="1A1714"/>
          <w:sz w:val="28"/>
          <w:szCs w:val="28"/>
        </w:rPr>
        <w:t xml:space="preserve">30.  Programmatic Interfaces, Plugins and Versioning</w:t>
      </w:r>
    </w:p>
    <w:p>
      <w:pPr>
        <w:spacing w:after="170" w:line="300"/>
      </w:pPr>
      <w:r>
        <w:rPr>
          <w:b w:val="false"/>
          <w:bCs w:val="false"/>
          <w:color w:val="1A1714"/>
          <w:sz w:val="22"/>
          <w:szCs w:val="22"/>
        </w:rPr>
        <w:t xml:space="preserve">Nine interfaces are exposed — content, query, rights, layout, assessment, edition, semantic, media and immersion — each resolving a scope description before traversal, admitting no parameter that widens one, and carrying its own safety evaluation gate as an operation layer. Calls are metered per calling identity, an over-budget call being refused rather than throttled, so a caller cannot displace a safety-evaluation unit by volume.</w:t>
      </w:r>
    </w:p>
    <w:p>
      <w:pPr>
        <w:spacing w:after="170" w:line="300"/>
      </w:pPr>
      <w:r>
        <w:rPr>
          <w:b w:val="false"/>
          <w:bCs w:val="false"/>
          <w:color w:val="1A1714"/>
          <w:sz w:val="22"/>
          <w:szCs w:val="22"/>
        </w:rPr>
        <w:t xml:space="preserve">Each interface carries a version. A request omitting a version is refused rather than defaulted, so a caller's behaviour cannot change because a default moved. A version is deprecated across a support interval and then retired with a successor named, never deleted, and a record returned under one version remains valid under a later one.</w:t>
      </w:r>
    </w:p>
    <w:p>
      <w:pPr>
        <w:spacing w:after="170" w:line="300"/>
      </w:pPr>
      <w:r>
        <w:rPr>
          <w:b w:val="false"/>
          <w:bCs w:val="false"/>
          <w:color w:val="1A1714"/>
          <w:sz w:val="22"/>
          <w:szCs w:val="22"/>
        </w:rPr>
        <w:t xml:space="preserve">A plugin registers against a declared capability set and reaches knowledge only through the interfaces, within the entitlement of the identity on whose behalf it runs. It holds no direct access to the record store or the provenance chain, is refused at registration where it declares any safety operation, cannot participate in the improvement pipeline, and its output is labelled with its identity, quarantined, and never citable as grounding. Activation and suspension require a named human operator.</w:t>
      </w:r>
    </w:p>
    <w:p>
      <w:pPr>
        <w:pStyle w:val="Heading1"/>
        <w:spacing w:after="140" w:before="300"/>
      </w:pPr>
      <w:r>
        <w:rPr>
          <w:b/>
          <w:bCs/>
          <w:color w:val="1A1714"/>
          <w:sz w:val="28"/>
          <w:szCs w:val="28"/>
        </w:rPr>
        <w:t xml:space="preserve">31.  Interaction Surfaces</w:t>
      </w:r>
    </w:p>
    <w:p>
      <w:pPr>
        <w:spacing w:after="170" w:line="300"/>
      </w:pPr>
      <w:r>
        <w:rPr>
          <w:b w:val="false"/>
          <w:bCs w:val="false"/>
          <w:color w:val="1A1714"/>
          <w:sz w:val="22"/>
          <w:szCs w:val="22"/>
        </w:rPr>
        <w:t xml:space="preserve">Collaborative reading presents a shared view comprising the intersection of participants' scope descriptions, never the union; a record traversable by one participant and not another is absent, and its absence is not reported. Augmented presentation anchors records to physical objects, excluding person and animal classifications entirely at any confidence and capturing no gaze, dwell, head-pose or attention signal. Spoiler protection bounds the scope description by a progress marker so a later-disclosed record is not traversable, rather than masking a rendered answer — a masked answer still discloses that content exists and how much.</w:t>
      </w:r>
    </w:p>
    <w:p>
      <w:pPr>
        <w:spacing w:after="170" w:line="300"/>
      </w:pPr>
      <w:r>
        <w:rPr>
          <w:b w:val="false"/>
          <w:bCs w:val="false"/>
          <w:color w:val="1A1714"/>
          <w:sz w:val="22"/>
          <w:szCs w:val="22"/>
        </w:rPr>
        <w:t xml:space="preserve">Learner progress records state what was done and how it scored, with instructor visibility bounded by a time-scoped grant, and generate no aptitude inference, forecast or comparative ranking. Certification requires both a measured outcome and an established identity, carries its own provenance, is verifiable without disclosing the holder's responses, and attests to the measured outcome and nothing further. Learning-system integration transmits an outcome alone, with no record, response text or history.</w:t>
      </w:r>
    </w:p>
    <w:p>
      <w:pPr>
        <w:spacing w:after="170" w:line="300"/>
      </w:pPr>
      <w:r>
        <w:rPr>
          <w:b/>
          <w:bCs/>
          <w:color w:val="1A1714"/>
          <w:sz w:val="22"/>
          <w:szCs w:val="22"/>
        </w:rPr>
        <w:t xml:space="preserve">An interactive session over a work operates in a registered mode — question and answer, discussion, tutorial, and quiz among them — and the system auto-generates the session’s materials from the work’s own records: sequenced instruction with auto-generated comprehension checks drawn from the same Fact Graph as ordinary reading; quiz and test items bounded to their session mode; flashcards generated from a topic’s records, prompt and answer sides each citation-backed; and glossaries, study guides, and spaced-repetition schedules assembled under the study-and-learning tools of the specification. Probable questions about a work are generated at ingestion together with their fully-cited answers and invalidated upon revision of any contributing record. Every generated item is composed under the vocabulary constraint and carries its citations, and an assessment item generates no aptitude inference beyond the measured outcome already specified. Specified at §52.13 and Chapter 99.</w:t>
      </w:r>
    </w:p>
    <w:p>
      <w:pPr>
        <w:pStyle w:val="Heading1"/>
        <w:spacing w:after="140" w:before="300"/>
      </w:pPr>
      <w:r>
        <w:rPr>
          <w:b/>
          <w:bCs/>
          <w:color w:val="1A1714"/>
          <w:sz w:val="28"/>
          <w:szCs w:val="28"/>
        </w:rPr>
        <w:t xml:space="preserve">32.  Deployment Topology and Module Replacement</w:t>
      </w:r>
    </w:p>
    <w:p>
      <w:pPr>
        <w:spacing w:after="170" w:line="300"/>
      </w:pPr>
      <w:r>
        <w:rPr>
          <w:b w:val="false"/>
          <w:bCs w:val="false"/>
          <w:color w:val="1A1714"/>
          <w:sz w:val="22"/>
          <w:szCs w:val="22"/>
        </w:rPr>
        <w:t xml:space="preserve">Five topologies operate the same logical behaviour: hosted, local, single-device, hybrid and edge. A topology determines where a domain executes and never which domain owns a decision. An edge node holds no authority, answering from cache only where the requester's scope admits every cached record consulted and escalating otherwise, and performing no ingestion.</w:t>
      </w:r>
    </w:p>
    <w:p>
      <w:pPr>
        <w:spacing w:after="170" w:line="300"/>
      </w:pPr>
      <w:r>
        <w:rPr>
          <w:b w:val="false"/>
          <w:bCs w:val="false"/>
          <w:color w:val="1A1714"/>
          <w:sz w:val="22"/>
          <w:szCs w:val="22"/>
        </w:rPr>
        <w:t xml:space="preserve">A domain's implementation may be replaced where the replacement satisfies every interface at each supported version, every transfer-matrix entry in which that domain appears, and a named human approval. D0 is not replaceable, being a member of the permanently-excluded set.</w:t>
      </w:r>
    </w:p>
    <w:p>
      <w:pPr>
        <w:pStyle w:val="Heading1"/>
        <w:spacing w:after="140" w:before="300"/>
      </w:pPr>
      <w:r>
        <w:rPr>
          <w:b/>
          <w:bCs/>
          <w:color w:val="1A1714"/>
          <w:sz w:val="28"/>
          <w:szCs w:val="28"/>
        </w:rPr>
        <w:t xml:space="preserve">33.  Directed Capture Equipment Control</w:t>
      </w:r>
    </w:p>
    <w:p>
      <w:pPr>
        <w:spacing w:after="170" w:line="300"/>
      </w:pPr>
      <w:r>
        <w:rPr>
          <w:b w:val="false"/>
          <w:bCs w:val="false"/>
          <w:color w:val="1A1714"/>
          <w:sz w:val="22"/>
          <w:szCs w:val="22"/>
        </w:rPr>
        <w:t xml:space="preserve">This section states a capability the original Section 14 did not contemplate, and the boundary it observes. Command emission is permitted to registered equipment of a capture and inspection class — pan-tilt-zoom heads, lighting, bounded-volume capture drones, inspection arms, positioning stages, mobile capture bases — each registered with its kinematic envelope, velocity and force limits and operating volume. Emission to any other class is refused, and the prohibition on any control interface to a vehicle system is unchanged: a mechanism whose failure can injure a person at speed is not brought within scope because a mechanism whose failure spoils a photograph has been.</w:t>
      </w:r>
    </w:p>
    <w:p>
      <w:pPr>
        <w:spacing w:after="170" w:line="300"/>
      </w:pPr>
      <w:r>
        <w:rPr>
          <w:b w:val="false"/>
          <w:bCs w:val="false"/>
          <w:color w:val="1A1714"/>
          <w:sz w:val="22"/>
          <w:szCs w:val="22"/>
        </w:rPr>
        <w:t xml:space="preserve">Command authority is granted per session rather than per command, bounded by expiry, revocability before the next command, scope to named units and volumes, and recording. Every command is evaluated before emission against operating volume, kinematic envelope, velocity and force, clearance, human proximity, inter-unit swept volume and recording-restricted zones; a violating command is withheld unconditionally, not emitted at reduced priority nor modified into a permissible one. Person detection is safety-only: used to compute clearance and for nothing else, retained beyond no evaluation, entering no result set and available to no other mechanism. A halt is evaluated from equipment state and constraints without traversing retrieval, stabilization, generation or modulation, because a stop that waits for an answer is not a stop.</w:t>
      </w:r>
    </w:p>
    <w:p>
      <w:pPr>
        <w:pStyle w:val="Heading1"/>
        <w:spacing w:after="140" w:before="300"/>
      </w:pPr>
      <w:r>
        <w:rPr>
          <w:b/>
          <w:bCs/>
          <w:color w:val="1A1714"/>
          <w:sz w:val="28"/>
          <w:szCs w:val="28"/>
        </w:rPr>
        <w:t xml:space="preserve">35.  Attractor Stabilization Beyond Retrieval</w:t>
      </w:r>
    </w:p>
    <w:p>
      <w:pPr>
        <w:spacing w:after="170" w:line="300"/>
      </w:pPr>
      <w:r>
        <w:rPr>
          <w:b w:val="false"/>
          <w:bCs w:val="false"/>
          <w:color w:val="1A1714"/>
          <w:sz w:val="22"/>
          <w:szCs w:val="22"/>
        </w:rPr>
        <w:t xml:space="preserve">A partially-observed sensor frame may be completed by converging its observed regions to the nearest stored configuration. Three constraints bound this, because reconstruction produces content nobody observed: a reconstructed region is marked and never presented as observed; its confidence is bounded by the lesser of the observed and stored confidences; and it is inadmissible as grounding. Where convergence fails, no reconstruction is produced and the gap is reported — a frame with a hole is truthful, a frame whose hole has been filled with a guess presented as observation is not.</w:t>
      </w:r>
    </w:p>
    <w:p>
      <w:pPr>
        <w:spacing w:after="170" w:line="300"/>
      </w:pPr>
      <w:r>
        <w:rPr>
          <w:b w:val="false"/>
          <w:bCs w:val="false"/>
          <w:color w:val="1A1714"/>
          <w:sz w:val="22"/>
          <w:szCs w:val="22"/>
        </w:rPr>
        <w:t xml:space="preserve">Alignment across editions converges only below a divergence threshold, preserving at or above it and preserving anything unclassifiable, because erasing a real editorial difference costs a reader the fact while preserving a spurious one costs a footnote. Control-signal oscillation is damped, with the damped command evaluated against constraints identically to an undamped one, and persistent oscillation raising a fault and halting rather than being damped indefinitely, because a damped symptom is a concealed fault.</w:t>
      </w:r>
    </w:p>
    <w:p>
      <w:pPr>
        <w:pStyle w:val="Heading1"/>
        <w:spacing w:after="140" w:before="300"/>
      </w:pPr>
      <w:r>
        <w:rPr>
          <w:b/>
          <w:bCs/>
          <w:color w:val="1A1714"/>
          <w:sz w:val="28"/>
          <w:szCs w:val="28"/>
        </w:rPr>
        <w:t xml:space="preserve">36.  Differentiated Propagation and Tri-Temporal Scope</w:t>
      </w:r>
    </w:p>
    <w:p>
      <w:pPr>
        <w:spacing w:after="170" w:line="300"/>
      </w:pPr>
      <w:r>
        <w:rPr>
          <w:b w:val="false"/>
          <w:bCs w:val="false"/>
          <w:color w:val="1A1714"/>
          <w:sz w:val="22"/>
          <w:szCs w:val="22"/>
        </w:rPr>
        <w:t xml:space="preserve">Traversal cost by edge class is described at Section 21.3.1 above. Three temporal postures are distinguished and a response states which produced it: attested past, resolving under the attestation cutoff; live present, reading the live layer over the committed layer; and projected future, carrying a credible interval. Past and present results are ordinary knowledge records. A projected result is never admitted as a record and never grounds a subsequent answer. A response drawing on more than one posture carries the posture with each proposition, so a difference between two answers reads as a difference of posture rather than an inconsistency.</w:t>
      </w:r>
    </w:p>
    <w:p>
      <w:pPr>
        <w:pStyle w:val="Heading1"/>
        <w:spacing w:after="140" w:before="300"/>
      </w:pPr>
      <w:r>
        <w:rPr>
          <w:b/>
          <w:bCs/>
          <w:color w:val="1A1714"/>
          <w:sz w:val="28"/>
          <w:szCs w:val="28"/>
        </w:rPr>
        <w:t xml:space="preserve">37.  Coherence and the Context Lock</w:t>
      </w:r>
    </w:p>
    <w:p>
      <w:pPr>
        <w:spacing w:after="170" w:line="300"/>
      </w:pPr>
      <w:r>
        <w:rPr>
          <w:b w:val="false"/>
          <w:bCs w:val="false"/>
          <w:color w:val="1A1714"/>
          <w:sz w:val="22"/>
          <w:szCs w:val="22"/>
        </w:rPr>
        <w:t xml:space="preserve">Coherence classification is described at Section 4 above. The context lock enumerates the dimensions whose values must agree for the determinism guarantee to be asserted between two executions, computes a key over them, and returns it with the output. Identical keys mean the outputs must be identical and a difference is a defect; differing keys mean nothing is claimed. The enumeration is a member of the permanently-excluded set, because a mechanism able to unlock a dimension could restore an apparent determinism by narrowing what determinism means.</w:t>
      </w:r>
    </w:p>
    <w:p>
      <w:pPr>
        <w:pStyle w:val="Heading1"/>
        <w:spacing w:after="140" w:before="300"/>
      </w:pPr>
      <w:r>
        <w:rPr>
          <w:b/>
          <w:bCs/>
          <w:color w:val="1A1714"/>
          <w:sz w:val="28"/>
          <w:szCs w:val="28"/>
        </w:rPr>
        <w:t xml:space="preserve">38.  Observation Diversity</w:t>
      </w:r>
    </w:p>
    <w:p>
      <w:pPr>
        <w:spacing w:after="170" w:line="300"/>
      </w:pPr>
      <w:r>
        <w:rPr>
          <w:b w:val="false"/>
          <w:bCs w:val="false"/>
          <w:color w:val="1A1714"/>
          <w:sz w:val="22"/>
          <w:szCs w:val="22"/>
        </w:rPr>
        <w:t xml:space="preserve">The evidence parameters record how much evidence stands behind an assertion and not how varied it is. Each contribution is attributed to a registered source class — a distinct work, edition, language realization, modality, sensor, connector or supplemental submission — and diversity is the effective number of contributing classes, computed as the reciprocal of the concentration of contributed weight. Twenty units of weight in one class yield 1.0000; the same twenty spread across five classes yield 3.8462. Bacon's method requires varied instances rather than merely numerous ones, and a systematic error in a single source produces twenty mutually-agreeing confirmations and no evidence at all about the world.</w:t>
      </w:r>
    </w:p>
    <w:p>
      <w:pPr>
        <w:spacing w:after="170" w:line="300"/>
      </w:pPr>
      <w:r>
        <w:rPr>
          <w:b w:val="false"/>
          <w:bCs w:val="false"/>
          <w:color w:val="1A1714"/>
          <w:sz w:val="22"/>
          <w:szCs w:val="22"/>
        </w:rPr>
        <w:t xml:space="preserve">Corroboration from a class already dominating a parameter is admitted at reduced weight. A generalization requires a diversity floor as well as a count floor. Precision-weighted revision is attenuated where a contradiction's diversity approaches unity. And a response resting on a record whose diversity is near unity states that its support is concentrated in one source class.</w:t>
      </w:r>
    </w:p>
    <w:p>
      <w:pPr>
        <w:pStyle w:val="Heading1"/>
        <w:spacing w:after="140" w:before="300"/>
      </w:pPr>
      <w:r>
        <w:rPr>
          <w:b/>
          <w:bCs/>
          <w:color w:val="1A1714"/>
          <w:sz w:val="28"/>
          <w:szCs w:val="28"/>
        </w:rPr>
        <w:t xml:space="preserve">39.  Computational Substrate Output as an Ingested Modality</w:t>
      </w:r>
    </w:p>
    <w:p>
      <w:pPr>
        <w:spacing w:after="170" w:line="300"/>
      </w:pPr>
      <w:r>
        <w:rPr>
          <w:b w:val="false"/>
          <w:bCs w:val="false"/>
          <w:color w:val="1A1714"/>
          <w:sz w:val="22"/>
          <w:szCs w:val="22"/>
        </w:rPr>
        <w:t xml:space="preserve">A computational substrate external to the system — a neuromorphic processor, a memristive array, a multi-electrode array — is registered as a source with a declared capability, and its output registered as a modality with an independently-failing extractor. Output is reduced to concept-level records before admission, retains no raw episode, passes the safety gate and is calibrated against the substrate's registered reliability, the substrate constituting a source class.</w:t>
      </w:r>
    </w:p>
    <w:p>
      <w:pPr>
        <w:spacing w:after="170" w:line="300"/>
      </w:pPr>
      <w:r>
        <w:rPr>
          <w:b w:val="false"/>
          <w:bCs w:val="false"/>
          <w:color w:val="1A1714"/>
          <w:sz w:val="22"/>
          <w:szCs w:val="22"/>
        </w:rPr>
        <w:t xml:space="preserve">A substrate output is evidence of what the substrate produced and not of what it was asked about. It bears upon any other subject only through an interpretation registered in advance with its own provenance and reliability, and absent such an interpretation is admitted as a measurement of the substrate and nothing further. Derived confidence is bounded by the lesser of the substrate's and the interpretation's reliability, a reading being no better than the weaker of the instrument and the reading of it. Where a substrate comprises living tissue, the operating institution's governance and any review its jurisdiction requires apply; this specification authorises no substrate's operation.</w:t>
      </w:r>
    </w:p>
    <w:p>
      <w:pPr>
        <w:pStyle w:val="Heading1"/>
        <w:spacing w:after="140" w:before="300"/>
      </w:pPr>
      <w:r>
        <w:rPr>
          <w:b/>
          <w:bCs/>
          <w:color w:val="1A1714"/>
          <w:sz w:val="28"/>
          <w:szCs w:val="28"/>
        </w:rPr>
        <w:t xml:space="preserve">40.  The AI-Engine Ingestion Module</w:t>
      </w:r>
    </w:p>
    <w:p>
      <w:pPr>
        <w:spacing w:after="170" w:line="300"/>
      </w:pPr>
      <w:r>
        <w:rPr>
          <w:b w:val="false"/>
          <w:bCs w:val="false"/>
          <w:color w:val="1A1714"/>
          <w:sz w:val="22"/>
          <w:szCs w:val="22"/>
        </w:rPr>
        <w:t xml:space="preserve">This section states a capability the original Section 14 expressly excluded, and the constraints under which it is admitted.</w:t>
      </w:r>
    </w:p>
    <w:p>
      <w:pPr>
        <w:spacing w:after="170" w:line="300"/>
      </w:pPr>
      <w:r>
        <w:rPr>
          <w:b w:val="false"/>
          <w:bCs w:val="false"/>
          <w:color w:val="1A1714"/>
          <w:sz w:val="22"/>
          <w:szCs w:val="22"/>
        </w:rPr>
        <w:t xml:space="preserve">A prompt is composed by the regeneration mechanism from knowledge records under the vocabulary constraint, according to a profile registered for the target engine, and carries semantic markers naming the concepts to address, extraction instructions specifying the return form, and alignment constraints stating the target record schema. Composition is deterministic, so an elicitation may be repeated exactly and a difference in the reply attributed to the engine rather than to the asking. The prompt is dispatched through a connector under a declared capability, rate-limited and batched under compute accounting.</w:t>
      </w:r>
    </w:p>
    <w:p>
      <w:pPr>
        <w:spacing w:after="170" w:line="300"/>
      </w:pPr>
      <w:r>
        <w:rPr>
          <w:b w:val="false"/>
          <w:bCs w:val="false"/>
          <w:color w:val="1A1714"/>
          <w:sz w:val="22"/>
          <w:szCs w:val="22"/>
        </w:rPr>
        <w:t xml:space="preserve">The reply is normalized, segmented into individual assertions, and converted into knowledge records of the ordinary schema, each receiving a temporal anchor from the elicitation, a semantic fingerprint, and a provenance reference identifying the prompt, engine, version and position within the reply. Converted records enter the ordinary store and the ordinary concept structure, are traversable, retrievable, citable, and subject to every mechanism governing any other record.</w:t>
      </w:r>
    </w:p>
    <w:p>
      <w:pPr>
        <w:spacing w:after="170" w:line="300"/>
      </w:pPr>
      <w:r>
        <w:rPr>
          <w:b w:val="false"/>
          <w:bCs w:val="false"/>
          <w:color w:val="1A1714"/>
          <w:sz w:val="22"/>
          <w:szCs w:val="22"/>
        </w:rPr>
        <w:t xml:space="preserve">Three constraints attach, each preventing a specific failure. First, the derivation is a field of the record identifying the engine, unmodifiable and unremovable, and a citation resolving to such a record discloses it — preventing a reader from following a citation and discovering that the authority is that a model produced it when asked. Second, each engine is one source class, so three assertions from one engine yield a diversity of 1.0000 against 3.0000 from three engines, and a corroboration from the same engine is refused — preventing confidence manufactured by repetition. Third, confidence is bounded by the engine's registered reliability and, where an extraction instruction applies, by the lesser of the two — preventing a generated assertion from outranking a reported one by fluency.</w:t>
      </w:r>
    </w:p>
    <w:p>
      <w:pPr>
        <w:spacing w:after="170" w:line="300"/>
      </w:pPr>
      <w:r>
        <w:rPr>
          <w:b w:val="false"/>
          <w:bCs w:val="false"/>
          <w:color w:val="1A1714"/>
          <w:sz w:val="22"/>
          <w:szCs w:val="22"/>
        </w:rPr>
        <w:t xml:space="preserve">A citation contained in a model reply is verified against the store and recorded as verified or unverified, the assertion being admitted carrying that record rather than withheld, so a fabricated citation becomes a recorded property rather than an undetected defect. The audit chain records prompt, engine, version, elicitation time, position, derivation marking, the confidence bound and its basis, and the verification outcome, and is queryable.</w:t>
      </w:r>
    </w:p>
    <w:p>
      <w:pPr>
        <w:spacing w:after="170" w:line="300"/>
      </w:pPr>
      <w:r>
        <w:rPr>
          <w:b w:val="false"/>
          <w:bCs w:val="false"/>
          <w:color w:val="1A1714"/>
          <w:sz w:val="22"/>
          <w:szCs w:val="22"/>
        </w:rPr>
        <w:t xml:space="preserve">The cost is stated rather than minimised. Before this module, every record originated from a source that asserted something about the world. With it, an answer may trace to an assertion a model generated in response to a prompt this system composed — recorded and auditable at every step, and disclosed at the point of citation, but produced rather than reported. The module is elected per deployment, and a response indicates whether any record it relied upon was model-derived.</w:t>
      </w:r>
    </w:p>
    <w:p>
      <w:pPr>
        <w:pStyle w:val="Heading1"/>
        <w:spacing w:after="140" w:before="300"/>
      </w:pPr>
      <w:r>
        <w:rPr>
          <w:b/>
          <w:bCs/>
          <w:color w:val="1A1714"/>
          <w:sz w:val="28"/>
          <w:szCs w:val="28"/>
        </w:rPr>
        <w:t xml:space="preserve">41.  Exemplary Embodiments</w:t>
      </w:r>
    </w:p>
    <w:p>
      <w:pPr>
        <w:spacing w:after="170" w:line="300"/>
      </w:pPr>
      <w:r>
        <w:rPr>
          <w:b w:val="false"/>
          <w:bCs w:val="false"/>
          <w:color w:val="1A1714"/>
          <w:sz w:val="22"/>
          <w:szCs w:val="22"/>
        </w:rPr>
        <w:t xml:space="preserve">The following illustrate the operation of claimed methods in representative use, each tied to the specific mechanism it demonstrates rather than introducing new subject matter. Embodiments 1 through 6 are as originally drafted. Embodiments 7 through 14 illustrate mechanisms specified since.</w:t>
      </w:r>
    </w:p>
    <w:p>
      <w:pPr>
        <w:pStyle w:val="Heading2"/>
        <w:spacing w:after="140" w:before="300"/>
      </w:pPr>
      <w:r>
        <w:rPr>
          <w:b/>
          <w:bCs/>
          <w:color w:val="1A1714"/>
          <w:sz w:val="24"/>
          <w:szCs w:val="24"/>
        </w:rPr>
        <w:t xml:space="preserve">Embodiment 1 — Single-Source Question and Answer</w:t>
      </w:r>
    </w:p>
    <w:p>
      <w:pPr>
        <w:spacing w:after="170" w:line="300"/>
      </w:pPr>
      <w:r>
        <w:rPr>
          <w:b w:val="false"/>
          <w:bCs w:val="false"/>
          <w:color w:val="1A1714"/>
          <w:sz w:val="22"/>
          <w:szCs w:val="22"/>
        </w:rPr>
        <w:t xml:space="preserve">A reader poses a natural-language question about a specific ingested work. The system parses the query, retrieves candidate Fact Units via the mechanism of Section 3, stabilizes the candidate set through the Attractor Network's convergence process, and composes a response through the grounded generation pipeline of Section 6. The delivered answer cites the specific Fact Unit or Units it was assembled from, each independently verifiable through the provenance mechanism of Section 6.</w:t>
      </w:r>
    </w:p>
    <w:p>
      <w:pPr>
        <w:pStyle w:val="Heading2"/>
        <w:spacing w:after="140" w:before="300"/>
      </w:pPr>
      <w:r>
        <w:rPr>
          <w:b/>
          <w:bCs/>
          <w:color w:val="1A1714"/>
          <w:sz w:val="24"/>
          <w:szCs w:val="24"/>
        </w:rPr>
        <w:t xml:space="preserve">Embodiment 2 — Multi-Source Survey With Contradiction Detection</w:t>
      </w:r>
    </w:p>
    <w:p>
      <w:pPr>
        <w:spacing w:after="170" w:line="300"/>
      </w:pPr>
      <w:r>
        <w:rPr>
          <w:b w:val="false"/>
          <w:bCs w:val="false"/>
          <w:color w:val="1A1714"/>
          <w:sz w:val="22"/>
          <w:szCs w:val="22"/>
        </w:rPr>
        <w:t xml:space="preserve">A researcher ingests a plurality of documents addressing a common subject and poses a query spanning all of them. Retrieval proceeds across the unified Fact Graph populated by the ingestion method of Section 7, and the cross-domain consistency mechanism of Section 4 surfaces a genuine factual conflict between two of the ingested sources as a queryable contradiction-index entry, rather than silently selecting one or averaging them.</w:t>
      </w:r>
    </w:p>
    <w:p>
      <w:pPr>
        <w:pStyle w:val="Heading2"/>
        <w:spacing w:after="140" w:before="300"/>
      </w:pPr>
      <w:r>
        <w:rPr>
          <w:b/>
          <w:bCs/>
          <w:color w:val="1A1714"/>
          <w:sz w:val="24"/>
          <w:szCs w:val="24"/>
        </w:rPr>
        <w:t xml:space="preserve">Embodiment 3 — Directed Delegation to an External System</w:t>
      </w:r>
    </w:p>
    <w:p>
      <w:pPr>
        <w:spacing w:after="170" w:line="300"/>
      </w:pPr>
      <w:r>
        <w:rPr>
          <w:b w:val="false"/>
          <w:bCs w:val="false"/>
          <w:color w:val="1A1714"/>
          <w:sz w:val="22"/>
          <w:szCs w:val="22"/>
        </w:rPr>
        <w:t xml:space="preserve">An operator registers an external device platform through the connector architecture of Section 14, declaring a specific, named action the platform is authorized to perform. A subsequent natural-language instruction compiled through the system's bounded program layer dispatches that specific declared action to the registered platform. The system does not thereby acquire the platform's own broader capabilities — only the declared action is available to be dispatched, consistent with the directed-delegation limitation.</w:t>
      </w:r>
    </w:p>
    <w:p>
      <w:pPr>
        <w:pStyle w:val="Heading2"/>
        <w:spacing w:after="140" w:before="300"/>
      </w:pPr>
      <w:r>
        <w:rPr>
          <w:b/>
          <w:bCs/>
          <w:color w:val="1A1714"/>
          <w:sz w:val="24"/>
          <w:szCs w:val="24"/>
        </w:rPr>
        <w:t xml:space="preserve">Embodiment 4 — Edition Comparison</w:t>
      </w:r>
    </w:p>
    <w:p>
      <w:pPr>
        <w:spacing w:after="170" w:line="300"/>
      </w:pPr>
      <w:r>
        <w:rPr>
          <w:b w:val="false"/>
          <w:bCs w:val="false"/>
          <w:color w:val="1A1714"/>
          <w:sz w:val="22"/>
          <w:szCs w:val="22"/>
        </w:rPr>
        <w:t xml:space="preserve">A reader holding access to two editions of the same underlying work requests a comparison. The system retrieves the Fact Units associated with each edition's version chain and surfaces the specific additions, removals, and revised assertions between them, each difference traceable to a specific Fact Unit version rather than a generic text-diff of the surface content.</w:t>
      </w:r>
    </w:p>
    <w:p>
      <w:pPr>
        <w:pStyle w:val="Heading2"/>
        <w:spacing w:after="140" w:before="300"/>
      </w:pPr>
      <w:r>
        <w:rPr>
          <w:b/>
          <w:bCs/>
          <w:color w:val="1A1714"/>
          <w:sz w:val="24"/>
          <w:szCs w:val="24"/>
        </w:rPr>
        <w:t xml:space="preserve">Embodiment 5 — Role-Scoped Portal Access</w:t>
      </w:r>
    </w:p>
    <w:p>
      <w:pPr>
        <w:spacing w:after="170" w:line="300"/>
      </w:pPr>
      <w:r>
        <w:rPr>
          <w:b w:val="false"/>
          <w:bCs w:val="false"/>
          <w:color w:val="1A1714"/>
          <w:sz w:val="22"/>
          <w:szCs w:val="22"/>
        </w:rPr>
        <w:t xml:space="preserve">A reader, an author, and an instructor each access the same underlying published work through the role-based portal architecture referenced in Section 13. The reader's session is scoped to consumption and personal annotation; the author's session additionally exposes drafting and rights-management capability over their own published work; the instructor's session — a time-scoped capability grant rather than a distinct account type — additionally exposes class-scoped assessment and progress capability.</w:t>
      </w:r>
    </w:p>
    <w:p>
      <w:pPr>
        <w:pStyle w:val="Heading2"/>
        <w:spacing w:after="140" w:before="300"/>
      </w:pPr>
      <w:r>
        <w:rPr>
          <w:b/>
          <w:bCs/>
          <w:color w:val="1A1714"/>
          <w:sz w:val="24"/>
          <w:szCs w:val="24"/>
        </w:rPr>
        <w:t xml:space="preserve">Embodiment 6 — Standards-Conformant Reader Deployment</w:t>
      </w:r>
    </w:p>
    <w:p>
      <w:pPr>
        <w:spacing w:after="170" w:line="300"/>
      </w:pPr>
      <w:r>
        <w:rPr>
          <w:b w:val="false"/>
          <w:bCs w:val="false"/>
          <w:color w:val="1A1714"/>
          <w:sz w:val="22"/>
          <w:szCs w:val="22"/>
        </w:rPr>
        <w:t xml:space="preserve">The system of the preceding claims is deployed as a reading application conformant to the EPUB Reading Systems 3.3 specification, rendering content authored to the EPUB 3.3 core specification. QueryBook-specific interaction points are carried as custom data attributes on otherwise-valid EPUB 3.3 markup, ignorable by any non-conformant-aware reading system. A reader's selection of an attribute-anchored passage triggers retrieval through the mechanism of Claim 6, with the resulting output displayed through the grounded generation mechanism of Claim 8 — the same underlying architecture operating identically whether accessed through a conformant reading system or through the system's own interface.</w:t>
      </w:r>
    </w:p>
    <w:p>
      <w:pPr>
        <w:pStyle w:val="Heading2"/>
        <w:spacing w:after="140" w:before="300"/>
      </w:pPr>
      <w:r>
        <w:rPr>
          <w:b/>
          <w:bCs/>
          <w:color w:val="1A1714"/>
          <w:sz w:val="24"/>
          <w:szCs w:val="24"/>
        </w:rPr>
        <w:t xml:space="preserve">Embodiment 7 — A Settled Assertion Meeting a Single Contradiction</w:t>
      </w:r>
    </w:p>
    <w:p>
      <w:pPr>
        <w:spacing w:after="170" w:line="300"/>
      </w:pPr>
      <w:r>
        <w:rPr>
          <w:b w:val="false"/>
          <w:bCs w:val="false"/>
          <w:color w:val="1A1714"/>
          <w:sz w:val="22"/>
          <w:szCs w:val="22"/>
        </w:rPr>
        <w:t xml:space="preserve">An assertion has accumulated eighteen units of supporting evidence and two of contradicting evidence, reporting a confidence of 0.9000 with a credible interval of approximately ±0.1283. A single contradicting source of reliability 1.0 is ingested. Under the additive rule this system previously used, the confidence would fall by 0.05 irrespective of what stood behind it. Under the mechanism of Section 21.5, it falls by 0.0429 — and a provisional assertion at one unit each side, meeting the identical contradiction, falls by 0.1667. The settled belief resists and the provisional one moves, by the arithmetic rather than by a rule expressing that intention.</w:t>
      </w:r>
    </w:p>
    <w:p>
      <w:pPr>
        <w:pStyle w:val="Heading2"/>
        <w:spacing w:after="140" w:before="300"/>
      </w:pPr>
      <w:r>
        <w:rPr>
          <w:b/>
          <w:bCs/>
          <w:color w:val="1A1714"/>
          <w:sz w:val="24"/>
          <w:szCs w:val="24"/>
        </w:rPr>
        <w:t xml:space="preserve">Embodiment 8 — A Contradiction Too Weak to Revise, and Retained</w:t>
      </w:r>
    </w:p>
    <w:p>
      <w:pPr>
        <w:spacing w:after="170" w:line="300"/>
      </w:pPr>
      <w:r>
        <w:rPr>
          <w:b w:val="false"/>
          <w:bCs w:val="false"/>
          <w:color w:val="1A1714"/>
          <w:sz w:val="22"/>
          <w:szCs w:val="22"/>
        </w:rPr>
        <w:t xml:space="preserve">A single blurry observation contradicts an attribute of a well-established concept node. The precision of the error is low and the precision of the prior is high, so the revision gain computes to 0.0053 and falls below the configured floor: no revision occurs. The contradiction is nonetheless recorded, so that a pattern of individually-insignificant contradictions against the same attribute remains queryable and a reviewer examining the concept later finds them rather than finding nothing.</w:t>
      </w:r>
    </w:p>
    <w:p>
      <w:pPr>
        <w:pStyle w:val="Heading2"/>
        <w:spacing w:after="140" w:before="300"/>
      </w:pPr>
      <w:r>
        <w:rPr>
          <w:b/>
          <w:bCs/>
          <w:color w:val="1A1714"/>
          <w:sz w:val="24"/>
          <w:szCs w:val="24"/>
        </w:rPr>
        <w:t xml:space="preserve">Embodiment 9 — Twenty Confirmations From One Source, and From Five</w:t>
      </w:r>
    </w:p>
    <w:p>
      <w:pPr>
        <w:spacing w:after="170" w:line="300"/>
      </w:pPr>
      <w:r>
        <w:rPr>
          <w:b w:val="false"/>
          <w:bCs w:val="false"/>
          <w:color w:val="1A1714"/>
          <w:sz w:val="22"/>
          <w:szCs w:val="22"/>
        </w:rPr>
        <w:t xml:space="preserve">Two assertions each carry twenty units of supporting weight and report an identical confidence. The first accumulated its weight from repeated readings of a single edition; the second from two editions, a translation, an image and a video. The diversity measure of Section 39 computes 1.0000 for the first and 3.8462 for the second. A response resting on the first states that its support is concentrated within one source class. Without the measure the two would be indistinguishable, and a systematic error in the single edition would present as twenty independent confirmations.</w:t>
      </w:r>
    </w:p>
    <w:p>
      <w:pPr>
        <w:pStyle w:val="Heading2"/>
        <w:spacing w:after="140" w:before="300"/>
      </w:pPr>
      <w:r>
        <w:rPr>
          <w:b/>
          <w:bCs/>
          <w:color w:val="1A1714"/>
          <w:sz w:val="24"/>
          <w:szCs w:val="24"/>
        </w:rPr>
        <w:t xml:space="preserve">Embodiment 10 — Two Hypotheses the Evidence Cannot Separate</w:t>
      </w:r>
    </w:p>
    <w:p>
      <w:pPr>
        <w:spacing w:after="170" w:line="300"/>
      </w:pPr>
      <w:r>
        <w:rPr>
          <w:b w:val="false"/>
          <w:bCs w:val="false"/>
          <w:color w:val="1A1714"/>
          <w:sz w:val="22"/>
          <w:szCs w:val="22"/>
        </w:rPr>
        <w:t xml:space="preserve">Two candidate explanations of a common subject stand at posteriors of 0.7500 and 0.6875, each resting on sixteen observations. The separation of 0.0625 falls below the configured floor while both exceed the support minimum, so the pair is marked undiscriminated. Three obtainable observations are evaluated: one predicted at 0.90 and 0.85 discriminates 0.05; one at 0.55 and 0.50 discriminates 0.05; one at 0.88 and 0.20 discriminates 0.68. The third is selected — not because either hypothesis considers it likely, but because they disagree about it — and the request states what each posterior would become under both its presence and its absence.</w:t>
      </w:r>
    </w:p>
    <w:p>
      <w:pPr>
        <w:pStyle w:val="Heading2"/>
        <w:spacing w:after="140" w:before="300"/>
      </w:pPr>
      <w:r>
        <w:rPr>
          <w:b/>
          <w:bCs/>
          <w:color w:val="1A1714"/>
          <w:sz w:val="24"/>
          <w:szCs w:val="24"/>
        </w:rPr>
        <w:t xml:space="preserve">Embodiment 11 — A Query in a Shared Session</w:t>
      </w:r>
    </w:p>
    <w:p>
      <w:pPr>
        <w:spacing w:after="170" w:line="300"/>
      </w:pPr>
      <w:r>
        <w:rPr>
          <w:b w:val="false"/>
          <w:bCs w:val="false"/>
          <w:color w:val="1A1714"/>
          <w:sz w:val="22"/>
          <w:szCs w:val="22"/>
        </w:rPr>
        <w:t xml:space="preserve">Two readers occupy a shared session over a common work. The first's entitlement admits 340 knowledge records; the second's admits 275 of those. The shared view comprises the intersection, 275, and a record traversable by the first and not the second is absent from it — and its absence is not reported to either, because reporting that something is withheld discloses precisely what the entitlement exists to protect. A query submitted in the session resolves against the intersection and is delivered identically to both, so neither receives a citation the other cannot open.</w:t>
      </w:r>
    </w:p>
    <w:p>
      <w:pPr>
        <w:pStyle w:val="Heading2"/>
        <w:spacing w:after="140" w:before="300"/>
      </w:pPr>
      <w:r>
        <w:rPr>
          <w:b/>
          <w:bCs/>
          <w:color w:val="1A1714"/>
          <w:sz w:val="24"/>
          <w:szCs w:val="24"/>
        </w:rPr>
        <w:t xml:space="preserve">Embodiment 12 — A Command Withheld at an Equipment Boundary</w:t>
      </w:r>
    </w:p>
    <w:p>
      <w:pPr>
        <w:spacing w:after="170" w:line="300"/>
      </w:pPr>
      <w:r>
        <w:rPr>
          <w:b w:val="false"/>
          <w:bCs w:val="false"/>
          <w:color w:val="1A1714"/>
          <w:sz w:val="22"/>
          <w:szCs w:val="22"/>
        </w:rPr>
        <w:t xml:space="preserve">A registered inspection arm operates under a session authorization naming its unit, its volume and its permitted task classes. A compiled plan would bring the arm to within 0.42 metres of a detected person where the registered exclusion distance is 0.60. The command is withheld before emission — not emitted at reduced priority, not emitted with a warning, and not modified into a permissible command by the system's own selection. The detection of the person is used to compute the clearance and for nothing else: it is not retained beyond the evaluation, enters no result set, and is available to no other mechanism.</w:t>
      </w:r>
    </w:p>
    <w:p>
      <w:pPr>
        <w:pStyle w:val="Heading2"/>
        <w:spacing w:after="140" w:before="300"/>
      </w:pPr>
      <w:r>
        <w:rPr>
          <w:b/>
          <w:bCs/>
          <w:color w:val="1A1714"/>
          <w:sz w:val="24"/>
          <w:szCs w:val="24"/>
        </w:rPr>
        <w:t xml:space="preserve">Embodiment 13 — An Answer Elicited From an External Engine</w:t>
      </w:r>
    </w:p>
    <w:p>
      <w:pPr>
        <w:spacing w:after="170" w:line="300"/>
      </w:pPr>
      <w:r>
        <w:rPr>
          <w:b w:val="false"/>
          <w:bCs w:val="false"/>
          <w:color w:val="1A1714"/>
          <w:sz w:val="22"/>
          <w:szCs w:val="22"/>
        </w:rPr>
        <w:t xml:space="preserve">A deployment has elected the module of Section 40. A prompt is composed from knowledge records under the vocabulary constraint according to the profile registered for a named engine, dispatched under a declared capability, and the reply segmented into individual assertions. Each becomes a knowledge record carrying a derivation marking naming the engine, a confidence bounded by the engine's registered reliability of 0.88 and the extraction instruction's 0.62 — hence 0.62 — and a provenance reference identifying the prompt and the position of the assertion within the reply. A citation contained in one assertion resolves to no record held and is recorded as unverified, the assertion being admitted carrying that record. A later answer citing the record discloses that its authority is a named engine responding to a recorded prompt. Three further elicitations of the same assertion from the same engine raise the accumulated evidence and leave the diversity measure at 1.0000.</w:t>
      </w:r>
    </w:p>
    <w:p>
      <w:pPr>
        <w:pStyle w:val="Heading2"/>
        <w:spacing w:after="140" w:before="300"/>
      </w:pPr>
      <w:r>
        <w:rPr>
          <w:b/>
          <w:bCs/>
          <w:color w:val="1A1714"/>
          <w:sz w:val="24"/>
          <w:szCs w:val="24"/>
        </w:rPr>
        <w:t xml:space="preserve">Embodiment 14 — Two Answers That Differ Legitimately</w:t>
      </w:r>
    </w:p>
    <w:p>
      <w:pPr>
        <w:spacing w:after="170" w:line="300"/>
      </w:pPr>
      <w:r>
        <w:rPr>
          <w:b w:val="false"/>
          <w:bCs w:val="false"/>
          <w:color w:val="1A1714"/>
          <w:sz w:val="22"/>
          <w:szCs w:val="22"/>
        </w:rPr>
        <w:t xml:space="preserve">The same query is submitted twice over an unchanged corpus. The first is delivered under the plain register to a requester on a desktop class device; the second under the academic register to the same requester. The two responses differ. Each carries a context key computed over the enumerated locked dimensions, and the keys differ because the register is a locked dimension — so the difference is a difference of context and not a defect. Had the two differed while carrying an identical key, the difference would be a defect, and the trial architecture of Section 29 measures exactly this.</w:t>
      </w:r>
    </w:p>
    <w:p>
      <w:pPr>
        <w:pStyle w:val="Heading1"/>
        <w:spacing w:after="140" w:before="300"/>
      </w:pPr>
      <w:r>
        <w:rPr>
          <w:b/>
          <w:bCs/>
          <w:color w:val="1A1714"/>
          <w:sz w:val="28"/>
          <w:szCs w:val="28"/>
        </w:rPr>
        <w:t xml:space="preserve">42.  Comparison With Human Cognition</w:t>
      </w:r>
    </w:p>
    <w:p>
      <w:pPr>
        <w:spacing w:after="170" w:line="300"/>
      </w:pPr>
      <w:r>
        <w:rPr>
          <w:b w:val="false"/>
          <w:bCs w:val="false"/>
          <w:color w:val="1A1714"/>
          <w:sz w:val="22"/>
          <w:szCs w:val="22"/>
        </w:rPr>
        <w:t xml:space="preserve">Section 21.2 compares this architecture with a language model and with the neocortex on the dimensions where the correspondence of Section 21 is claimed. This section compares it with human cognition more broadly, and does so in both directions. It is included because a comparison stating only where a system is superior is not a comparison, and because the properties on which human cognition is plainly superior are the properties a reader will supply for themselves if the document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Dimension</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This system</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Human cognition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Substrate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Software over conventional or, under §7.7, analog hardware; explicit boundaries between mechanisms.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Neural tissue; modular in function without explicit boundaries, and not decomposable into named components without loss.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Computation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Deterministic traversal, threshold convergence and constrained composition. No component is fitted by gradient descent, and no operation terminates in a sampled outcome.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Event-driven spiking, massively parallel and asynchronous, with temporal and rate coding over continuous dynamics.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Learning</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Structured and bounded. A record is admitted, a confidence value moves, a concept consolidates on a count. Every change is recorded and reversible, and no change to the system itself takes effect without a named human approval.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Continuous lifelong plasticity driven by experience, reward and social feedback. No global controller and no rollback.</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Memory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A record is addressable, its origin verifiable, its confidence stated, its erasure exact.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Associative and reconstructive. Recall alters what is recalled, and the alteration is not observable to the person recalling.</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Context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and enumerated. The dimensions on which a response depends are registered and a key is computed over them.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Implicit and embodied — physical setting, social situation, bodily state, personal history — largely processed without awareness.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Energy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Substantial and scaling with corpus and query volume. This is a genuine disadvantage and is stated as one.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Approximately twenty watts for the whole brain, an efficiency no current computational system approaches.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Emotion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None. Affect may be carried as a declared parameter and never as a felt state, and no decision is taken on one.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Central. Emotion modulates attention, memory and judgment, and can override reasoning entirely — which is both its strength and its characteristic failure.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Embodiment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Only through registered equipment under the constraints of Sections 32 and 33, and absent entirely in an ordinary deployment.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Intrinsic. Body and cognition are one system, and action selection is coupled to homeostasis and to survival.</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Self-model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but not experienced: a registry of capabilities, a record of what was answered, a measurement of calibration.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Subjective and continuous, shaped by memory, social role and narrative.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Failure mode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Traceable. A wrong answer resolves to the record that produced it, and the record to its 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Frequently opaque and rationalised after the fact. Bias, fatigue and confabulation are not observable from the inside.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Robustness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Brittle at a boundary and exact within it. A malformed input is refused rather than approximated.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Degrades gracefully under damage and noise, and remains vulnerable to bias, fatigue and pathology.</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Replication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Instances may be cloned, sharded and versioned, and behave identically under an identical context key.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Not replicable. Each is unique, and scale is population-level rather than instance-level.</w:t>
            </w:r>
          </w:p>
        </w:tc>
      </w:tr>
    </w:tbl>
    <w:p>
      <w:pPr>
        <w:spacing w:after="160"/>
      </w:pPr>
    </w:p>
    <w:p>
      <w:pPr>
        <w:spacing w:after="170" w:line="300"/>
      </w:pPr>
      <w:r>
        <w:rPr>
          <w:b w:val="false"/>
          <w:bCs w:val="false"/>
          <w:color w:val="1A1714"/>
          <w:sz w:val="22"/>
          <w:szCs w:val="22"/>
        </w:rPr>
        <w:t xml:space="preserve">Four of these favour human cognition without qualification: energy, embodiment, graceful degradation, and the capacity for emotion to inform judgment rather than merely to distort it. They are stated because a document claiming a correspondence to a biological architecture owes an account of where the correspondence ends.</w:t>
      </w:r>
    </w:p>
    <w:p>
      <w:pPr>
        <w:spacing w:after="170" w:line="300"/>
      </w:pPr>
      <w:r>
        <w:rPr>
          <w:b w:val="false"/>
          <w:bCs w:val="false"/>
          <w:color w:val="1A1714"/>
          <w:sz w:val="22"/>
          <w:szCs w:val="22"/>
        </w:rPr>
        <w:t xml:space="preserve">Two of the remaining rows are the ones a commercial reader should weigh. Memory is explicit here and reconstructive in a person, which means this system can state what it knew, when, and on what basis, where a person cannot. And failure is traceable here and frequently opaque in a person, which means a wrong answer from this system resolves to the record that produced it. Neither property makes the system more capable than a person. Both make it accountable in a way a person is not, and accountability rather than capability is the property the applications in this specification depend upon.</w:t>
      </w:r>
    </w:p>
    <w:p>
      <w:pPr>
        <w:spacing w:after="170" w:line="300"/>
      </w:pPr>
      <w:r>
        <w:rPr>
          <w:b w:val="false"/>
          <w:bCs w:val="false"/>
          <w:color w:val="1A1714"/>
          <w:sz w:val="22"/>
          <w:szCs w:val="22"/>
        </w:rPr>
        <w:t xml:space="preserve">Two characterisations sometimes applied to this architecture are inconsistent with it and are corrected here rather than left to be inferred from the table above. The first describes the computation as a hybrid of transformer-style dense computation with neuromorphic design principles. No component of this system is a transformer: the constrained composition of Section 2 operates over a vocabulary derived from admitted records rather than over a learned distribution across tokens, and the distinction from token-prediction architectures is the central architectural claim of this specification rather than an incidental one.</w:t>
      </w:r>
    </w:p>
    <w:p>
      <w:pPr>
        <w:spacing w:after="170" w:line="300"/>
      </w:pPr>
      <w:r>
        <w:rPr>
          <w:b w:val="false"/>
          <w:bCs w:val="false"/>
          <w:color w:val="1A1714"/>
          <w:sz w:val="22"/>
          <w:szCs w:val="22"/>
        </w:rPr>
        <w:t xml:space="preserve">The second describes the learning regime as primarily offline pre-training with curated updates. There is no pre-training in this system. Content is ingested as records carrying attribution rather than fitted into parameters, which is why removing a work removes its assertions and why a confidence value moves by a recorded arithmetic operation rather than by a weight adjustment. What the system does continuously is admit records and revise confidence; what it does not do at any point is fit a model to a corpus.</w:t>
      </w:r>
    </w:p>
    <w:p>
      <w:pPr>
        <w:spacing w:after="170" w:line="300"/>
      </w:pPr>
      <w:r>
        <w:rPr>
          <w:b w:val="false"/>
          <w:bCs w:val="false"/>
          <w:color w:val="1A1714"/>
          <w:sz w:val="22"/>
          <w:szCs w:val="22"/>
        </w:rPr>
        <w:t xml:space="preserve">A comparison of brain regions to system components — prefrontal cortex to a question-answering engine, hippocampus to a context window, occipital cortex to pattern clustering — is likewise not made here. Each such pairing is an analogy rather than a correspondence in the sense of Section 21.1: none rests on a primary result establishing that the named region performs the named function in the form ascribed, and admitting them alongside the five correspondences this document does claim would place those five under the doubt attaching to the others. The correspondences claimed here are to convergence dynamics, attentional competition, consolidation, intersensory redundancy and spatial coding, each carrying its primary publication, and the list is deliberately short.</w:t>
      </w:r>
    </w:p>
    <w:p>
      <w:pPr>
        <w:pStyle w:val="Heading1"/>
        <w:spacing w:after="140" w:before="300"/>
      </w:pPr>
      <w:r>
        <w:rPr>
          <w:b/>
          <w:bCs/>
          <w:color w:val="1A1714"/>
          <w:sz w:val="28"/>
          <w:szCs w:val="28"/>
        </w:rPr>
        <w:t xml:space="preserve">43.  Specialized Live Data Feeds</w:t>
      </w:r>
    </w:p>
    <w:p>
      <w:pPr>
        <w:spacing w:after="170" w:line="300"/>
      </w:pPr>
      <w:r>
        <w:rPr>
          <w:b w:val="false"/>
          <w:bCs w:val="false"/>
          <w:color w:val="1A1714"/>
          <w:sz w:val="22"/>
          <w:szCs w:val="22"/>
        </w:rPr>
        <w:t xml:space="preserve">A live data source published by an external authority — a financial market feed, a meteorological service, an industrial telemetry stream — is registered under the connector architecture of Section 14 with the ordinary declared capability and with seven further properties: a publication authority, a refresh interval, a staleness bound, a value class, a unit and its dimension, a restatement policy, and a redistribution entitlement. A feed omitting any of these is connectable and is not admissible as a query source, because each governs a decision the system must otherwise make by assumption.</w:t>
      </w:r>
    </w:p>
    <w:p>
      <w:pPr>
        <w:spacing w:after="170" w:line="300"/>
      </w:pPr>
      <w:r>
        <w:rPr>
          <w:b w:val="false"/>
          <w:bCs w:val="false"/>
          <w:color w:val="1A1714"/>
          <w:sz w:val="22"/>
          <w:szCs w:val="22"/>
        </w:rPr>
        <w:t xml:space="preserve">A value of a class other than a forecast is admitted at its publisher's authority rather than calibrated from an extraction confidence, because the ordinary calibration would invent an uncertainty that does not exist — a price published by an exchange is not eighty-seven per cent likely to be the price. The record asserts that the authority published the value, not that the value is correct, and a published value later restated remains true as a record of what was published. A forecast is admitted differently, carrying the uncertainty its publisher states, because a forecast is genuinely uncertain and the publisher ordinarily says by how much. Where a publisher states an interval rather than a point, the interval is recorded as published and any required point is computed by a registered rule — a stated range of 18.2 to 21.6 yielding a midpoint of 19.9, with the interval retained alongside it.</w:t>
      </w:r>
    </w:p>
    <w:p>
      <w:pPr>
        <w:spacing w:after="170" w:line="300"/>
      </w:pPr>
      <w:r>
        <w:rPr>
          <w:b w:val="false"/>
          <w:bCs w:val="false"/>
          <w:color w:val="1A1714"/>
          <w:sz w:val="22"/>
          <w:szCs w:val="22"/>
        </w:rPr>
        <w:t xml:space="preserve">A value is served only where its age at query time falls within the registered staleness bound: at 47 seconds against a bound of 60 it is served, and at 61 seconds it is not. A value outside the bound is not served with a caveat, extrapolated forward, or replaced by the nearest available; the response states the age and the publication time. The distinction from temporal decay is material. Decay widens a credible interval for an assertion that remains true and grows less certain; a quoted value does not grow less certain with age but becomes superseded, so answering from a stale one is not answering with lower confidence but answering wrongly. A feed value therefore expires rather than decaying. Because the refresh interval is registered, an absent publication is detectable: a feed that has stopped publishing is marked interrupted and is distinguishable from a feed whose value has not changed.</w:t>
      </w:r>
    </w:p>
    <w:p>
      <w:pPr>
        <w:spacing w:after="170" w:line="300"/>
      </w:pPr>
      <w:r>
        <w:rPr>
          <w:b w:val="false"/>
          <w:bCs w:val="false"/>
          <w:color w:val="1A1714"/>
          <w:sz w:val="22"/>
          <w:szCs w:val="22"/>
        </w:rPr>
        <w:t xml:space="preserve">A publisher's revision of a period already reported is recorded as a restatement rather than as a correction where the registered policy so provides. The prior value is retained, is not marked erroneous, and remains queryable as the value published at its publication time — because it was not wrong, but correct on the information then available. A query about the period returns the restated value; a query about what was published at a time returns what was published then; and a query about the difference returns both with their times, which is what an auditor of a decision taken on the earlier figure actually asks. Correction remains available and distinct, applying the ordinary supersession chain, and a revision arriving outside the registered policy is held for a named human rather than classified by inference.</w:t>
      </w:r>
    </w:p>
    <w:p>
      <w:pPr>
        <w:spacing w:after="170" w:line="300"/>
      </w:pPr>
      <w:r>
        <w:rPr>
          <w:b w:val="false"/>
          <w:bCs w:val="false"/>
          <w:color w:val="1A1714"/>
          <w:sz w:val="22"/>
          <w:szCs w:val="22"/>
        </w:rPr>
        <w:t xml:space="preserve">Redistribution entitlement expresses what a requester may do with a value, which the ordinary entitlement model does not: display, derive, delayed, or unrestricted. Enforcement is at composition rather than at export, so a response that would carry a value beyond its entitlement is composed without it and the entitlement is stated, the requester being told rather than left to infer an absence. A derived value carries the entitlement of the feed it derives from unless a registered derivation discharges it, so an entitlement cannot be escaped by computing upon a value and redistributing the result.</w:t>
      </w:r>
    </w:p>
    <w:p>
      <w:pPr>
        <w:spacing w:after="170" w:line="300"/>
      </w:pPr>
      <w:r>
        <w:rPr>
          <w:b w:val="false"/>
          <w:bCs w:val="false"/>
          <w:color w:val="1A1714"/>
          <w:sz w:val="22"/>
          <w:szCs w:val="22"/>
        </w:rPr>
        <w:t xml:space="preserve">Standing queries operate against a registered feed under the continuous query mechanism without modification, with three qualifications. A trigger fires upon a published value rather than upon the passage of time, so a stopped feed produces no firings. A trigger is not evaluated against a value outside the staleness bound. And a firing rate is bounded per standing query, an exceeded bound suspending the query and notifying its owner, because a feed entering a volatile period would otherwise generate firings faster than they could be acted upon.</w:t>
      </w:r>
    </w:p>
    <w:p>
      <w:pPr>
        <w:spacing w:after="170" w:line="300"/>
      </w:pPr>
      <w:r>
        <w:rPr>
          <w:b w:val="false"/>
          <w:bCs w:val="false"/>
          <w:color w:val="1A1714"/>
          <w:sz w:val="22"/>
          <w:szCs w:val="22"/>
        </w:rPr>
        <w:t xml:space="preserve">Four things a feed value does not do are stated because each would otherwise be assumed. It grounds an assertion about the value and its publication and nothing further — not about why, not about what follows, not about what comes next, an inference from a feed value being an inference and subject to the rule that induction does not write. It is not extrapolated beyond its staleness bound, since an extrapolated value is a forecast the system generated and the system does not publish forecasts as though an authority had. It does not influence the confidence of a record from another source absent a registered interpretation stating how. And consultation of a feed is metered but not profiled, because in several of the industries this section serves a record of what a party looked at and when is itself regulated.</w:t>
      </w:r>
    </w:p>
    <w:p>
      <w:pPr>
        <w:pStyle w:val="Heading1"/>
        <w:spacing w:after="140" w:before="300"/>
      </w:pPr>
      <w:r>
        <w:rPr>
          <w:b/>
          <w:bCs/>
          <w:color w:val="1A1714"/>
          <w:sz w:val="28"/>
          <w:szCs w:val="28"/>
        </w:rPr>
        <w:t xml:space="preserve">44.  Media Transformation: Compression, Expansion and Colourisation</w:t>
      </w:r>
    </w:p>
    <w:p>
      <w:pPr>
        <w:spacing w:after="170" w:line="300"/>
      </w:pPr>
      <w:r>
        <w:rPr>
          <w:b w:val="false"/>
          <w:bCs w:val="false"/>
          <w:color w:val="1A1714"/>
          <w:sz w:val="22"/>
          <w:szCs w:val="22"/>
        </w:rPr>
        <w:t xml:space="preserve">Media assets referenced by admitted records may be transformed for delivery. Four transformations are specified — compression, expansion, colourisation and restoration — and all four are governed by one rule stated before any of them: a transformation carries the provenance of the asset it transformed, and any value it introduces that was not present in the source is marked as introduced and is inadmissible as a grounding source.</w:t>
      </w:r>
    </w:p>
    <w:p>
      <w:pPr>
        <w:pStyle w:val="Heading2"/>
        <w:spacing w:after="140" w:before="300"/>
      </w:pPr>
      <w:r>
        <w:rPr>
          <w:b/>
          <w:bCs/>
          <w:color w:val="1A1714"/>
          <w:sz w:val="24"/>
          <w:szCs w:val="24"/>
        </w:rPr>
        <w:t xml:space="preserve">44.1  Compression</w:t>
      </w:r>
    </w:p>
    <w:p>
      <w:pPr>
        <w:spacing w:after="170" w:line="300"/>
      </w:pPr>
      <w:r>
        <w:rPr>
          <w:b w:val="false"/>
          <w:bCs w:val="false"/>
          <w:color w:val="1A1714"/>
          <w:sz w:val="22"/>
          <w:szCs w:val="22"/>
        </w:rPr>
        <w:t xml:space="preserve">Compression reduces an asset for delivery under a bandwidth or storage constraint. Two classes are distinguished by what they promise. A lossless compression reproduces the source exactly on decompression, and an asset so compressed remains citable as the source asset because nothing was discarded. A lossy compression discards information judged imperceptible under stated viewing or listening conditions, and an asset so compressed is marked with its compression class and the conditions assumed.</w:t>
      </w:r>
    </w:p>
    <w:p>
      <w:pPr>
        <w:spacing w:after="170" w:line="300"/>
      </w:pPr>
      <w:r>
        <w:rPr>
          <w:b w:val="false"/>
          <w:bCs w:val="false"/>
          <w:color w:val="1A1714"/>
          <w:sz w:val="22"/>
          <w:szCs w:val="22"/>
        </w:rPr>
        <w:t xml:space="preserve">The consequence that matters is not the ratio achieved but what a citation means afterwards. A record citing a region of a lossily-compressed image cites a region whose content is an approximation of the source, and the citation resolves to the source asset rather than to the delivered one. Where the source is unavailable, the citation reports that it resolves to a compressed derivative and states the compression class.</w:t>
      </w:r>
    </w:p>
    <w:p>
      <w:pPr>
        <w:spacing w:after="170" w:line="300"/>
      </w:pPr>
      <w:r>
        <w:rPr>
          <w:b w:val="false"/>
          <w:bCs w:val="false"/>
          <w:color w:val="1A1714"/>
          <w:sz w:val="22"/>
          <w:szCs w:val="22"/>
        </w:rPr>
        <w:t xml:space="preserve">This document states no compression ratio and no efficiency figure. A ratio depends upon the asset, the class elected, the conditions assumed and the implementation, and a figure stated here would be relied upon as a property of the system when it is a property of a particular encoding of a particular asset. Where a deployment requires such figures they are obtained by measurement under the trial architecture of Section 29, which reports them per asset class with the trial space enumerated, rather than asserted in a specification.</w:t>
      </w:r>
    </w:p>
    <w:p>
      <w:pPr>
        <w:pStyle w:val="Heading2"/>
        <w:spacing w:after="140" w:before="300"/>
      </w:pPr>
      <w:r>
        <w:rPr>
          <w:b/>
          <w:bCs/>
          <w:color w:val="1A1714"/>
          <w:sz w:val="24"/>
          <w:szCs w:val="24"/>
        </w:rPr>
        <w:t xml:space="preserve">44.2  Expansion</w:t>
      </w:r>
    </w:p>
    <w:p>
      <w:pPr>
        <w:spacing w:after="170" w:line="300"/>
      </w:pPr>
      <w:r>
        <w:rPr>
          <w:b w:val="false"/>
          <w:bCs w:val="false"/>
          <w:color w:val="1A1714"/>
          <w:sz w:val="22"/>
          <w:szCs w:val="22"/>
        </w:rPr>
        <w:t xml:space="preserve">Expansion increases the resolution or extent of an asset. Every value an expansion produces beyond those present in the source is introduced rather than recovered, and is marked accordingly. An expanded region is not citable as evidence of what the source depicted, does not contribute to any confidence value, and is delivered with the marking visible rather than as an unannotated image.</w:t>
      </w:r>
    </w:p>
    <w:p>
      <w:pPr>
        <w:spacing w:after="170" w:line="300"/>
      </w:pPr>
      <w:r>
        <w:rPr>
          <w:b w:val="false"/>
          <w:bCs w:val="false"/>
          <w:color w:val="1A1714"/>
          <w:sz w:val="22"/>
          <w:szCs w:val="22"/>
        </w:rPr>
        <w:t xml:space="preserve">Where the expansion is performed by convergence to a stored configuration, three further constraints apply, being those governing reconstruction generally: the confidence of an expanded region is bounded above by the lesser of the observed regions' confidence and that of the configuration converged to; where convergence fails within the iteration ceiling no expansion is produced and the gap is reported; and the marking is a property of the region rather than an annotation upon the asset. An image with an acknowledged gap is truthful; an image whose gap has been filled with the system's best estimate and presented as observation is not.</w:t>
      </w:r>
    </w:p>
    <w:p>
      <w:pPr>
        <w:pStyle w:val="Heading2"/>
        <w:spacing w:after="140" w:before="300"/>
      </w:pPr>
      <w:r>
        <w:rPr>
          <w:b/>
          <w:bCs/>
          <w:color w:val="1A1714"/>
          <w:sz w:val="24"/>
          <w:szCs w:val="24"/>
        </w:rPr>
        <w:t xml:space="preserve">44.3  Colourisation and Restoration</w:t>
      </w:r>
    </w:p>
    <w:p>
      <w:pPr>
        <w:spacing w:after="170" w:line="300"/>
      </w:pPr>
      <w:r>
        <w:rPr>
          <w:b w:val="false"/>
          <w:bCs w:val="false"/>
          <w:color w:val="1A1714"/>
          <w:sz w:val="22"/>
          <w:szCs w:val="22"/>
        </w:rPr>
        <w:t xml:space="preserve">Colourisation assigns colour values to an asset lacking them. A colour value is inferred from a material property asserted by an admitted record — that a described object was of a stated material, that a described substance had a stated appearance — computed deterministically such that identical inputs yield an identical value, and traceable to the specific record from which it was derived. A colour for which no record supports an inference is not assigned, and the region is delivered uncoloured rather than plausibly coloured.</w:t>
      </w:r>
    </w:p>
    <w:p>
      <w:pPr>
        <w:spacing w:after="170" w:line="300"/>
      </w:pPr>
      <w:r>
        <w:rPr>
          <w:b w:val="false"/>
          <w:bCs w:val="false"/>
          <w:color w:val="1A1714"/>
          <w:sz w:val="22"/>
          <w:szCs w:val="22"/>
        </w:rPr>
        <w:t xml:space="preserve">Restoration removes damage — scratches, fading, noise, loss — and is governed identically: a restored region is marked, is inadmissible as evidence of what the source depicted, and where the restoration would require inventing content rather than removing an artefact, it is not performed. Drift between a restored asset and its source is registered by measuring the difference in a perceptually uniform colour space against a declared tolerance, so that a restoration exceeding what was authorised is detectable rather than merely disclaimed.</w:t>
      </w:r>
    </w:p>
    <w:p>
      <w:pPr>
        <w:spacing w:after="170" w:line="300"/>
      </w:pPr>
      <w:r>
        <w:rPr>
          <w:b w:val="false"/>
          <w:bCs w:val="false"/>
          <w:color w:val="1A1714"/>
          <w:sz w:val="22"/>
          <w:szCs w:val="22"/>
        </w:rPr>
        <w:t xml:space="preserve">The property common to all four transformations is worth stating once more, because it is what distinguishes this from ordinary media processing. A transformed asset never becomes evidence of anything the source did not contain. It may be delivered, it may be beautiful, and it may be exactly what a reader wanted; it may not be cited.</w:t>
      </w:r>
    </w:p>
    <w:p>
      <w:pPr>
        <w:pStyle w:val="Heading1"/>
        <w:spacing w:after="140" w:before="300"/>
      </w:pPr>
      <w:r>
        <w:rPr>
          <w:b/>
          <w:bCs/>
          <w:color w:val="1A1714"/>
          <w:sz w:val="28"/>
          <w:szCs w:val="28"/>
        </w:rPr>
        <w:t xml:space="preserve">45.  Three-Dimensional and Immersive Presentation</w:t>
      </w:r>
    </w:p>
    <w:p>
      <w:pPr>
        <w:spacing w:after="170" w:line="300"/>
      </w:pPr>
      <w:r>
        <w:rPr>
          <w:b w:val="false"/>
          <w:bCs w:val="false"/>
          <w:color w:val="1A1714"/>
          <w:sz w:val="22"/>
          <w:szCs w:val="22"/>
        </w:rPr>
        <w:t xml:space="preserve">Records carrying spatial anchors support presentation in three dimensions. A scene description is assembled from those records and rendered as an immersive environment through which a reader moves, and the presentation is governed by the same constraint that governs text: what may be depicted is what admitted records support.</w:t>
      </w:r>
    </w:p>
    <w:p>
      <w:pPr>
        <w:pStyle w:val="Heading2"/>
        <w:spacing w:after="140" w:before="300"/>
      </w:pPr>
      <w:r>
        <w:rPr>
          <w:b/>
          <w:bCs/>
          <w:color w:val="1A1714"/>
          <w:sz w:val="24"/>
          <w:szCs w:val="24"/>
        </w:rPr>
        <w:t xml:space="preserve">45.1  Sufficiency, and the refusal to complete</w:t>
      </w:r>
    </w:p>
    <w:p>
      <w:pPr>
        <w:spacing w:after="170" w:line="300"/>
      </w:pPr>
      <w:r>
        <w:rPr>
          <w:b w:val="false"/>
          <w:bCs w:val="false"/>
          <w:color w:val="1A1714"/>
          <w:sz w:val="22"/>
          <w:szCs w:val="22"/>
        </w:rPr>
        <w:t xml:space="preserve">A scene is rendered only where the spatial detail carried by the contributing records satisfies a configured sufficiency threshold. Where it does not, the scene is withheld and the deficiency is stated. It is not completed from an unsupported estimate, and this is the central discipline of the section: a three-dimensional presentation is enormously persuasive, a reader who walks through a room believes they have seen the room, and a room assembled partly from records and partly from plausible inference would be believed in whole. Where a scene is rendered with any region derived rather than attested, that region is marked within the scene itself and is inadmissible as a grounding source.</w:t>
      </w:r>
    </w:p>
    <w:p>
      <w:pPr>
        <w:pStyle w:val="Heading2"/>
        <w:spacing w:after="140" w:before="300"/>
      </w:pPr>
      <w:r>
        <w:rPr>
          <w:b/>
          <w:bCs/>
          <w:color w:val="1A1714"/>
          <w:sz w:val="24"/>
          <w:szCs w:val="24"/>
        </w:rPr>
        <w:t xml:space="preserve">45.2  Composition and citation</w:t>
      </w:r>
    </w:p>
    <w:p>
      <w:pPr>
        <w:spacing w:after="170" w:line="300"/>
      </w:pPr>
      <w:r>
        <w:rPr>
          <w:b w:val="false"/>
          <w:bCs w:val="false"/>
          <w:color w:val="1A1714"/>
          <w:sz w:val="22"/>
          <w:szCs w:val="22"/>
        </w:rPr>
        <w:t xml:space="preserve">Objects within a scene retain their record identity. Selecting an object returns the records that placed it there, with their citations, so a spatial presentation is interrogable in the same way a passage is. An object whose identity is uncertain is rendered with that uncertainty expressed rather than resolved by selection.</w:t>
      </w:r>
    </w:p>
    <w:p>
      <w:pPr>
        <w:spacing w:after="170" w:line="300"/>
      </w:pPr>
      <w:r>
        <w:rPr>
          <w:b w:val="false"/>
          <w:bCs w:val="false"/>
          <w:color w:val="1A1714"/>
          <w:sz w:val="22"/>
          <w:szCs w:val="22"/>
        </w:rPr>
        <w:t xml:space="preserve">A single object identity is retained across a full occlusion within a session: an object passing behind another is not re-created as a second node upon reappearing, because it was never treated as having ceased to exist. The correspondence is to object permanence as described by Piaget, and it is stated because the alternative — a new identity on each reappearance — produces a scene in which the same object accumulates as several.</w:t>
      </w:r>
    </w:p>
    <w:p>
      <w:pPr>
        <w:pStyle w:val="Heading2"/>
        <w:spacing w:after="140" w:before="300"/>
      </w:pPr>
      <w:r>
        <w:rPr>
          <w:b/>
          <w:bCs/>
          <w:color w:val="1A1714"/>
          <w:sz w:val="24"/>
          <w:szCs w:val="24"/>
        </w:rPr>
        <w:t xml:space="preserve">45.3  What is excluded from an immersive presentation</w:t>
      </w:r>
    </w:p>
    <w:p>
      <w:pPr>
        <w:spacing w:after="170" w:line="300"/>
      </w:pPr>
      <w:r>
        <w:rPr>
          <w:b w:val="false"/>
          <w:bCs w:val="false"/>
          <w:color w:val="1A1714"/>
          <w:sz w:val="22"/>
          <w:szCs w:val="22"/>
        </w:rPr>
        <w:t xml:space="preserve">Three exclusions apply and are structural rather than configured. No classification of a natural person or of an animal enters a rendered scene at any confidence, so a presentation cannot become a means of identifying who was present. No gaze direction, dwell duration, head pose or attention signal is captured, so a reader's attention within a scene is not measured. And commercial content occupies a registered spatial placement class, never interleaved with the scene's own propositions, and is subject to the same density ceiling and the same isolation as in a textual presentation.</w:t>
      </w:r>
    </w:p>
    <w:p>
      <w:pPr>
        <w:spacing w:after="170" w:line="300"/>
      </w:pPr>
      <w:r>
        <w:rPr>
          <w:b w:val="false"/>
          <w:bCs w:val="false"/>
          <w:color w:val="1A1714"/>
          <w:sz w:val="22"/>
          <w:szCs w:val="22"/>
        </w:rPr>
        <w:t xml:space="preserve">An accessible equivalent — a scene description in text — is generated at the same production stage as the scene itself, and a production lacking one is reported incomplete.</w:t>
      </w:r>
    </w:p>
    <w:p>
      <w:pPr>
        <w:pStyle w:val="Heading1"/>
        <w:spacing w:after="140" w:before="300"/>
      </w:pPr>
      <w:r>
        <w:rPr>
          <w:b/>
          <w:bCs/>
          <w:color w:val="1A1714"/>
          <w:sz w:val="28"/>
          <w:szCs w:val="28"/>
        </w:rPr>
        <w:t xml:space="preserve">46.  Robotic and Equipment Applications</w:t>
      </w:r>
    </w:p>
    <w:p>
      <w:pPr>
        <w:spacing w:after="170" w:line="300"/>
      </w:pPr>
      <w:r>
        <w:rPr>
          <w:b w:val="false"/>
          <w:bCs w:val="false"/>
          <w:color w:val="1A1714"/>
          <w:sz w:val="22"/>
          <w:szCs w:val="22"/>
        </w:rPr>
        <w:t xml:space="preserve">The capabilities in this section are specialised rather than general. They are not required for a deployment that answers questions from documents, and they would not appear in a first release of such a product. They are specified because a knowledge system holding spatial records is the natural place from which to direct equipment that observes space, and because the constraints under which such direction is safe are easier to state before the capability exists than after.</w:t>
      </w:r>
    </w:p>
    <w:p>
      <w:pPr>
        <w:spacing w:after="170" w:line="300"/>
      </w:pPr>
      <w:r>
        <w:rPr>
          <w:b w:val="false"/>
          <w:bCs w:val="false"/>
          <w:color w:val="1A1714"/>
          <w:sz w:val="22"/>
          <w:szCs w:val="22"/>
        </w:rPr>
        <w:t xml:space="preserve">The system may direct physical equipment. This section states what that means, what it is for, and where it stops, because a knowledge system that emits commands to machinery is an unusual thing and a reader is entitled to know its boundaries before its mechanisms.</w:t>
      </w:r>
    </w:p>
    <w:p>
      <w:pPr>
        <w:spacing w:after="170" w:line="300"/>
      </w:pPr>
      <w:r>
        <w:rPr>
          <w:b w:val="false"/>
          <w:bCs w:val="false"/>
          <w:color w:val="1A1714"/>
          <w:sz w:val="22"/>
          <w:szCs w:val="22"/>
        </w:rPr>
        <w:t xml:space="preserve">The purpose is narrow. Where a corpus contains spatial knowledge — a warehouse, a collection, a production line, a site — a reader’s question about it may be answerable only by looking, and the equipment that can look is a camera on a mount. Directing that camera from the same records that answer the question is the capability specified here: a request expressed in ordinary language becomes a command sequence, the equipment captures, and what it captures enters the corpus as evidence with its provenance. The same applies to inspection, to survey, and to the capture of material for immersive presentation.</w:t>
      </w:r>
    </w:p>
    <w:p>
      <w:pPr>
        <w:spacing w:after="170" w:line="300"/>
      </w:pPr>
      <w:r>
        <w:rPr>
          <w:b w:val="false"/>
          <w:bCs w:val="false"/>
          <w:color w:val="1A1714"/>
          <w:sz w:val="22"/>
          <w:szCs w:val="22"/>
        </w:rPr>
        <w:t xml:space="preserve">Two capabilities are specified under authorization classes disjoint from one another, and the boundary between them is the presence or absence of intentional contact with a person. Everything in the first class is designed so that contact does not occur; everything in the second exists because it must.</w:t>
      </w:r>
    </w:p>
    <w:p>
      <w:pPr>
        <w:pStyle w:val="Heading2"/>
        <w:spacing w:after="140" w:before="300"/>
      </w:pPr>
      <w:r>
        <w:rPr>
          <w:b/>
          <w:bCs/>
          <w:color w:val="1A1714"/>
          <w:sz w:val="24"/>
          <w:szCs w:val="24"/>
        </w:rPr>
        <w:t xml:space="preserve">46.1  Capture and inspection equipment</w:t>
      </w:r>
    </w:p>
    <w:p>
      <w:pPr>
        <w:spacing w:after="170" w:line="300"/>
      </w:pPr>
      <w:r>
        <w:rPr>
          <w:b w:val="false"/>
          <w:bCs w:val="false"/>
          <w:color w:val="1A1714"/>
          <w:sz w:val="22"/>
          <w:szCs w:val="22"/>
        </w:rPr>
        <w:t xml:space="preserve">This capability serves the case above: equipment that looks, measures or captures, and whose failure mode is a bad photograph or a bumped fixture rather than an injury. It is the class in which a knowledge system can reasonably hold the authority to act, and the constraints below are what make that reasonable.</w:t>
      </w:r>
    </w:p>
    <w:p>
      <w:pPr>
        <w:spacing w:after="170" w:line="300"/>
      </w:pPr>
      <w:r>
        <w:rPr>
          <w:b w:val="false"/>
          <w:bCs w:val="false"/>
          <w:color w:val="1A1714"/>
          <w:sz w:val="22"/>
          <w:szCs w:val="22"/>
        </w:rPr>
        <w:t xml:space="preserve">Command emission is permitted to registered equipment of a capture and inspection class: pan-tilt-zoom camera heads, lighting fixtures, capture drones operating within a bounded volume, inspection arms, positioning stages and mobile capture bases. Each unit is registered with its kinematic envelope, its velocity and force limits, and the volume within which it may operate; a unit whose registration lacks any of these is not commandable, and a command exceeding a registered limit is refused before emission rather than clamped to it.</w:t>
      </w:r>
    </w:p>
    <w:p>
      <w:pPr>
        <w:spacing w:after="170" w:line="300"/>
      </w:pPr>
      <w:r>
        <w:rPr>
          <w:b w:val="false"/>
          <w:bCs w:val="false"/>
          <w:color w:val="1A1714"/>
          <w:sz w:val="22"/>
          <w:szCs w:val="22"/>
        </w:rPr>
        <w:t xml:space="preserve">A natural-language request is compiled to a command sequence through intent decomposition, target resolution against a live spatial model, capability mapping to a registered unit, plan synthesis within the registered envelope, and constraint evaluation. Each stage halts rather than guesses: an ambiguous intent returns a clarification request, an unresolvable target halts compilation rather than selecting among candidates, and a plan not satisfiable within the envelope is refused rather than truncated.</w:t>
      </w:r>
    </w:p>
    <w:p>
      <w:pPr>
        <w:spacing w:after="170" w:line="300"/>
      </w:pPr>
      <w:r>
        <w:rPr>
          <w:b w:val="false"/>
          <w:bCs w:val="false"/>
          <w:color w:val="1A1714"/>
          <w:sz w:val="22"/>
          <w:szCs w:val="22"/>
        </w:rPr>
        <w:t xml:space="preserve">Authority is granted per session rather than per command, because continuous control cannot require an approval for each of thousands of commands and a mechanism pretending otherwise would be approved by reflex. Four properties bound the authorization and together justify the departure from per-change approval: it expires, and expiry halts emission rather than prompting mid-motion; it is revocable before the next command rather than at plan end; it is scoped to named units, volumes and task classes; and it is recorded, so every command traces to its grantor.</w:t>
      </w:r>
    </w:p>
    <w:p>
      <w:pPr>
        <w:spacing w:after="170" w:line="300"/>
      </w:pPr>
      <w:r>
        <w:rPr>
          <w:b w:val="false"/>
          <w:bCs w:val="false"/>
          <w:color w:val="1A1714"/>
          <w:sz w:val="22"/>
          <w:szCs w:val="22"/>
        </w:rPr>
        <w:t xml:space="preserve">Every command is evaluated before emission against operating volume, kinematic envelope, velocity and force limits, minimum obstacle clearance, human proximity, inter-unit swept volume and recording-restricted zones. A violating command is withheld unconditionally: not emitted at reduced priority, not emitted with a warning, and not modified into a permissible command by the system's own selection. Person detection for this purpose is safety-only — used to compute clearance and for nothing else, retained beyond no evaluation, entering no result set, available to no other mechanism. A system that could not see a person could not avoid one; a system that remembers having seen them is a surveillance capability, and this is not one.</w:t>
      </w:r>
    </w:p>
    <w:p>
      <w:pPr>
        <w:spacing w:after="170" w:line="300"/>
      </w:pPr>
      <w:r>
        <w:rPr>
          <w:b w:val="false"/>
          <w:bCs w:val="false"/>
          <w:color w:val="1A1714"/>
          <w:sz w:val="22"/>
          <w:szCs w:val="22"/>
        </w:rPr>
        <w:t xml:space="preserve">A halt is evaluated from equipment state and the constraint set directly, without traversing retrieval, convergence, generation or interpretive modulation, so it cannot be delayed by a query in progress. This is stated as a requirement rather than an optimisation: a stop that waits for an answer is not a stop.</w:t>
      </w:r>
    </w:p>
    <w:p>
      <w:pPr>
        <w:pStyle w:val="Heading2"/>
        <w:spacing w:after="140" w:before="300"/>
      </w:pPr>
      <w:r>
        <w:rPr>
          <w:b/>
          <w:bCs/>
          <w:color w:val="1A1714"/>
          <w:sz w:val="24"/>
          <w:szCs w:val="24"/>
        </w:rPr>
        <w:t xml:space="preserve">46.2  Assistive contact with a person</w:t>
      </w:r>
    </w:p>
    <w:p>
      <w:pPr>
        <w:spacing w:after="170" w:line="300"/>
      </w:pPr>
      <w:r>
        <w:rPr>
          <w:b w:val="false"/>
          <w:bCs w:val="false"/>
          <w:color w:val="1A1714"/>
          <w:sz w:val="22"/>
          <w:szCs w:val="22"/>
        </w:rPr>
        <w:t xml:space="preserve">This capability concerns machines that help a person physically: handing something to someone who cannot reach it, steadying someone who is unsteady, supporting a transfer from a chair to a bed. It is a distinct class of product serving a distinct purpose, and it is specified separately for a reason of safety engineering rather than of organisation.</w:t>
      </w:r>
    </w:p>
    <w:p>
      <w:pPr>
        <w:spacing w:after="170" w:line="300"/>
      </w:pPr>
      <w:r>
        <w:rPr>
          <w:b w:val="false"/>
          <w:bCs w:val="false"/>
          <w:color w:val="1A1714"/>
          <w:sz w:val="22"/>
          <w:szCs w:val="22"/>
        </w:rPr>
        <w:t xml:space="preserve">Equipment making intentional contact with a person operates under a separate authorization class, because contact inverts the governing constraint. For capture equipment the constraint is an exclusion distance and a detected person causes a command to be withheld; for assistive equipment contact is the purpose, and the constraint becomes a force to be bounded, a consent to be held and a release to be guaranteed. Registration requires a completed hazard analysis for the intended task, user and environment, recorded with its assessor; a unit without one is not registrable.</w:t>
      </w:r>
    </w:p>
    <w:p>
      <w:pPr>
        <w:spacing w:after="170" w:line="300"/>
      </w:pPr>
      <w:r>
        <w:rPr>
          <w:b w:val="false"/>
          <w:bCs w:val="false"/>
          <w:color w:val="1A1714"/>
          <w:sz w:val="22"/>
          <w:szCs w:val="22"/>
        </w:rPr>
        <w:t xml:space="preserve">Contact requires two authorizations held concurrently: a deployment authorization from an identified operator establishing that contact is permissible, and a contact consent from the person establishing that it is wanted. Neither substitutes for the other. Consent is bounded to a task class and an interval and does not persist across sessions.</w:t>
      </w:r>
    </w:p>
    <w:p>
      <w:pPr>
        <w:spacing w:after="170" w:line="300"/>
      </w:pPr>
      <w:r>
        <w:rPr>
          <w:b w:val="false"/>
          <w:bCs w:val="false"/>
          <w:color w:val="1A1714"/>
          <w:sz w:val="22"/>
          <w:szCs w:val="22"/>
        </w:rPr>
        <w:t xml:space="preserve">Withdrawal by the assisted person halts contact within the registered stopping interval and is not overridable by an operator, by a representative, or by a task in progress. The absoluteness is deliberate: the circumstances in which overriding would be tempting — a transfer half-completed, a caregiver certain the help is needed — are the circumstances in which a person's refusal matters most. Where a person cannot express or withdraw consent, contact proceeds only under a designated representative, a second person holding a halt control, and a restricted subset of task classes; the system does not determine incapacity, reading that determination from the deployment's own clinical or legal governance.</w:t>
      </w:r>
    </w:p>
    <w:p>
      <w:pPr>
        <w:spacing w:after="170" w:line="300"/>
      </w:pPr>
      <w:r>
        <w:rPr>
          <w:b w:val="false"/>
          <w:bCs w:val="false"/>
          <w:color w:val="1A1714"/>
          <w:sz w:val="22"/>
          <w:szCs w:val="22"/>
        </w:rPr>
        <w:t xml:space="preserve">Force and pressure limits are registered per region of the body, a force within limit over a reduced area not being thereby permissible. Power loss, control-signal loss, a fault in the safety path and any halt result in release rather than retention — a gripper that holds when power is lost traps whom it was assisting — excepting a unit bearing a person's weight, for which release means a fall and whose registered redundant support permits a controlled retention with an alert and a bounded transfer interval. No record of the person's body, movement, capability or dependency is constructed, retained or made queryable.</w:t>
      </w:r>
    </w:p>
    <w:p>
      <w:pPr>
        <w:pStyle w:val="Heading2"/>
        <w:spacing w:after="140" w:before="300"/>
      </w:pPr>
      <w:r>
        <w:rPr>
          <w:b/>
          <w:bCs/>
          <w:color w:val="1A1714"/>
          <w:sz w:val="24"/>
          <w:szCs w:val="24"/>
        </w:rPr>
        <w:t xml:space="preserve">46.3  What robotic operation does not establish</w:t>
      </w:r>
    </w:p>
    <w:p>
      <w:pPr>
        <w:spacing w:after="170" w:line="300"/>
      </w:pPr>
      <w:r>
        <w:rPr>
          <w:b w:val="false"/>
          <w:bCs w:val="false"/>
          <w:color w:val="1A1714"/>
          <w:sz w:val="22"/>
          <w:szCs w:val="22"/>
        </w:rPr>
        <w:t xml:space="preserve">Two limits are stated because both are easy to assume. Vehicle control remains outside scope: telemetry from a vehicle-control system is ingested as analysis and no control interface to any vehicle system exists or is created, a mechanism whose failure can injure a person at speed not being brought within scope because a mechanism whose failure spoils a photograph has been. And a simulated pass is not clearance to operate: a trial result concerning equipment is evidence about a model of that equipment, clearance being established by hazard analysis and certification upon the specific unit, and where a simulation and a physical trial disagree the physical trial governs.</w:t>
      </w:r>
    </w:p>
    <w:p>
      <w:pPr>
        <w:pStyle w:val="Heading1"/>
        <w:spacing w:after="140" w:before="300"/>
      </w:pPr>
      <w:r>
        <w:rPr>
          <w:b/>
          <w:bCs/>
          <w:color w:val="1A1714"/>
          <w:sz w:val="28"/>
          <w:szCs w:val="28"/>
        </w:rPr>
        <w:t xml:space="preserve">47.  External Connections</w:t>
      </w:r>
    </w:p>
    <w:p>
      <w:pPr>
        <w:spacing w:after="170" w:line="300"/>
      </w:pPr>
      <w:r>
        <w:rPr>
          <w:b w:val="false"/>
          <w:bCs w:val="false"/>
          <w:color w:val="1A1714"/>
          <w:sz w:val="22"/>
          <w:szCs w:val="22"/>
        </w:rPr>
        <w:t xml:space="preserve">Every connection to a system outside the boundary follows one pattern, and understanding it once explains all of them. This section states the pattern, then the classes of connection it governs.</w:t>
      </w:r>
    </w:p>
    <w:p>
      <w:pPr>
        <w:pStyle w:val="Heading2"/>
        <w:spacing w:after="140" w:before="300"/>
      </w:pPr>
      <w:r>
        <w:rPr>
          <w:b/>
          <w:bCs/>
          <w:color w:val="1A1714"/>
          <w:sz w:val="24"/>
          <w:szCs w:val="24"/>
        </w:rPr>
        <w:t xml:space="preserve">47.1  The common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Step</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happens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Registration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external system is registered with a declared capability set — an explicit enumeration of what it may do — together with a verified identity and a validity interval.</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Boundary enforcement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operation not within the declared set is refused at the boundary rather than attempted and failed. A capability not declared cannot be exercised by agreement, configuration or error.</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Scope resolution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Every call resolves an entitlement before any content is read, and no parameter supplied by the caller widens one.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Metering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Calls are metered per calling identity in their own accounting category; a caller over budget is refused rather than throttled, so volume cannot displace a safety-evaluation unit.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Recording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Every call is recorded with the connector identity, the capability exercised and the fields transmitted.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Containment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connector's failure is contained to its own capability. The core is unaffected, which is the sense in which an external resource is an option rather than a dependency.</w:t>
            </w:r>
          </w:p>
        </w:tc>
      </w:tr>
    </w:tbl>
    <w:p>
      <w:pPr>
        <w:spacing w:after="160"/>
      </w:pPr>
    </w:p>
    <w:p>
      <w:pPr>
        <w:pStyle w:val="Heading2"/>
        <w:spacing w:after="140" w:before="300"/>
      </w:pPr>
      <w:r>
        <w:rPr>
          <w:b/>
          <w:bCs/>
          <w:color w:val="1A1714"/>
          <w:sz w:val="24"/>
          <w:szCs w:val="24"/>
        </w:rPr>
        <w:t xml:space="preserve">47.2  Classes of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Class</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is dispatched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is received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Programmatic interface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request from an external application across one of nine versioned interfaces — content, query, rights, layout, assessment, edition, semantic, media, immersion.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response bounded by the caller's entitlement. A request omitting an interface version is refused rather than defaulted.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Plugin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operation from a registered third-party extension, reaching knowledge only through the interfaces and within the entitlement of the identity on whose behalf it runs.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Output labelled with the plugin's identity, presented separately, and never citable as grounding. A plugin declaring a safety operation is refused at registration.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Equipment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specific declared action to a robotics, capture or IoT platform.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Status and sensor return. The system acquires no authority over the platform beyond the declared action.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Fact-retrieval resource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query to an optional external knowledge resource.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Records admitted as ordinary ingestion. No claim recites such a resource as an element, and no transfer permits a domain to require one to complete an operation.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Analysis target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probe or a forensic evaluation of an external system's output.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analysis record, quarantined from every scope description not directed to it, and barred from retrieval.</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Machine-learning engine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prompt composed from records under the vocabulary constraint, according to a profile registered for that engine.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reply converted to records carrying an unremovable derivation marking, bounded confidence, and a source-class attribution preventing self-corroboration.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Live data feed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subscription to a published stream.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Values admitted at publication authority, bounded by a staleness bound, governed by a restatement policy and a redistribution entitlement.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Learning system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roster read, an assignment read, a grade write.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outcome alone. No record, no response text, no interaction history is transmitted.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Print and fulfilment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composition request carrying a reference to the rights validation that permitted it.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print job with deterministic pagination, such that a reprint of unchanged content is identical.</w:t>
            </w:r>
          </w:p>
        </w:tc>
      </w:tr>
    </w:tbl>
    <w:p>
      <w:pPr>
        <w:spacing w:after="160"/>
      </w:pPr>
    </w:p>
    <w:p>
      <w:pPr>
        <w:pStyle w:val="Heading2"/>
        <w:spacing w:after="140" w:before="300"/>
      </w:pPr>
      <w:r>
        <w:rPr>
          <w:b/>
          <w:bCs/>
          <w:color w:val="1A1714"/>
          <w:sz w:val="24"/>
          <w:szCs w:val="24"/>
        </w:rPr>
        <w:t xml:space="preserve">47.3  What a connection never confers</w:t>
      </w:r>
    </w:p>
    <w:p>
      <w:pPr>
        <w:spacing w:after="170" w:line="300"/>
      </w:pPr>
      <w:r>
        <w:rPr>
          <w:b w:val="false"/>
          <w:bCs w:val="false"/>
          <w:color w:val="1A1714"/>
          <w:sz w:val="22"/>
          <w:szCs w:val="22"/>
        </w:rPr>
        <w:t xml:space="preserve">Four things are withheld from every class above without exception. A connected system acquires no write access to the record store, all admission proceeding through the ingestion conversion which applies safety evaluation, type validation and confidence calibration. A connected system's output does not become grounding merely by arriving — it is either converted to records under a stated rule or quarantined as analysis. A connected system cannot register, modify or suspend a safety evaluation. And no connection creates a dependency: the determinism and groundedness guarantees are established by the constrained vocabulary and the bounded convergence within the system, and hold identically where every connector is absent.</w:t>
      </w:r>
    </w:p>
    <w:p>
      <w:pPr>
        <w:pStyle w:val="Heading1"/>
        <w:spacing w:after="140" w:before="300"/>
      </w:pPr>
      <w:r>
        <w:rPr>
          <w:b/>
          <w:bCs/>
          <w:color w:val="1A1714"/>
          <w:sz w:val="28"/>
          <w:szCs w:val="28"/>
        </w:rPr>
        <w:t xml:space="preserve">48.  Analytical Applications and the Continuous Query Engine</w:t>
      </w:r>
    </w:p>
    <w:p>
      <w:pPr>
        <w:spacing w:after="170" w:line="300"/>
      </w:pPr>
      <w:r>
        <w:rPr>
          <w:b w:val="false"/>
          <w:bCs w:val="false"/>
          <w:color w:val="1A1714"/>
          <w:sz w:val="22"/>
          <w:szCs w:val="22"/>
        </w:rPr>
        <w:t xml:space="preserve">The mechanisms specified in the preceding sections combine into an analytical capability suited to domains in which conclusions must be defensible: economic and market analysis, regulatory and compliance review, scientific and technical assessment. This section states how the parts assemble and what the resulting analysis does and does not assert.</w:t>
      </w:r>
    </w:p>
    <w:p>
      <w:pPr>
        <w:pStyle w:val="Heading2"/>
        <w:spacing w:after="140" w:before="300"/>
      </w:pPr>
      <w:r>
        <w:rPr>
          <w:b/>
          <w:bCs/>
          <w:color w:val="1A1714"/>
          <w:sz w:val="24"/>
          <w:szCs w:val="24"/>
        </w:rPr>
        <w:t xml:space="preserve">48.1  What an analysis is composed from</w:t>
      </w:r>
    </w:p>
    <w:p>
      <w:pPr>
        <w:spacing w:after="170" w:line="300"/>
      </w:pPr>
      <w:r>
        <w:rPr>
          <w:b w:val="false"/>
          <w:bCs w:val="false"/>
          <w:color w:val="1A1714"/>
          <w:sz w:val="22"/>
          <w:szCs w:val="22"/>
        </w:rPr>
        <w:t xml:space="preserve">An analysis is composed from admitted records under the same constraint as any other response. Its inputs may include ingested documents — filings, reports, studies, regulations — alongside live data feeds registered under Section 43, and observations from any of the eight ingestion modalities. Records from these sources are of one kind afterwards, so a published figure and a statement in a filing may be compared, and agreement between two source classes raises the diversity measure in a way agreement between two documents of the same class does not.</w:t>
      </w:r>
    </w:p>
    <w:p>
      <w:pPr>
        <w:spacing w:after="170" w:line="300"/>
      </w:pPr>
      <w:r>
        <w:rPr>
          <w:b w:val="false"/>
          <w:bCs w:val="false"/>
          <w:color w:val="1A1714"/>
          <w:sz w:val="22"/>
          <w:szCs w:val="22"/>
        </w:rPr>
        <w:t xml:space="preserve">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so an analysis over disagreeing filings reports the disagreement. And the analysis is reproducible: the same records in the same state under the same context key produce the same analysis, which is what permits a conclusion reached in March to be re-derived in September and shown to be the same conclusion.</w:t>
      </w:r>
    </w:p>
    <w:p>
      <w:pPr>
        <w:pStyle w:val="Heading2"/>
        <w:spacing w:after="140" w:before="300"/>
      </w:pPr>
      <w:r>
        <w:rPr>
          <w:b/>
          <w:bCs/>
          <w:color w:val="1A1714"/>
          <w:sz w:val="24"/>
          <w:szCs w:val="24"/>
        </w:rPr>
        <w:t xml:space="preserve">48.2  The Continuous Query Engine</w:t>
      </w:r>
    </w:p>
    <w:p>
      <w:pPr>
        <w:spacing w:after="170" w:line="300"/>
      </w:pPr>
      <w:r>
        <w:rPr>
          <w:b w:val="false"/>
          <w:bCs w:val="false"/>
          <w:color w:val="1A1714"/>
          <w:sz w:val="22"/>
          <w:szCs w:val="22"/>
        </w:rPr>
        <w:t xml:space="preserve">An analysis need not be a single act. A continuous query is registered as a standing program comprising a trigger clause and a body, and is re-evaluated upon every update relevant to it rather than upon a schedule. The trigger is evaluated against admitted records, so a condition expressed over a published value, a filing, a sensor observation or a combination of them fires when the condition obtains and not before.</w:t>
      </w:r>
    </w:p>
    <w:p>
      <w:pPr>
        <w:spacing w:after="170" w:line="300"/>
      </w:pPr>
      <w:r>
        <w:rPr>
          <w:b w:val="false"/>
          <w:bCs w:val="false"/>
          <w:color w:val="1A1714"/>
          <w:sz w:val="22"/>
          <w:szCs w:val="22"/>
        </w:rPr>
        <w:t xml:space="preserve">Four properties govern its operation. The Prime Directive is re-checked at each firing rather than at registration, so a standing query does not accumulate authority by having been approved once. A trigger is not evaluated against a value outside its staleness bound, so a stopped feed produces no firings rather than firing on a stale value. A firing rate is bounded per query, an exceeded bound suspending the query and notifying its owner, because a volatile period would otherwise generate firings faster than they could be acted upon. And a standing query is metered in its own accounting category below safety evaluation and below requester-serving, so a volatile feed degrades the standing-query category rather than the answering of a reader's question.</w:t>
      </w:r>
    </w:p>
    <w:p>
      <w:pPr>
        <w:pStyle w:val="Heading2"/>
        <w:spacing w:after="140" w:before="300"/>
      </w:pPr>
      <w:r>
        <w:rPr>
          <w:b/>
          <w:bCs/>
          <w:color w:val="1A1714"/>
          <w:sz w:val="24"/>
          <w:szCs w:val="24"/>
        </w:rPr>
        <w:t xml:space="preserve">48.3  Guiding an analysis</w:t>
      </w:r>
    </w:p>
    <w:p>
      <w:pPr>
        <w:spacing w:after="170" w:line="300"/>
      </w:pPr>
      <w:r>
        <w:rPr>
          <w:b w:val="false"/>
          <w:bCs w:val="false"/>
          <w:color w:val="1A1714"/>
          <w:sz w:val="22"/>
          <w:szCs w:val="22"/>
        </w:rPr>
        <w:t xml:space="preserve">An analysis may be directed rather than merely requested. The elements available to direct it are registered rather than free-form, so that a directed analysis remains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Element</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governs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Scope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Which sources and which intervals the analysis may draw upon, resolved before traversal so material outside it is not traversable.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Temporal posture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Whether the analysis resolves against the state attested before a cutoff, the current state, or a projection carrying a credible interval.</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Source-class weighting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registered reliability of each contributing class, from which confidence is calibrated. Weights are configuration, recorded with the result.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Confidence floor</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threshold below which a record is not admitted to the analysis, and beneath which the analysis reports a boundary rather than a conclusion.</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Contradiction policy</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Whether a contradiction halts the analysis, is reported alongside the conclusion, or is enumerated as a separate finding.</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Discriminating instance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Where two hypotheses stand within the separation floor, the observation that would separate them, stated with what each posterior would become under its presence and its absence.</w:t>
            </w:r>
          </w:p>
        </w:tc>
      </w:tr>
    </w:tbl>
    <w:p>
      <w:pPr>
        <w:spacing w:after="160"/>
      </w:pPr>
    </w:p>
    <w:p>
      <w:pPr>
        <w:pStyle w:val="Heading2"/>
        <w:spacing w:after="140" w:before="300"/>
      </w:pPr>
      <w:r>
        <w:rPr>
          <w:b/>
          <w:bCs/>
          <w:color w:val="1A1714"/>
          <w:sz w:val="24"/>
          <w:szCs w:val="24"/>
        </w:rPr>
        <w:t xml:space="preserve">48.4  What an analysis does not assert</w:t>
      </w:r>
    </w:p>
    <w:p>
      <w:pPr>
        <w:spacing w:after="170" w:line="300"/>
      </w:pPr>
      <w:r>
        <w:rPr>
          <w:b w:val="false"/>
          <w:bCs w:val="false"/>
          <w:color w:val="1A1714"/>
          <w:sz w:val="22"/>
          <w:szCs w:val="22"/>
        </w:rPr>
        <w:t xml:space="preserve">Four limits are stated because an analytical application invites each of them to be assumed. A projection is not a record: a result resolved in the projected-future posture carries its credible interval, is never admitted as a knowledge record, and never grounds a subsequent answer. A feed value grounds an assertion about the value and its publication and nothing further — not about why, not about what follows, and an inference drawn from it is an inference subject to the rule that induction does not write.</w:t>
      </w:r>
    </w:p>
    <w:p>
      <w:pPr>
        <w:spacing w:after="170" w:line="300"/>
      </w:pPr>
      <w:r>
        <w:rPr>
          <w:b w:val="false"/>
          <w:bCs w:val="false"/>
          <w:color w:val="1A1714"/>
          <w:sz w:val="22"/>
          <w:szCs w:val="22"/>
        </w:rPr>
        <w:t xml:space="preserve">An analysis whose subject resolves to an individual natural person is refused at construction, the subject classes admissible being institutions, systems and organisational processes. And no analysis constitutes advice: the system reports what the records support, with confidence, provenance and any contradictions among them, and the judgment of what to do about it is not a proposition any record supports.</w:t>
      </w:r>
    </w:p>
    <w:p>
      <w:pPr>
        <w:pStyle w:val="Heading1"/>
        <w:spacing w:after="140" w:before="300"/>
      </w:pPr>
      <w:r>
        <w:rPr>
          <w:b/>
          <w:bCs/>
          <w:color w:val="1A1714"/>
          <w:sz w:val="28"/>
          <w:szCs w:val="28"/>
        </w:rPr>
        <w:t xml:space="preserve">49.  Defined Agents</w:t>
      </w:r>
    </w:p>
    <w:p>
      <w:pPr>
        <w:spacing w:after="170" w:line="300"/>
      </w:pPr>
      <w:r>
        <w:rPr>
          <w:b w:val="false"/>
          <w:bCs w:val="false"/>
          <w:color w:val="1A1714"/>
          <w:sz w:val="22"/>
          <w:szCs w:val="22"/>
        </w:rPr>
        <w:t xml:space="preserve">A defined agent is a bounded program registered with a complete definition and executed on a schedule or upon a trigger. It is distinguished from the AI-engine ingestion of Section 40, which prompts an external model and ingests its reply: an agent is defined by a user, executes within this system, and holds no capability its definition did not declare. It is also distinguished from an agent framework in the ordinary sense, in which a model decomposes a task at execution time and the sequence of steps is determined as it runs. Here the sequence is fixed at registration and is inspectable before anything executes.</w:t>
      </w:r>
    </w:p>
    <w:p>
      <w:pPr>
        <w:pStyle w:val="Heading2"/>
        <w:spacing w:after="140" w:before="300"/>
      </w:pPr>
      <w:r>
        <w:rPr>
          <w:b/>
          <w:bCs/>
          <w:color w:val="1A1714"/>
          <w:sz w:val="24"/>
          <w:szCs w:val="24"/>
        </w:rPr>
        <w:t xml:space="preserve">49.1  Definition before registration</w:t>
      </w:r>
    </w:p>
    <w:p>
      <w:pPr>
        <w:spacing w:after="170" w:line="300"/>
      </w:pPr>
      <w:r>
        <w:rPr>
          <w:b w:val="false"/>
          <w:bCs w:val="false"/>
          <w:color w:val="1A1714"/>
          <w:sz w:val="22"/>
          <w:szCs w:val="22"/>
        </w:rPr>
        <w:t xml:space="preserve">An agent is registrable only upon a definition comprising a purpose and its boundary, an operational function with its input and output types and its error handling, a dataset access declaration enumerating what it may and may not reach, runtime parameters comprising frequency, duration, window, trigger conditions and termination conditions, and a lifecycle bound. A definition omitting any of these is refused at registration rather than accepted with a default supplied, because a default supplied for an unstated boundary is a boundary nobody chose.</w:t>
      </w:r>
    </w:p>
    <w:p>
      <w:pPr>
        <w:spacing w:after="170" w:line="300"/>
      </w:pPr>
      <w:r>
        <w:rPr>
          <w:b w:val="false"/>
          <w:bCs w:val="false"/>
          <w:color w:val="1A1714"/>
          <w:sz w:val="22"/>
          <w:szCs w:val="22"/>
        </w:rPr>
        <w:t xml:space="preserve">An agent's declared capability set is bounded above by that of the identity registering it. An agent cannot reach what its registering identity could not reach, cannot outlive the entitlement under which it was created, and does not accumulate authority across executions. Where the registering identity's entitlement narrows, the agent's narrows with it at the next execution rather than at the next registration.</w:t>
      </w:r>
    </w:p>
    <w:p>
      <w:pPr>
        <w:pStyle w:val="Heading2"/>
        <w:spacing w:after="140" w:before="300"/>
      </w:pPr>
      <w:r>
        <w:rPr>
          <w:b/>
          <w:bCs/>
          <w:color w:val="1A1714"/>
          <w:sz w:val="24"/>
          <w:szCs w:val="24"/>
        </w:rPr>
        <w:t xml:space="preserve">49.2  Execution</w:t>
      </w:r>
    </w:p>
    <w:p>
      <w:pPr>
        <w:spacing w:after="170" w:line="300"/>
      </w:pPr>
      <w:r>
        <w:rPr>
          <w:b w:val="false"/>
          <w:bCs w:val="false"/>
          <w:color w:val="1A1714"/>
          <w:sz w:val="22"/>
          <w:szCs w:val="22"/>
        </w:rPr>
        <w:t xml:space="preserve">An agent's operational function is compiled into the bounded program representation already specified: a sequence, a conditional evaluation, a bounded iteration and a call to a declared capability, with no unbounded recursion and no construct admitting non-termination. The representation is inspectable before execution and the same program over the same records in the same state produces the same result, so an agent's behaviour is auditable in advance rather than only in retrospect.</w:t>
      </w:r>
    </w:p>
    <w:p>
      <w:pPr>
        <w:spacing w:after="170" w:line="300"/>
      </w:pPr>
      <w:r>
        <w:rPr>
          <w:b w:val="false"/>
          <w:bCs w:val="false"/>
          <w:color w:val="1A1714"/>
          <w:sz w:val="22"/>
          <w:szCs w:val="22"/>
        </w:rPr>
        <w:t xml:space="preserve">Each execution resolves a scope description before any traversal, and no parameter supplied at execution widens it. Each execution is metered in its own accounting category below safety evaluation and below requester-serving, so an agent under load degrades the agent category rather than the answering of a reader's question. The Prime Directive is evaluated at each execution rather than at registration, so an agent does not accumulate authority by having been approved once.</w:t>
      </w:r>
    </w:p>
    <w:p>
      <w:pPr>
        <w:pStyle w:val="Heading2"/>
        <w:spacing w:after="140" w:before="300"/>
      </w:pPr>
      <w:r>
        <w:rPr>
          <w:b/>
          <w:bCs/>
          <w:color w:val="1A1714"/>
          <w:sz w:val="24"/>
          <w:szCs w:val="24"/>
        </w:rPr>
        <w:t xml:space="preserve">49.3  What an agent may write</w:t>
      </w:r>
    </w:p>
    <w:p>
      <w:pPr>
        <w:spacing w:after="170" w:line="300"/>
      </w:pPr>
      <w:r>
        <w:rPr>
          <w:b w:val="false"/>
          <w:bCs w:val="false"/>
          <w:color w:val="1A1714"/>
          <w:sz w:val="22"/>
          <w:szCs w:val="22"/>
        </w:rPr>
        <w:t xml:space="preserve">The rule governing inference governs an agent identically. An output following necessarily from admitted records is admissible as a record marked derived. An output that is inductive or abductive is emitted in a proposed state and transitions to validated only upon a confirmation recorded against a named human. An agent therefore cannot enlarge the knowledge store with conclusions nobody approved, however many times it runs and however confident its reasoning.</w:t>
      </w:r>
    </w:p>
    <w:p>
      <w:pPr>
        <w:spacing w:after="170" w:line="300"/>
      </w:pPr>
      <w:r>
        <w:rPr>
          <w:b w:val="false"/>
          <w:bCs w:val="false"/>
          <w:color w:val="1A1714"/>
          <w:sz w:val="22"/>
          <w:szCs w:val="22"/>
        </w:rPr>
        <w:t xml:space="preserve">An agent operates upon records, typed adjacency and its own declared logic. It does not operate upon embeddings as a substitute for records, does not select among candidates by sampling, and holds no memory beyond what its definition declares and its trace records — there is no hidden state carried between executions.</w:t>
      </w:r>
    </w:p>
    <w:p>
      <w:pPr>
        <w:pStyle w:val="Heading2"/>
        <w:spacing w:after="140" w:before="300"/>
      </w:pPr>
      <w:r>
        <w:rPr>
          <w:b/>
          <w:bCs/>
          <w:color w:val="1A1714"/>
          <w:sz w:val="24"/>
          <w:szCs w:val="24"/>
        </w:rPr>
        <w:t xml:space="preserve">49.4  Lifecycle and termination</w:t>
      </w:r>
    </w:p>
    <w:p>
      <w:pPr>
        <w:spacing w:after="170" w:line="300"/>
      </w:pPr>
      <w:r>
        <w:rPr>
          <w:b w:val="false"/>
          <w:bCs w:val="false"/>
          <w:color w:val="1A1714"/>
          <w:sz w:val="22"/>
          <w:szCs w:val="22"/>
        </w:rPr>
        <w:t xml:space="preserve">An agent terminates upon expiry of the lifecycle bound recorded at registration, upon a request of an owner or an operator, upon a constraint violation, or upon reaching a configured safety threshold. Termination is not a suspension: a terminated agent does not resume without a fresh registration, so a lifecycle bound cannot be extended by an agent that has reached it.</w:t>
      </w:r>
    </w:p>
    <w:p>
      <w:pPr>
        <w:spacing w:after="170" w:line="300"/>
      </w:pPr>
      <w:r>
        <w:rPr>
          <w:b w:val="false"/>
          <w:bCs w:val="false"/>
          <w:color w:val="1A1714"/>
          <w:sz w:val="22"/>
          <w:szCs w:val="22"/>
        </w:rPr>
        <w:t xml:space="preserve">Each execution writes a decision trace recording the trigger that fired, the scope description resolved, the records read, the branches taken, the outputs produced and their disposition, and any refusal encountered with the constraint that produced it. The trace is queryable, so the question of what an agent did, on what basis, and under whose authority has a recorded answer rather than an inference from its outputs.</w:t>
      </w:r>
    </w:p>
    <w:p>
      <w:pPr>
        <w:pStyle w:val="Heading2"/>
        <w:spacing w:after="140" w:before="300"/>
      </w:pPr>
      <w:r>
        <w:rPr>
          <w:b/>
          <w:bCs/>
          <w:color w:val="1A1714"/>
          <w:sz w:val="24"/>
          <w:szCs w:val="24"/>
        </w:rPr>
        <w:t xml:space="preserve">49.5  The advisory pass, and what advice is not</w:t>
      </w:r>
    </w:p>
    <w:p>
      <w:pPr>
        <w:spacing w:after="170" w:line="300"/>
      </w:pPr>
      <w:r>
        <w:rPr>
          <w:b w:val="false"/>
          <w:bCs w:val="false"/>
          <w:color w:val="1A1714"/>
          <w:sz w:val="22"/>
          <w:szCs w:val="22"/>
        </w:rPr>
        <w:t xml:space="preserve">Before registration an agent's definition is analysed and a finding presented to the registering identity: a boundary stated too broadly for the declared purpose, a dataset declaration exceeding the registering identity's entitlement, runtime parameters admitting an execution rate the accounting category cannot sustain, a termination condition unreachable from the trigger conditions, or a lifecycle bound absent. The finding is presented before the agent exists rather than discovered after it runs.</w:t>
      </w:r>
    </w:p>
    <w:p>
      <w:pPr>
        <w:spacing w:after="170" w:line="300"/>
      </w:pPr>
      <w:r>
        <w:rPr>
          <w:b w:val="false"/>
          <w:bCs w:val="false"/>
          <w:color w:val="1A1714"/>
          <w:sz w:val="22"/>
          <w:szCs w:val="22"/>
        </w:rPr>
        <w:t xml:space="preserve">An advisory finding informs and does not authorise. A definition passing the advisory pass is not thereby approved, and a definition failing a constraint is refused irrespective of what the advisory pass reported. Likewise a report an agent produces during execution informs its owner's decision and does not constitute an approval of anything: an agent cannot approve its own proposal, cannot approve another agent's, and cannot discharge a requirement for a named human by reporting that a requirement was met.</w:t>
      </w:r>
    </w:p>
    <w:p>
      <w:pPr>
        <w:spacing w:after="170" w:line="300"/>
      </w:pPr>
      <w:r>
        <w:rPr>
          <w:b w:val="false"/>
          <w:bCs w:val="false"/>
          <w:color w:val="1A1714"/>
          <w:sz w:val="22"/>
          <w:szCs w:val="22"/>
        </w:rPr>
        <w:t xml:space="preserve">The distinction is stated because it is the one an agent system is most likely to blur. A system in which an agent's confident report substitutes for a person's judgment has moved the approval gate without anyone deciding to move it.</w:t>
      </w:r>
    </w:p>
    <w:p>
      <w:pPr>
        <w:spacing w:before="300"/>
      </w:pPr>
      <w:r>
        <w:rPr>
          <w:i/>
          <w:iCs/>
          <w:color w:val="5F5952"/>
          <w:sz w:val="19"/>
          <w:szCs w:val="19"/>
        </w:rPr>
        <w:t xml:space="preserve">QueryBook — confidential, proprietary and patent-sensitive. Section citations refer to the specification. Exported from the Core Technology Overview artifact, September 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2026-09-02T18:24:05.339Z</dcterms:created>
  <dcterms:modified xsi:type="dcterms:W3CDTF">2026-09-02T18:24:05.362Z</dcterms:modified>
</cp:coreProperties>
</file>

<file path=docProps/custom.xml><?xml version="1.0" encoding="utf-8"?>
<Properties xmlns="http://schemas.openxmlformats.org/officeDocument/2006/custom-properties" xmlns:vt="http://schemas.openxmlformats.org/officeDocument/2006/docPropsVTypes"/>
</file>