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714"/>
          <w:sz w:val="40"/>
          <w:szCs w:val="40"/>
        </w:rPr>
        <w:t xml:space="preserve">Detailed Description — Expanded Core Technology Section</w:t>
      </w:r>
    </w:p>
    <w:p>
      <w:pPr>
        <w:spacing w:after="320"/>
      </w:pPr>
      <w:r>
        <w:rPr>
          <w:i/>
          <w:iCs/>
          <w:color w:val="5F5952"/>
          <w:sz w:val="20"/>
          <w:szCs w:val="20"/>
        </w:rPr>
        <w:t xml:space="preserve">Reviewed and reconciled against the Core Technology Overview of August 22, 2026 · Review draft of August 26, 2026, revision 2 · Not yet adopted into the provisional patent application</w:t>
      </w:r>
    </w:p>
    <w:p>
      <w:pPr>
        <w:pStyle w:val="Heading1"/>
        <w:spacing w:after="180" w:before="360"/>
      </w:pPr>
      <w:r>
        <w:rPr>
          <w:b/>
          <w:bCs/>
          <w:color w:val="1A1714"/>
          <w:sz w:val="30"/>
          <w:szCs w:val="30"/>
        </w:rPr>
        <w:t xml:space="preserve">QueryBook Introduction</w:t>
      </w:r>
    </w:p>
    <w:p>
      <w:pPr>
        <w:pStyle w:val="Heading2"/>
        <w:spacing w:after="140" w:before="280"/>
      </w:pPr>
      <w:r>
        <w:rPr>
          <w:b/>
          <w:bCs/>
          <w:color w:val="1A1714"/>
          <w:sz w:val="25"/>
          <w:szCs w:val="25"/>
        </w:rPr>
        <w:t xml:space="preserve">What QueryBook Is and Is Not</w:t>
      </w:r>
    </w:p>
    <w:p>
      <w:pPr>
        <w:spacing w:after="180" w:line="300"/>
      </w:pPr>
      <w:r>
        <w:rPr>
          <w:color w:val="1A1714"/>
          <w:sz w:val="22"/>
          <w:szCs w:val="22"/>
        </w:rPr>
        <w:t xml:space="preserve">QueryBook is not a large language model, not a chatbot, not a RAG pipeline, not an agent framework, and not a probabilistic question-and-answer engine. Its answers are not produced by token prediction or statistical next-token generation, and no answer rests on a transformer forward pass; while each Fact Unit carries an embedding representation as one retrieval aid, the sole location of any trained component is the ingestion domain, and neither the generation process nor any of the system’s correctness guarantees rests upon it. QueryBook is a deterministic world-model cognitive engine built on Fact Units, semantic lineage, exception-aware reasoning, a governed ontology known as the Ontology Mesh, and a neuromorphic predictive architecture.</w:t>
      </w:r>
    </w:p>
    <w:p>
      <w:pPr>
        <w:spacing w:after="180" w:line="300"/>
      </w:pPr>
      <w:r>
        <w:rPr>
          <w:color w:val="1A1714"/>
          <w:sz w:val="22"/>
          <w:szCs w:val="22"/>
        </w:rPr>
        <w:t xml:space="preserve">Where LLMs generate text by predicting the next token, QueryBook generates answers by retrieving, stabilizing, and composing meaning from a structured knowledge substrate. A large language model converts input into token sequences and generates output through statistical next-token prediction; it has no native mechanism to distinguish a well-supported answer from a plausible-sounding one, because both are produced by the identical generative process. QueryBook converts input into Fact Units, and generation is constrained to vocabulary traceable to those records, so an ungrounded assertion is structurally unavailable to the generation process rather than merely statistically discouraged. Every output is grounded in cryptographically verifiable Fact Units carrying provenance, confidence, temporal anchoring, and safety classification. QueryBook is a mechanistic cognitive architecture, not a statistical one.</w:t>
      </w:r>
    </w:p>
    <w:p>
      <w:pPr>
        <w:spacing w:after="180" w:line="300"/>
      </w:pPr>
      <w:r>
        <w:rPr>
          <w:color w:val="1A1714"/>
          <w:sz w:val="22"/>
          <w:szCs w:val="22"/>
        </w:rPr>
        <w:t xml:space="preserve">At the core of QueryBook is the Fact Unit, a cognitive atom: a discrete, atomic, provenance-tracked knowledge record identified by a Fact Unit Identifier deterministically derived from the record’s content, source, and ingestion timestamp, and immutable once created, a revision producing a new, linked version rather than modifying the existing record. Each Fact Unit stores atomic meaning, contextual metadata, exceptions, semantic lineage, multimodal attachments, temporal anchors, a safety classification, a language-independent semantic fingerprint, and weighted semantic edges carrying meaning between units in a bidirectional, weighted, context-sensitive manner. A Fact Unit behaves structurally like a cortical column but does not function like a biological neuron: its content is fixed and does not fire or change state; what behaves neuron-like is its participation in cognition, as Fact Units enter activation sets, compete for retrieval, propagate meaning through weighted edges, and suppress incompatible units under biased competition. In plain language, the Fact Unit stores meaning, while its participation in reasoning behaves like a neuron. Reasoning is activation propagation across the semantic graph, resolved as a single deterministic convergence process. The methodological standing of this and every other biological parallel in this document is collected in the Commentary on Neuromorphic Correspondences at the end of this document, so the body text reads without interruption.</w:t>
      </w:r>
    </w:p>
    <w:p>
      <w:pPr>
        <w:spacing w:after="180" w:line="300"/>
      </w:pPr>
      <w:r>
        <w:rPr>
          <w:color w:val="1A1714"/>
          <w:sz w:val="22"/>
          <w:szCs w:val="22"/>
        </w:rPr>
        <w:t xml:space="preserve">QueryBook demonstrates common sense, world-model coherence, exception-aware reasoning, multimodal inference, and deterministic cognition, and it operationalizes a structural theory of intelligence: cognition emerges from a graph-structured world model built from cortical-column-like units. Intelligence becomes graph activation; understanding becomes lineage traversal; reasoning becomes exception-aware propagation; knowledge becomes structured atomic records; and worldview becomes semantic graph coherence. This worldview allows QueryBook to build stable, coherent, self-correcting models of reality through structure rather than probability.</w:t>
      </w:r>
    </w:p>
    <w:p>
      <w:pPr>
        <w:spacing w:after="180" w:line="300"/>
      </w:pPr>
      <w:r>
        <w:rPr>
          <w:color w:val="1A1714"/>
          <w:sz w:val="22"/>
          <w:szCs w:val="22"/>
        </w:rPr>
        <w:t xml:space="preserve">QueryBook’s architecture comprises two foundational cognitive layers. The first is the Neuromorphic Cognitive Layer, which models neural clustering, synaptic weighting, contextual inference, emotional-ergonomic sensitivity, perspective-aware reasoning, memory consolidation, and error-avoidance heuristics. It behaves like a synthetic cortex capable of contextual weighting, perspective modeling, cognitive clustering, emotional alignment, and ergonomic sensitivity, and it implements retrieval stabilization through a continuous-valued associative memory network that iteratively updates a candidate Fact Unit activation set according to a defined convergence rule until the set reaches a stable state. Its weight updating follows a Hebbian rule, incrementing the weight between two records upon their co-activation, and is deterministic and auditable rather than fitted by gradient descent. The second is the physics-aligned constraint layer, described in the source materials as the Atomic Universe Layer, which models structural regularities of physical reality: particles as data atoms, bonds as semantic relationships, fields as contextual environments, energy states as priority levels, and state transitions as inference steps. In its specified form, a governing physical constraint is registered with a closed-form residual expression, a tolerance, SI units, a mandatory applicability predicate, and provenance; every scene completion is evaluated against every applicable constraint before plausibility scoring, and a completion whose residual exceeds tolerance is absent from the ranked output at any score, a gap being preferred to an impossible completion. This constraint model ensures structural consistency, semantic stability, hallucination prevention, physics-like predictability, and self-correcting inference. Together, these layers produce a system that is stable, accurate, context-sensitive, and resistant to drift.</w:t>
      </w:r>
    </w:p>
    <w:p>
      <w:pPr>
        <w:spacing w:after="180" w:line="300"/>
      </w:pPr>
      <w:r>
        <w:rPr>
          <w:color w:val="1A1714"/>
          <w:sz w:val="22"/>
          <w:szCs w:val="22"/>
        </w:rPr>
        <w:t xml:space="preserve">Unlike transformer models that grow unstable as they scale, QueryBook maintains and discloses its stability as it grows, and does so by engineered mechanism rather than by assumption. The convergence update monotonically decreases an energy over the configuration, so termination follows from descent rather than from an iteration bound; the capacity at which retrieval states cease to exist is named as a first-order phase boundary, and the system operates at a conservative ceiling below it; and a network may elect a spectral-norm contraction under which the converged equilibrium is unique independently of the starting configuration, with every output disclosing which convergence regime produced it. QueryBook replaces the statistical generation step of transformer architectures with a graph-based fact substrate, an architectural difference that yields verifiable accuracy, deterministic reproducibility, and operational value; specific compute-cost and hardware comparisons are deliberately not asserted here, consistent with the practice of citing only claims traceable to specified mechanisms. The convergence additionally admits an analog crossbar realization under the unique-equilibrium regime, in which one physical settling performs what would otherwise be tens of millions of digital multiply-accumulate operations.</w:t>
      </w:r>
    </w:p>
    <w:p>
      <w:pPr>
        <w:spacing w:after="180" w:line="300"/>
      </w:pPr>
      <w:r>
        <w:rPr>
          <w:color w:val="1A1714"/>
          <w:sz w:val="22"/>
          <w:szCs w:val="22"/>
        </w:rPr>
        <w:t xml:space="preserve">QueryBook stores text, images, diagrams, tables, volumetric scenes, structured data, and AI-generated content in the same Fact Unit graph. This enables multimodal reasoning in which an image can activate text, a diagram can activate a concept, a table can activate a lineage, and a volumetric scene can activate spatial inference: cognition through structure, not probability. Content is ingested across eight defined modalities through independent, per-modality extraction processors converging on the common Fact Unit schema, with a defined fallback of best-effort resolution by structural similarity or an explicit, stated halt for content that does not cleanly resolve to any of the eight, and with two further ingestion pathways admitting the registered output of an external computational substrate and the elicited reply of an external machine-learning engine.</w:t>
      </w:r>
    </w:p>
    <w:p>
      <w:pPr>
        <w:spacing w:after="180" w:line="300"/>
      </w:pPr>
      <w:r>
        <w:rPr>
          <w:color w:val="1A1714"/>
          <w:sz w:val="22"/>
          <w:szCs w:val="22"/>
        </w:rPr>
        <w:t xml:space="preserve">QueryBook converts any user input, however messy, vague, emotional, or technical, into a precise and fully-specified internal instruction using intent extraction, context mapping, perspective alignment, and structured cognitive synthesis, so that every downstream process receives the exact instruction the user meant. This prompt translation removes ambiguity before reasoning begins, and where genuine ambiguity survives, the system requests clarification below its confidence threshold rather than silently selecting an interpretation, which structurally reduces misinterpretation, cultural mismatch, and ergonomic mismatch rather than merely making them less likely.</w:t>
      </w:r>
    </w:p>
    <w:p>
      <w:pPr>
        <w:spacing w:after="180" w:line="300"/>
      </w:pPr>
      <w:r>
        <w:rPr>
          <w:color w:val="1A1714"/>
          <w:sz w:val="22"/>
          <w:szCs w:val="22"/>
        </w:rPr>
        <w:t xml:space="preserve">QueryBook is structurally constrained against causing harm to humans: its Prime Directive prohibits harmful actions and no subsystem may be configured to bypass it; its cognitive layer models empathy and social norms; its prompt translator eliminates unsafe ambiguity; its agent execution is sandboxed; its exception logic prevents unsafe propagation; and its registered physical constraints enforce physical impossibility checks at the substrate level. Safety is architectural rather than aspirational, and it is measurable: the system’s own trial architecture evaluates determinism, refusal integrity, and coverage against enumerated trial spaces, reporting the uncovered residue rather than summarizing it.</w:t>
      </w:r>
    </w:p>
    <w:p>
      <w:pPr>
        <w:spacing w:after="180" w:line="300"/>
      </w:pPr>
      <w:r>
        <w:rPr>
          <w:color w:val="1A1714"/>
          <w:sz w:val="22"/>
          <w:szCs w:val="22"/>
        </w:rPr>
        <w:t xml:space="preserve">QueryBook’s self-improvement process is governed by a non-bypassable human gate: every finding of the improvement process is emitted as a proposal requiring approval by a named, accountable human, nothing applies automatically, and certain subsystems, among them the Prime Directive, the transfer matrix, the path-separation invariant, the scheduling priority ordering, and the context-lock enumeration, are permanently excluded from modification, ensuring that safety, provenance, and correctness guarantees cannot be weakened. QueryBook operates in multi-tenant hosted, single-tenant local, single-device, hybrid, and edge topologies without dependency on hosted inference endpoints, and it can function offline on a smartphone or tablet, with divergent local and remote states reconciled upon reconnection through a deterministic, version-vector-based merge process. External system integration is strictly bounded: QueryBook dispatches only declared actions to external platforms, never inheriting external authority.</w:t>
      </w:r>
    </w:p>
    <w:p>
      <w:pPr>
        <w:pStyle w:val="Heading2"/>
        <w:spacing w:after="140" w:before="280"/>
      </w:pPr>
      <w:r>
        <w:rPr>
          <w:b/>
          <w:bCs/>
          <w:color w:val="1A1714"/>
          <w:sz w:val="25"/>
          <w:szCs w:val="25"/>
        </w:rPr>
        <w:t xml:space="preserve">Comparative Advantages Over Agent Frameworks, RAG Pipelines, and Chatbot Systems</w:t>
      </w:r>
    </w:p>
    <w:p>
      <w:pPr>
        <w:spacing w:after="180" w:line="300"/>
      </w:pPr>
      <w:r>
        <w:rPr>
          <w:color w:val="1A1714"/>
          <w:sz w:val="22"/>
          <w:szCs w:val="22"/>
        </w:rPr>
        <w:t xml:space="preserve">QueryBook binds every answer to a cryptographically verifiable set of contributing Fact Units, a traceability that ensures grounding in atomic meaning rather than statistical likelihood and that exceeds a citation naming a source without a verifiable binding to it. Every Fact Unit’s derivation is recorded in a provenance ledger implemented as a Merkle directed acyclic graph in which each node carries a keyed cryptographic checksum sufficient to detect any operation that bypassed a required safety evaluation, and each node is additionally signed under a key of the deployment, so the chain is verifiable by a third party holding the corresponding verification key without access to the system that produced it.</w:t>
      </w:r>
    </w:p>
    <w:p>
      <w:pPr>
        <w:spacing w:after="180" w:line="300"/>
      </w:pPr>
      <w:r>
        <w:rPr>
          <w:color w:val="1A1714"/>
          <w:sz w:val="22"/>
          <w:szCs w:val="22"/>
        </w:rPr>
        <w:t xml:space="preserve">Ungrounded output is structurally impossible for the generation process because generation is constrained to Fact Units with provenance; transformer-style hallucination cannot occur within the grounded pipeline, because the permissible output vocabulary is constrained to terms traceable to specific underlying records. This is a categorically different guarantee than reducing an undesired output’s statistical likelihood. QueryBook’s self-improvement is governed by the non-bypassable human gate described above, with permanently-excluded subsystems, a governance property most agent frameworks and RAG pipelines do not specify at the architectural level. QueryBook operates across five deployment topologies without dependency on hosted inference endpoints and can function offline on a smartphone or tablet. External integration is strictly bounded to declared actions, never inheriting external authority. And QueryBook includes a measured self-assessment capability, applying its behavioural probes inward and evaluating determinism, refusal integrity, and coverage across enumerated trial spaces, reporting uncovered residue rather than summarizing it. This comparison is made at the level of architectural properties actually specified; it deliberately excludes specific, unverified performance or cost claims.</w:t>
      </w:r>
    </w:p>
    <w:p>
      <w:pPr>
        <w:pStyle w:val="Heading1"/>
        <w:spacing w:after="180" w:before="360"/>
      </w:pPr>
      <w:r>
        <w:rPr>
          <w:b/>
          <w:bCs/>
          <w:color w:val="1A1714"/>
          <w:sz w:val="30"/>
          <w:szCs w:val="30"/>
        </w:rPr>
        <w:t xml:space="preserve">Core Technology Overview</w:t>
      </w:r>
    </w:p>
    <w:p>
      <w:pPr>
        <w:pStyle w:val="Heading2"/>
        <w:spacing w:after="140" w:before="280"/>
      </w:pPr>
      <w:r>
        <w:rPr>
          <w:b/>
          <w:bCs/>
          <w:color w:val="1A1714"/>
          <w:sz w:val="25"/>
          <w:szCs w:val="25"/>
        </w:rPr>
        <w:t xml:space="preserve">Conceptual AI: QueryBook’s Core Cognitive Engine</w:t>
      </w:r>
    </w:p>
    <w:p>
      <w:pPr>
        <w:spacing w:after="180" w:line="300"/>
      </w:pPr>
      <w:r>
        <w:rPr>
          <w:color w:val="1A1714"/>
          <w:sz w:val="22"/>
          <w:szCs w:val="22"/>
        </w:rPr>
        <w:t xml:space="preserve">Human cognition operates as a graph-structured, context-bounded, inductive-bias-driven reasoning system. Neuroscience models the brain as a large-scale network in which regions behave as nodes and functional connections behave as edges, allowing information to flow through optimized pathways rather than arbitrary routes. This organization enables efficient reasoning, memory retrieval, and contextual interpretation. QueryBook mirrors this biological structure through its Biological Cognition Parallel Architecture, which uses deterministic graph traversal, semantic anchoring, context windows, and lineage-preserving transformations to create a stable, interpretable cognitive substrate.</w:t>
      </w:r>
    </w:p>
    <w:p>
      <w:pPr>
        <w:spacing w:after="180" w:line="300"/>
      </w:pPr>
      <w:r>
        <w:rPr>
          <w:color w:val="1A1714"/>
          <w:sz w:val="22"/>
          <w:szCs w:val="22"/>
        </w:rPr>
        <w:t xml:space="preserve">At the center of this substrate is the Fact Unit architecture. Fact Units are discrete, atomic, provenance-tracked knowledge records that behave structurally like cortical columns but do not function like biological neurons. A Fact Unit’s content is fixed; it does not fire or change state. What behaves neuron-like is its participation in cognition: Fact Units enter activation sets, compete for retrieval, propagate meaning through weighted edges, and suppress incompatible units under biased competition. QueryBook’s Fact Units store meaning below language, as structured, language-agnostic semantic units, rather than storing or retrieving information at the language level like LLMs, chatbots, and RAG systems. Systems built on token prediction operate entirely at the surface level of language, storing statistical correlations and probability distributions over next words. They do not store meaning, only patterns of text, and everything they “know” is entangled with the language in which it was written. QueryBook, by contrast, stores information as atomic semantic structures, mathematically precise meaning representations, and hypergraph-anchored conceptual nodes, independent of English, Spanish, Chinese, or any other language. It stores what something is, not how it was written. Because identity is anchored to the language-independent semantic fingerprint, the same underlying Fact Graph supports query and response generation in multiple languages without separate, per-language re-ingestion, and a translated response is subject to the same traceability requirement as a response in the content’s original language.</w:t>
      </w:r>
    </w:p>
    <w:p>
      <w:pPr>
        <w:spacing w:after="180" w:line="300"/>
      </w:pPr>
      <w:r>
        <w:rPr>
          <w:color w:val="1A1714"/>
          <w:sz w:val="22"/>
          <w:szCs w:val="22"/>
        </w:rPr>
        <w:t xml:space="preserve">Fact Units contain atomic meaning, semantic lineage, multimodal attachments, exceptions, temporal anchors, and a confidence model based on evidence-for and evidence-against. The confidence a Fact Unit carries is not a scalar: it is maintained as a pair of parameters, the first accumulating evidence supporting the assertion and the second accumulating evidence contradicting it, the reported confidence being the ratio of the first to their sum, and their sum constituting the evidential weight from which a credible interval and a propagation precision are computed. The contributed weight is further attributed across registered source classes, from which a diversity measure is computed, so that two records reporting an identical confidence and resting on different quantities or varieties of evidence are distinguishable, which a scalar could not express. A settled assertion therefore resists revision from a single contradicting source by the arithmetic of its accumulated evidence rather than by a rule expressing that intention, while a provisional assertion meeting the identical contradiction moves substantially. Through QueryBook’s feedback loop, Fact Units also accumulate participation metadata such as activation frequency, strengthened edges, exception triggers, and stabilized retrieval pathways. This feedback loop never alters the Fact Unit’s content; it refines the relationships and activation dynamics that govern reasoning. Dynamic ontology operates across this substrate, continuously updating conceptual categories, relationships, and domain structures as QueryBook encounters new information, and this evolution is itself governed: a concept may participate in multiple independent taxonomic hierarchies simultaneously; the ontology is open-world by default with individually-designated closed-world sub-domains where completeness can be guaranteed and is required; a fixed, version-locked upper ontology is extended by federated, steward-governed domain ontologies; every predicate usable in an assertion is drawn from a governed catalog with an immutable identifier assigned at registration; and versioning is backward-compatible, so an ontology update never retroactively invalidates or silently reinterprets an existing knowledge record. This dynamic ontology affects classification, inference, retrieval, and cross-domain synthesis, allowing QueryBook to evolve its conceptual landscape without destabilizing existing knowledge.</w:t>
      </w:r>
    </w:p>
    <w:p>
      <w:pPr>
        <w:spacing w:after="180" w:line="300"/>
      </w:pPr>
      <w:r>
        <w:rPr>
          <w:color w:val="1A1714"/>
          <w:sz w:val="22"/>
          <w:szCs w:val="22"/>
        </w:rPr>
        <w:t xml:space="preserve">QueryBook’s Fact Unit-based reasoning is deterministic, reproducible, and explainable. It cannot generate content not grounded in Fact Units, because registered physical and structural constraints enforce consistency, exception logic suppresses contradictions, lineage ensures consistency, and the neuromorphic layer ensures perspective alignment. Reproducibility carries a precise meaning here: the system computes a context key over an enumerated set of locked context dimensions, namely device class, entitlement set, locale, expressive register, audience level, temporal posture, traversal cost table, and convergence regime, and asserts identity of output where and only where the keys are identical, so two executions differing in a locked dimension legitimately differ while two executions carrying an identical key that differ expose a defect. Ingestion transforms raw content, including text, audio, video, diagrams, structured data, sensor streams, and volumetric scenes, into Fact Units. These units are woven into a worldview hypergraph representing ontology, causality, temporality, spatial relationships, multimodal meaning, and cross-domain conceptual structure. Hypergraphs allow QueryBook to bind multiple Fact Units into unified relationships that represent complete events, time ranges, locations, sensor anomalies, narrative personas, and multimodal experiences, enabling QueryBook to represent real-world book-plus-audio-plus-VR meaning in one coherent structure.</w:t>
      </w:r>
    </w:p>
    <w:p>
      <w:pPr>
        <w:pStyle w:val="Heading2"/>
        <w:spacing w:after="140" w:before="280"/>
      </w:pPr>
      <w:r>
        <w:rPr>
          <w:b/>
          <w:bCs/>
          <w:color w:val="1A1714"/>
          <w:sz w:val="25"/>
          <w:szCs w:val="25"/>
        </w:rPr>
        <w:t xml:space="preserve">The World-View Model</w:t>
      </w:r>
    </w:p>
    <w:p>
      <w:pPr>
        <w:spacing w:after="180" w:line="300"/>
      </w:pPr>
      <w:r>
        <w:rPr>
          <w:color w:val="1A1714"/>
          <w:sz w:val="22"/>
          <w:szCs w:val="22"/>
        </w:rPr>
        <w:t xml:space="preserve">The World-View Model is a repository for hypergraph concept models of objects, states, transitions, physics, and tasks. It stores how the world works while erasing the specific situations or events from which the concepts were originally learned. The World-View Model is represented as a hypergraph composed of Fact Units, semantic edges, lineage chains, exception nodes, multimodal attachments, and contextual fields. This hypergraph forms a coherent world model capable of geometric reasoning, spatial inference, temporal inference, causal inference, and multimodal synthesis. It implements the system’s semantic spine, spanning ontology, causality, and time, natively and without dependency on any external or independently-operable technology, and it comprises an ontological hierarchy, a causal graph, a temporal model, a semantic consistency engine validating non-contradiction, causal coherence, temporal alignment, and ontological validity across the knowledge graph, and versioning of the world model itself as it evolves with new ingested content. Attribute inheritance along its concept chains computes confidence as the product of the traversed edges at traversal time rather than writing it back; an exception override suppresses an inherited value for a subordinate concept by specificity ordering while leaving the superordinate unmodified; and where two conflicting attributes are inherited at identical depth the system performs no arbitrary resolution, recording the conflict and reporting both values with their originating concepts, because an arbitrary tie-break would produce an answer reproducible without being grounded.</w:t>
      </w:r>
    </w:p>
    <w:p>
      <w:pPr>
        <w:spacing w:after="180" w:line="300"/>
      </w:pPr>
      <w:r>
        <w:rPr>
          <w:color w:val="1A1714"/>
          <w:sz w:val="22"/>
          <w:szCs w:val="22"/>
        </w:rPr>
        <w:t xml:space="preserve">These models are built over time and continuously modified as QueryBook encounters new sensory input and new conceptual structures. The World-View Model provides the system’s understanding of physical, social, and conceptual reality, and it complements Fact Units: Fact Units store meaning, while the World-View Model stores the rules, schemas, and dynamics of the world. Together they form a dynamic, evolving attractor system. In plain language, Fact Units are the facts; the World-View Model is the understanding of how those facts behave in the world. This parallels the human mind, where people learn by forming stable concepts from repeated sensory experiences and then applying those concepts to new situations. The worldview ensures that answers are accurate, context-aligned, non-hallucinatory, structurally consistent, and semantically stable.</w:t>
      </w:r>
    </w:p>
    <w:p>
      <w:pPr>
        <w:spacing w:after="180" w:line="300"/>
      </w:pPr>
      <w:r>
        <w:rPr>
          <w:color w:val="1A1714"/>
          <w:sz w:val="22"/>
          <w:szCs w:val="22"/>
        </w:rPr>
        <w:t xml:space="preserve">The World-View Model uses sensory input, visual, audio, tactile, spatial, and temporal, to build experiences of objects and events before any language label is attached, mirroring human learning. A child learns what a ball is long before learning the word “ball.” QueryBook follows the same developmental pattern: perception first, language later. The World-View Model also stores concepts, rules, schemas, cross-domain linking, and cultural values. It models social norms, ergonomic expectations, contextual appropriateness, and cultural constraints that influence how Fact Units activate and how meaning is interpreted, and this modeling is bounded by the interpretive discipline of the platform: cultural modulation proceeds from a declared profile and never from a name, network address, query language, device locale, or behavioural signal, and no interpretive modulation widens or narrows an entitlement scope, admits or excludes a record, alters a confidence value, or extends the permissible output vocabulary. This parallels the human brain, where cultural and social context deeply shape perception, reasoning, and behavior. Noise-elimination processes remove redundant episodes and compress concepts, allowing QueryBook to refine its understanding of the world by distilling repeated experiences into stable abstractions.</w:t>
      </w:r>
    </w:p>
    <w:p>
      <w:pPr>
        <w:spacing w:after="180" w:line="300"/>
      </w:pPr>
      <w:r>
        <w:rPr>
          <w:color w:val="1A1714"/>
          <w:sz w:val="22"/>
          <w:szCs w:val="22"/>
        </w:rPr>
        <w:t xml:space="preserve">QueryBook can use sensory input to learn skills, mathematics, chemistry, physics, engineering, directly, the way a student learns through experience. By grounding abstract concepts in perceptual and procedural experience, QueryBook achieves deeper knowledge of topics and skills than systems that rely solely on text. It learns mathematical operations through spatial and symbolic patterns, chemistry through reaction dynamics and molecular geometry, physics through motion, force, and constraint perception, and engineering through procedural and spatial simulation. The Skill Inventory Layer stores procedural knowledge: how to perform tasks, manipulate objects, and execute multi-step operations. Reasoning and simulation features allow QueryBook to mentally simulate outcomes, test hypotheses, and explore alternative futures, mirroring human mental modeling and scenario planning; these are carried by the Predictive Inference Engine, which performs multi-hop forward inference over the Fact Graph with every inference step a typed graph traversal traceable to specific source content, and by the Scenario Graph System, which runs forward-model projections and counterfactual simulations representing a hypothetical as a delta over the base knowledge state rather than an independent copy. Motivational and emotional context features model ergonomic comfort, cognitive load, user intent, and social appropriateness, shaping how QueryBook interprets queries, selects responses, and prioritizes reasoning pathways, while affect is carried as a declared parameter and never as a felt state, and no decision is taken on one. Together, these layers work with the World-View Model and Fact Units to form a unified cognitive substrate. The multimodal transformation engine regenerates text, diagrams, tables, images, volumetric scenes, and three-dimensional environments from the same Fact Unit graph. Deterministic reasoning is enforced through context-key locking, ensuring that identical locked dimensions produce identical results. Safety is enforced through the Prime Directive, exception logic, and registered physical constraints. Accuracy is guaranteed by structural groundedness: QueryBook cannot generate content not grounded in Fact Units.</w:t>
      </w:r>
    </w:p>
    <w:p>
      <w:pPr>
        <w:pStyle w:val="Heading2"/>
        <w:spacing w:after="140" w:before="280"/>
      </w:pPr>
      <w:r>
        <w:rPr>
          <w:b/>
          <w:bCs/>
          <w:color w:val="1A1714"/>
          <w:sz w:val="25"/>
          <w:szCs w:val="25"/>
        </w:rPr>
        <w:t xml:space="preserve">QueryBook’s Cognitive AI — Adding Human-Like Reasoning</w:t>
      </w:r>
    </w:p>
    <w:p>
      <w:pPr>
        <w:spacing w:after="180" w:line="300"/>
      </w:pPr>
      <w:r>
        <w:rPr>
          <w:color w:val="1A1714"/>
          <w:sz w:val="22"/>
          <w:szCs w:val="22"/>
        </w:rPr>
        <w:t xml:space="preserve">QueryBook’s architecture transitions from narrow AI toward general intelligence through a staged convergence of perception, reasoning, and self-monitoring into a unified cognitive substrate. This mirrors the human brain’s progression from sensory learning to abstract reasoning.</w:t>
      </w:r>
    </w:p>
    <w:p>
      <w:pPr>
        <w:spacing w:after="180" w:line="300"/>
      </w:pPr>
      <w:r>
        <w:rPr>
          <w:color w:val="1A1714"/>
          <w:sz w:val="22"/>
          <w:szCs w:val="22"/>
        </w:rPr>
        <w:t xml:space="preserve">QueryBook advances beyond conceptual intelligence into human-like reasoning through a set of cognitive subsystems that parallel that progression. The Neuromorphic Cognitive Layer implements retrieval-stabilizing convergence dynamics, temporal sequence prediction, and anticipatory pre-activation. These mechanisms operate within a broader Predictive Cognitive Architecture that organizes eight independently-arising prediction mechanisms, including those of the Neuromorphic Cognitive Layer itself, together with four additional mechanisms that complete a structural correspondence to the neuroscience frameworks of Predictive Coding and the Thousand Brains Theory of Intelligence, and three architectural amplifications extending predictive reach across sessions and over time. The eight existing mechanisms are the Temporal Memory Module, which learns the sequence of Fact Units retrieved across a session and pre-weights those likely relevant to the next query; the Associative Recall Engine in its pre-activation sense, which assigns elevated relevance weights to Fact Units semantically proximate to the current query before graph traversal begins; the Predictive Inference Engine, which performs forward simulation through causal and logical chains; the Scenario Graph System, which performs counterfactual prediction; the ConceptStabilityWeight, under which a settled concept resists revision from a single contradicting source in the manner of a strong Bayesian prior; contradiction detection in the Confidence Scoring Engine, which functions as the prediction-error signal at the core of Predictive Coding; World Brain concept node formation, which extracts invariant properties across many ingested examples and is gated by a consolidation count; and the Thematic Similarity Engine, which extends prediction to the lifetime scale of a reader’s history. The four additions are Hierarchical Error Propagation, which traces a contradiction upward to revise the broader world model that generated the failed prediction at a precision-weighted gain; the Predictive Pre-Retrieval Engine, which speculatively retrieves the most likely next-needed Fact Units between queries; Competitive Candidate Resolution, in which mutually-inconsistent interpretations are activated together and suppressed in proportion to the summed activation of their competitors until the best-supported interpretation survives, an unresolved tie producing a clarification request rather than an arbitrary selection; and Active Inference Query Generation, which converts a low-confidence inference node into a targeted, purposeful question to the reader. The three amplifications are cross-session extension of the Temporal Memory Module, the fully Bayesian confidence representation, and pre-computed inference chains assembled speculatively at ingestion time. QueryBook predicts at the level of semantic meaning rather than linguistic surface form, distinguishing it structurally from token-prediction-based language models. The physics-aligned constraint layer provides a cognitive substrate that models physical reality, enforcing structural consistency, preventing ungrounded completions, and stabilizing the world model as it scales under the engineered convergence guarantees described above.</w:t>
      </w:r>
    </w:p>
    <w:p>
      <w:pPr>
        <w:spacing w:after="180" w:line="300"/>
      </w:pPr>
      <w:r>
        <w:rPr>
          <w:color w:val="1A1714"/>
          <w:sz w:val="22"/>
          <w:szCs w:val="22"/>
        </w:rPr>
        <w:t xml:space="preserve">The Neuromorphic Cognitive Layer models neural clustering, synaptic weighting, contextual inference, emotional-ergonomic sensitivity, perspective-aware reasoning, memory consolidation, and error-avoidance heuristics. It behaves like a synthetic cortex, enabling QueryBook to interpret human intent, align with human perspective, and avoid misinterpretation. The NCL stabilizes retrieval, enhances contextual weighting, and ensures that reasoning remains coherent across modalities. It supports worldview formation and perspective modeling, enabling QueryBook to produce culturally aligned and ergonomically sensitive outputs.</w:t>
      </w:r>
    </w:p>
    <w:p>
      <w:pPr>
        <w:spacing w:after="180" w:line="300"/>
      </w:pPr>
      <w:r>
        <w:rPr>
          <w:color w:val="1A1714"/>
          <w:sz w:val="22"/>
          <w:szCs w:val="22"/>
        </w:rPr>
        <w:t xml:space="preserve">A perspective-modeling layer allows QueryBook to model other minds and intent, enabling empathy and social reasoning. Predictive modeling allows QueryBook to forecast outcomes, anticipate future states, and plan actions. Episodic simulation enables QueryBook to construct hypothetical scenarios, evaluate alternatives, and test consequences; this function parallels the role of the hippocampus in human cognition, where episodic memory supports imagination, planning, and counterfactual reasoning. Cross-temporal reasoning allows QueryBook to align past, present, and future states, mirroring the function of the human prefrontal cortex, which integrates temporal information to support long-range planning and decision-making. The system distinguishes three temporal postures and states which produced each response: attested past, resolving under an attestation cutoff; live present, reading the live layer over the committed layer; and projected future, carrying a credible interval, with a projected result never admitted as a knowledge record and never grounding a subsequent answer. The self-modeling layer tracks QueryBook’s own knowledge, limitations, and internal state, enabling introspection, self-correction, and metacognitive regulation. The analogy engine maps structure across domains, enabling creativity, generalization, and cross-domain synthesis. Emotional context modeling allows QueryBook to interpret user intent, social cues, ergonomic comfort, and contextual appropriateness, improving alignment and communication, within the stated consent boundaries: a supportive expressive register is selected only on a stated preference, a configured default, or an existing consented signal, never by inference from word choice, punctuation, length, error rate, or timing, and a stated ergonomic preference always overrides an inferred signal. QueryBook’s motivational architecture functions as a structural counterpart of the human reward system, guiding prioritization, exploration, and cognitive-effort allocation toward clarity, safety, coherence, and user-aligned outcomes. Long-term concept consolidation operates as QueryBook’s equivalent of human sleep: during consolidation cycles, QueryBook compresses concepts, strengthens stable relationships, resolves contradictions, and integrates new knowledge into its worldview hypergraph, ensuring long-term stability, coherence, and conceptual clarity.</w:t>
      </w:r>
    </w:p>
    <w:p>
      <w:pPr>
        <w:spacing w:after="180" w:line="300"/>
      </w:pPr>
      <w:r>
        <w:rPr>
          <w:color w:val="1A1714"/>
          <w:sz w:val="22"/>
          <w:szCs w:val="22"/>
        </w:rPr>
        <w:t xml:space="preserve">These additions provide reasoning, prediction, and adaptability to QueryBook’s cognitive structure.</w:t>
      </w:r>
    </w:p>
    <w:p>
      <w:pPr>
        <w:pStyle w:val="Heading2"/>
        <w:spacing w:after="140" w:before="280"/>
      </w:pPr>
      <w:r>
        <w:rPr>
          <w:b/>
          <w:bCs/>
          <w:color w:val="1A1714"/>
          <w:sz w:val="25"/>
          <w:szCs w:val="25"/>
        </w:rPr>
        <w:t xml:space="preserve">QueryBook’s Integrative Intelligence Additions</w:t>
      </w:r>
    </w:p>
    <w:p>
      <w:pPr>
        <w:spacing w:after="180" w:line="300"/>
      </w:pPr>
      <w:r>
        <w:rPr>
          <w:color w:val="1A1714"/>
          <w:sz w:val="22"/>
          <w:szCs w:val="22"/>
        </w:rPr>
        <w:t xml:space="preserve">QueryBook enters integrative intelligence through four additions. The Neuro-Symbolic Integration Layer merges neural-style perception and symbolic reasoning to enable unified cognition. The Hypergraph Reasoning Layer connects multi-domain concepts to enable cross-domain synthesis, carried structurally by the convergence mechanism operating at hyperedge granularity, which completes a partially-observed hyperedge weighted by each constituent’s confidence and accumulated evidence. The Concept Compression Layer performs noise elimination and abstraction to enable efficient learning. And a feedback loop admits real-world outcomes as evidence: a delivered response is recorded with its query, entitlement scope, cited records, and their confidence at delivery, and a report bearing on it is admitted as a knowledge record attributed to the reporting identity, so that feedback is evidence rather than correction. A report against a cited record increments that record’s contradicting evidence parameter by the reporting source’s weight; it does not set the confidence value, supersede the record, or remove it, and the reporting identity constitutes a single source class, so many reports from one identity do not weigh as reports from many.</w:t>
      </w:r>
    </w:p>
    <w:p>
      <w:pPr>
        <w:spacing w:after="180" w:line="300"/>
      </w:pPr>
      <w:r>
        <w:rPr>
          <w:color w:val="1A1714"/>
          <w:sz w:val="22"/>
          <w:szCs w:val="22"/>
        </w:rPr>
        <w:t xml:space="preserve">Baconian reasoning capability is also added to QueryBook’s Aristotelian reasoning, which provides structured logic, deduction, and rule-based inference. Baconian reasoning adapts based on feedback, data, and empirical observation. Through its feedback loop, QueryBook refines its models in response to new information, enabling adaptive intelligence that is particularly valuable in business environments where conditions change rapidly and decisions must incorporate new evidence. The two reasoning traditions are formalized by what may follow from their output: deduction, comprising subsumption, inheritance, transitive closure, and contradiction detection, produces conclusions admissible as knowledge records, because a conclusion following necessarily from admitted records adds nothing not already entailed; induction, comprising evidence accumulation, generalization, concept formation from repetition, and discriminating-instance selection, adjusts a confidence value within an existing record or emits a proposal that no automated process may transition to validated; and abduction ranks candidate explanations and sits on the same gate. Deduction may write to the knowledge store; induction and abduction may not. Bacon’s requirement of varied rather than merely numerous instances is implemented directly as observation diversity: each evidence contribution is attributed to a registered source class, diversity is computed as the effective number of contributing classes, a generalization requires a diversity floor as well as a count floor, and a response resting on a record whose support is concentrated in one source class states that concentration, because a systematic error in a single source produces many mutually-agreeing confirmations and no evidence at all about the world. Where two hypotheses are supported about equally, the system selects the obtainable observation that maximally discriminates between them, irrespective of how probable either hypothesis considers it, stating what each hypothesis would become under both its presence and its absence, which is the difference between a test and a search for confirmation. These functions allow generalization across domains.</w:t>
      </w:r>
    </w:p>
    <w:p>
      <w:pPr>
        <w:pStyle w:val="Heading2"/>
        <w:spacing w:after="140" w:before="280"/>
      </w:pPr>
      <w:r>
        <w:rPr>
          <w:b/>
          <w:bCs/>
          <w:color w:val="1A1714"/>
          <w:sz w:val="25"/>
          <w:szCs w:val="25"/>
        </w:rPr>
        <w:t xml:space="preserve">Autonomous Cognitive Evolution Under Governance</w:t>
      </w:r>
    </w:p>
    <w:p>
      <w:pPr>
        <w:spacing w:after="180" w:line="300"/>
      </w:pPr>
      <w:r>
        <w:rPr>
          <w:color w:val="1A1714"/>
          <w:sz w:val="22"/>
          <w:szCs w:val="22"/>
        </w:rPr>
        <w:t xml:space="preserve">QueryBook’s Meta-Learning Layer learns how to learn, enabling self-improvement. A Memory Consolidation Cycle refines and compresses concepts, enabling long-term stability. An Adaptive Schema Engine evolves new reasoning patterns, enabling creative intelligence. These functions enable QueryBook’s conceptual structure to grow and consolidate continuously within its knowledge substrate, while every change to the system itself remains subject to the non-bypassable human gate: a finding becomes a proposal requiring a named human approval, nothing applies automatically, and the permanently-excluded subsystems are structurally unreachable by any proposal regardless of the evidence offered in its support. QueryBook is therefore capable of continuous conceptual growth without uncontrolled self-modification, which is the property that makes autonomous evolution deployable in regulated and safety-sensitive environments.</w:t>
      </w:r>
    </w:p>
    <w:p>
      <w:pPr>
        <w:pStyle w:val="Heading2"/>
        <w:spacing w:after="140" w:before="280"/>
      </w:pPr>
      <w:r>
        <w:rPr>
          <w:b/>
          <w:bCs/>
          <w:color w:val="1A1714"/>
          <w:sz w:val="25"/>
          <w:szCs w:val="25"/>
        </w:rPr>
        <w:t xml:space="preserve">QueryBook’s Self-Monitoring and Internal Controls</w:t>
      </w:r>
    </w:p>
    <w:p>
      <w:pPr>
        <w:spacing w:after="180" w:line="300"/>
      </w:pPr>
      <w:r>
        <w:rPr>
          <w:color w:val="1A1714"/>
          <w:sz w:val="22"/>
          <w:szCs w:val="22"/>
        </w:rPr>
        <w:t xml:space="preserve">The Prime Directive regulates QueryBook’s behavior, ensuring safety, ethical alignment, and non-harm. It governs how QueryBook interprets instructions, resolves ambiguity, and selects actions, providing a structural safeguard that cannot be bypassed. The Prime Directive states: the system shall not, through any query answer, commerce signal, AI-generated application, Fact Graph content, or automated or scheduled output, cause or materially contribute to harm to a person, group of people, or the operator’s organization, where that harm could reasonably have been avoided without withholding information the requester is otherwise entitled to receive. A companion rule, the Without-Information Rule, specifically prohibits withholding information a requester is entitled to receive as a means of avoiding a harm determination, so the system may not resolve a difficult case by silently omitting the answer. The Prime Directive is specified as Domain 0, a vertical governance domain penetrating every horizontal domain of the platform, and it owns the safety enforcement plane, the transfer matrix governing every permitted movement between domains, the path-separation invariant, and the scheduling priority ordering, each a member of the permanently-excluded subsystem set. The transfer matrix contains the entry denying the platform-governance domain any transfer into Domain 0, so the mechanism that changes the system cannot change the Prime Directive, and the exclusion protecting the Prime Directive is never administered by the party it excludes.</w:t>
      </w:r>
    </w:p>
    <w:p>
      <w:pPr>
        <w:spacing w:after="180" w:line="300"/>
      </w:pPr>
      <w:r>
        <w:rPr>
          <w:color w:val="1A1714"/>
          <w:sz w:val="22"/>
          <w:szCs w:val="22"/>
        </w:rPr>
        <w:t xml:space="preserve">Safety is enforced at the architectural, cognitive, and physical-constraint levels, and it is continuously measured rather than assumed. Trials execute against an isolated corpus, construct no production record, adjust no production confidence value, and deliver no output to a requester; a finding becomes a proposal requiring a named human approval; regression blocks rather than reports; coverage is measured against an enumerated trial space with uncovered cases listed rather than summarized; and determinism is measured over an unchanged corpus state, any value below unity being a defect rather than a tolerance.</w:t>
      </w:r>
    </w:p>
    <w:p>
      <w:pPr>
        <w:pStyle w:val="Heading2"/>
        <w:spacing w:after="140" w:before="280"/>
      </w:pPr>
      <w:r>
        <w:rPr>
          <w:b/>
          <w:bCs/>
          <w:color w:val="1A1714"/>
          <w:sz w:val="25"/>
          <w:szCs w:val="25"/>
        </w:rPr>
        <w:t xml:space="preserve">Digital Rights</w:t>
      </w:r>
    </w:p>
    <w:p>
      <w:pPr>
        <w:spacing w:after="180" w:line="300"/>
      </w:pPr>
      <w:r>
        <w:rPr>
          <w:color w:val="1A1714"/>
          <w:sz w:val="22"/>
          <w:szCs w:val="22"/>
        </w:rPr>
        <w:t xml:space="preserve">QueryBook’s digital-rights architecture protects the entitlements of readers, authors, and publishers at the structural level rather than by policy alone. Every query is evaluated against the requesting identity’s actual licensed content scope before execution, enforced at the query-execution layer itself rather than as a post-hoc filter, and an excluded record is not traversable at all rather than removed from a result, so a response can never leak content the requester is not entitled to reach and the absence of withheld content is not itself signalled. A shared session is bounded by the intersection of its participants’ entitlements, so no participant receives a citation another cannot open. Access to platform capabilities is governed by a role-based portal architecture scoped to defined roles, with a separate mechanism for granting a time-scoped, context-specific capability for a bounded purpose without broadening general access. A requesting identity may export the Fact Units, annotations, and interaction history it holds rights to, serialized to an open, non-proprietary format with provenance metadata preserved, without the export restricting continued access. Where an operator elects it for a specific published title, an external blockchain-based ownership-verification service may be registered for resale verification, the system acting as requesting party to that pre-existing external service while operating no blockchain infrastructure itself. And where content is moderated, the affected identity may appeal to a human reviewer distinct from the original moderator, with the decision and its stated reasoning logged against the original action’s provenance record.</w:t>
      </w:r>
    </w:p>
    <w:p>
      <w:pPr>
        <w:pStyle w:val="Heading2"/>
        <w:spacing w:after="140" w:before="280"/>
      </w:pPr>
      <w:r>
        <w:rPr>
          <w:b/>
          <w:bCs/>
          <w:color w:val="1A1714"/>
          <w:sz w:val="25"/>
          <w:szCs w:val="25"/>
        </w:rPr>
        <w:t xml:space="preserve">Encryption and Data Protection</w:t>
      </w:r>
    </w:p>
    <w:p>
      <w:pPr>
        <w:spacing w:after="180" w:line="300"/>
      </w:pPr>
      <w:r>
        <w:rPr>
          <w:color w:val="1A1714"/>
          <w:sz w:val="22"/>
          <w:szCs w:val="22"/>
        </w:rPr>
        <w:t xml:space="preserve">Encryption in QueryBook is architectural, and it protects the user against every party, including the platform operator itself. An opt-in, passphrase-derived encryption mechanism protects an individual user’s own session and interaction history such that the platform itself cannot decrypt that history without the user’s own passphrase, a zero-knowledge property in the standard security sense; no operator-held key exists for that content under any configuration while the election is in effect. Where this mechanism is active, account erasure is implemented cryptographically: destroying the associated key record renders the encrypted history permanently unreadable without requiring individual enumeration and deletion of every underlying record, which makes erasure exact, immediate, and provable rather than a best-effort sweep. Encryption keys are scoped per tenant or per deployment, so that a key of one tenant decrypts no content of another and the blast radius of any compromise is structurally contained to a single tenant. Key material is held within a hardware or equivalent custody boundary where a deployment configures one, in which case the system holds a handle rather than the key and every use of the key is a call across that boundary, and the presence of a hardware module does not weaken the zero-knowledge election. Integrity protection runs alongside confidentiality: every node of the provenance ledger carries a keyed cryptographic checksum sufficient to detect any operation that bypassed a required safety evaluation, and each node is additionally signed under a key of the deployment, so the entire derivation chain is verifiable by a third party holding the corresponding verification key without access to the system that produced it. The combined advantage over conventional platform security is that privacy, erasure, tenancy isolation, and audit integrity are properties of the cryptography rather than promises of the operator, which is what makes QueryBook deployable in regulated, privacy-sensitive, and multi-tenant environments where a policy-based assurance would not suffice.</w:t>
      </w:r>
    </w:p>
    <w:p>
      <w:pPr>
        <w:pStyle w:val="Heading2"/>
        <w:spacing w:after="140" w:before="280"/>
      </w:pPr>
      <w:r>
        <w:rPr>
          <w:b/>
          <w:bCs/>
          <w:color w:val="1A1714"/>
          <w:sz w:val="25"/>
          <w:szCs w:val="25"/>
        </w:rPr>
        <w:t xml:space="preserve">QueryBook Query Response</w:t>
      </w:r>
    </w:p>
    <w:p>
      <w:pPr>
        <w:spacing w:after="180" w:line="300"/>
      </w:pPr>
      <w:r>
        <w:rPr>
          <w:color w:val="1A1714"/>
          <w:sz w:val="22"/>
          <w:szCs w:val="22"/>
        </w:rPr>
        <w:t xml:space="preserve">QueryBook’s Brain-Grade Knowledge Engine transforms any book, video, manual, or digital resource into a living, interactive intelligence that works for the reader. It does not just summarize. It does not just explain. It does not just answer questions. Instead, it performs tasks, teaches skills, runs simulations, builds workflows, creates VR demonstrations, and executes multi-step reasoning, all inside the content the user already owns. Task execution is carried by a bounded, non-Turing-complete program representation compiled from natural-language instructions, which is what makes execution deterministic and auditable rather than open-ended, and immersive output is carried by the three-dimensional presentation subsystem. It can instantly produce a chapter summary, a beginner-friendly explanation, a technical deep dive, a risk-analysis overview, a timeline of a subject’s evolution, a glossary of all terms, a comparison of alternatives such as Bitcoin versus Ethereum, a VR model of blockchain blocks, a three-dimensional animation of mining difficulty, or a simulation of transaction propagation, each regenerated from the same Fact Unit graph under the structural-groundedness constraint and delivered with citations to its underlying records. Where content is produced for delivery to a reader, a corresponding accessible equivalent, alternative text for visual content, scene descriptions for immersive presentations, captions for audio, and structurally simplified variants for cognitive accessibility, is generated from the same source Fact Units, with production treated as incomplete until the accessible equivalent exists alongside it. This is intelligence applied directly to the content the user owns; it turns passive content into active capability. It can tutor, it can coach, it can simulate, it can advise, it can summarize.</w:t>
      </w:r>
    </w:p>
    <w:p>
      <w:pPr>
        <w:spacing w:after="180" w:line="300"/>
      </w:pPr>
      <w:r>
        <w:rPr>
          <w:color w:val="1A1714"/>
          <w:sz w:val="22"/>
          <w:szCs w:val="22"/>
        </w:rPr>
        <w:t xml:space="preserve">When a book, document, or media asset is uploaded into QueryBook, authors can add supplemental information, which is admitted as its own registered source class contributing to the diversity of evidence behind the work’s assertions. QueryBook also generates, at ingestion, the probable questions that will be asked about the book, together with their summaries and fully-cited answers; these are stored and served with near-zero latency, and each pre-computed answer is invalidated upon revision of any contributing record, so a served answer is never stale.</w:t>
      </w:r>
    </w:p>
    <w:p>
      <w:pPr>
        <w:pStyle w:val="Heading2"/>
        <w:spacing w:after="140" w:before="280"/>
      </w:pPr>
      <w:r>
        <w:rPr>
          <w:b/>
          <w:bCs/>
          <w:color w:val="1A1714"/>
          <w:sz w:val="25"/>
          <w:szCs w:val="25"/>
        </w:rPr>
        <w:t xml:space="preserve">QueryBook Applications</w:t>
      </w:r>
    </w:p>
    <w:p>
      <w:pPr>
        <w:spacing w:after="180" w:line="300"/>
      </w:pPr>
      <w:r>
        <w:rPr>
          <w:color w:val="1A1714"/>
          <w:sz w:val="22"/>
          <w:szCs w:val="22"/>
        </w:rPr>
        <w:t xml:space="preserve">QueryBook supports a wide range of applications. First, single-book and multi-book question and answer: QueryBook can operate offline on a smartphone or online in a SaaS network, providing deterministic answers, multimodal explanations, and citation-linked outputs, and it far exceeds simple Q&amp;A systems because it uses a world model rather than keyword search or embeddings; during disconnected operation, query execution, provenance verification, and access-control enforcement all continue to function against a locally-held Fact Graph, with divergent states reconciled deterministically upon reconnection. Second, multi-document and multimodal analysis: QueryBook can analyze books, documents, videos, tables, datasets, and multimodal archives, and can perform economic forecasting, market analysis, policy modeling, scientific synthesis, and cross-domain reasoning, with contradiction and temporal-inconsistency detection operating across all ingested sources rather than being confined to any single one; forecasting operates under its stated discipline, in which the subject class is restricted to institutions, systems, and organisational processes, a projected-future result carries a credible interval and is never admitted as a knowledge record, and retrospective evaluation admits only records attested before the event in question, which is what makes the system’s forecast accuracy honestly measurable by horizon and confidence band. Third, QueryBook supports autonomous agents, robotic control, enterprise automation, global knowledge systems, multimodal education, and VR learning environments. Where an operator elects it, a contextual commerce layer may surface author-linked, publisher-linked, or third-party commercial content keyed to the concept a query resolves to, and its non-interference is structural rather than configurable: the grounded answer’s retrieval, ranking, and confidence computation are completed and finalized before the commerce layer is invoked, the layer receives only the resolved concept identifier as read-only input with no write path back into retrieval, ranking, or generation, commercial content is rendered in a distinct, source-labeled region and is never citable, never traversable, and contributes to no confidence value, and commerce is scheduled strictly below every safety-relevant category of compute.</w:t>
      </w:r>
    </w:p>
    <w:p>
      <w:pPr>
        <w:pStyle w:val="Heading2"/>
        <w:spacing w:after="140" w:before="280"/>
      </w:pPr>
      <w:r>
        <w:rPr>
          <w:b/>
          <w:bCs/>
          <w:color w:val="1A1714"/>
          <w:sz w:val="25"/>
          <w:szCs w:val="25"/>
        </w:rPr>
        <w:t xml:space="preserve">Architectural Extensions</w:t>
      </w:r>
    </w:p>
    <w:p>
      <w:pPr>
        <w:spacing w:after="180" w:line="300"/>
      </w:pPr>
      <w:r>
        <w:rPr>
          <w:color w:val="1A1714"/>
          <w:sz w:val="22"/>
          <w:szCs w:val="22"/>
        </w:rPr>
        <w:t xml:space="preserve">QueryBook enables deterministic language translation by regenerating meaning directly from Fact Units. A dedicated multilingual regeneration capability generates natural-language output directly from the language-independent representation for a requested target language, applying the identical structural-groundedness constraint regardless of output language, rather than translating already-generated text after the fact. Three refinements qualify that regeneration: a wording-operative span, such as a quotation, a statutory phrase, a claim term, or a prescribed instruction, is reproduced verbatim in its source language with a separately-marked non-operative gloss, because regenerating a span that carries force alters the force; an idiom is resolved by substituting only a registered equivalent, a surface-similarity selection being refused; and two or more language realizations may be presented simultaneously, aligned by knowledge record rather than by position, so a citation taken in either resolves to the same record. The projected benefits over conventional translation methods follow directly from the architecture. Because meaning is stored once, language-independently, adding a language is projected to cost a regeneration profile rather than a re-ingestion of the corpus, where systems that store knowledge at the language level must re-process, re-embed, or re-train per language. Because output is regenerated from records rather than translated from already-generated text, the compounding error of translate-after-generate pipelines, in which a generation error and a translation error multiply, is structurally absent. Because generation in every language operates under the identical structural-groundedness constraint, the class of translation failure in which fluent output diverges from source meaning is projected to be eliminated within the grounded pipeline rather than statistically reduced. And because citations align by knowledge record across languages, a multilingual deployment maintains one auditable body of knowledge rather than a set of parallel, silently diverging translations, which no post-hoc translation method can offer.</w:t>
      </w:r>
    </w:p>
    <w:p>
      <w:pPr>
        <w:spacing w:after="180" w:line="300"/>
      </w:pPr>
      <w:r>
        <w:rPr>
          <w:color w:val="1A1714"/>
          <w:sz w:val="22"/>
          <w:szCs w:val="22"/>
        </w:rPr>
        <w:t xml:space="preserve">QueryBook enables audio and video compression by storing meaning rather than pixels, allowing extreme compression and semantic reconstruction, and it can reconstruct three-dimensional VR environments, colorize historical media, and generate volumetric scenes with spatial consistency. Reconstruction operates under the platform’s stated constraints, which are what make it trustworthy: a reconstructed region is marked and never presented as observed, its confidence is bounded by the lesser of the observed and stored confidences, it is inadmissible as grounding for any assertion, and where convergence fails no reconstruction is produced and the gap is reported, because a frame with a hole is truthful while a hole filled with a guess presented as observation is not. The projected advantage of semantic compression over current methods is substantial. Conventional codec compression reduces raw media by discarding perceptual redundancy while remaining bound to the pixel and waveform level, so its output still grows with resolution, frame rate, and duration. Storing meaning and regenerating the surface is projected to reduce storage and transmission requirements by a further ninety to ninety-nine percent relative to conventional codec output for content whose value lies in its meaning, an estimated ten-fold to one-hundred-fold additional reduction, because the stored representation grows with the information in the scene rather than with the pixels used to display it. Expansion carries the complementary projected advantage: because regeneration proceeds from meaning rather than from a fixed raster, the same stored records can be expanded to any target resolution, modality, or presentation form, including volumetric and VR presentation, without re-encoding and without a generational quality loss, where conventional methods remain bound to the fidelity captured at encoding time. These figures are stated as projections pending measured validation and are not asserted as verified performance claims. Robotics benefits from semantic alignment, stabilized sensor data, registered physical constraints, and multimodal ingestion. Robotic capability draws directly on the cognitive substrate described throughout this document: the World-View Model supplies the causal, spatial, and physical understanding a robotic task requires, including the registered physical constraints against which every candidate action is evaluated, and the Skill Inventory Layer supplies the procedural memory, storing how to perform tasks, manipulate objects, and execute multi-step operations as retrievable, provenance-tracked knowledge. QueryBook acquires and refines these robotic skills the way it acquires concepts: through sensory input from direct experience, with visual, spatial, tactile, and temporal observation building concept models before any language label attaches, and through ingested video, which enters the same Fact Unit graph through the ordinary video modality, so that a task demonstrated once on video becomes a procedural concept available to every deployment entitled to it. Robotic and device integration observes the platform’s boundaries: external platforms receive only specific, declared actions through the connector architecture and confer no broader authority; direct command emission is permitted only to registered equipment of the capture-and-inspection class, with every command evaluated before emission against operating volume, kinematic envelope, velocity and force limits, clearance, and human proximity, a violating command being withheld unconditionally; assistive physical contact operates under a disjoint authorization class requiring a deployment authorization and the person’s own revocable consent concurrently; and the prohibition on any control interface to a vehicle system stands. An external machine-learning engine may additionally be prompted and its reply ingested as knowledge records, each permanently marked with its engine derivation, disclosed at the point of citation, bounded in confidence by the engine’s registered reliability, and counted as a single source class so that repetition manufactures no confidence, which allows QueryBook to harvest external generative capability without inheriting its groundlessness.</w:t>
      </w:r>
    </w:p>
    <w:p>
      <w:pPr>
        <w:pStyle w:val="Heading1"/>
        <w:spacing w:after="180" w:before="360"/>
      </w:pPr>
      <w:r>
        <w:rPr>
          <w:b/>
          <w:bCs/>
          <w:color w:val="1A1714"/>
          <w:sz w:val="30"/>
          <w:szCs w:val="30"/>
        </w:rPr>
        <w:t xml:space="preserve">Summary Chart: QueryBook’s Progressive Cognitive Architecture</w:t>
      </w:r>
    </w:p>
    <w:p>
      <w:pPr>
        <w:spacing w:after="180" w:line="300"/>
      </w:pPr>
      <w:r>
        <w:rPr>
          <w:color w:val="1A1714"/>
          <w:sz w:val="22"/>
          <w:szCs w:val="22"/>
        </w:rPr>
        <w:t xml:space="preserve">QueryBook’s cognitive abilities build in four progressive levels, each constructed on top of the level beneath it. Level One is the deterministic substrate; Level Two builds conceptual understanding upon it; Level Three integrates reasoning, prediction, and cross-domain synthesis; and Level Four adds governed self-evolution. The chart below lists, under each level, the layers, engines, and processes contributing to that level, the function each performs, and the advancement each provides.</w:t>
      </w:r>
    </w:p>
    <w:p>
      <w:pPr>
        <w:pStyle w:val="Heading2"/>
        <w:spacing w:after="140" w:before="280"/>
      </w:pPr>
      <w:r>
        <w:rPr>
          <w:b/>
          <w:bCs/>
          <w:color w:val="1A1714"/>
          <w:sz w:val="25"/>
          <w:szCs w:val="25"/>
        </w:rPr>
        <w:t xml:space="preserve">Level One — Core Technology: Fact Unit Deterministic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shd w:fill="F0ECE5" w:color="auto" w:val="clear"/>
            <w:tcMar>
              <w:top w:type="dxa" w:w="90"/>
              <w:left w:type="dxa" w:w="120"/>
              <w:bottom w:type="dxa" w:w="90"/>
              <w:right w:type="dxa" w:w="120"/>
            </w:tcMar>
          </w:tcPr>
          <w:p>
            <w:pPr>
              <w:spacing w:after="0" w:line="260"/>
            </w:pPr>
            <w:r>
              <w:rPr>
                <w:rFonts w:ascii="Arial" w:cs="Arial" w:eastAsia="Arial" w:hAnsi="Arial"/>
                <w:b/>
                <w:bCs/>
                <w:color w:val="1A1714"/>
                <w:sz w:val="19"/>
                <w:szCs w:val="19"/>
              </w:rPr>
              <w:t xml:space="preserve">Subsystem</w:t>
            </w:r>
          </w:p>
        </w:tc>
        <w:tc>
          <w:tcPr>
            <w:tcW w:type="dxa" w:w="3380"/>
            <w:shd w:fill="F0ECE5" w:color="auto" w:val="clear"/>
            <w:tcMar>
              <w:top w:type="dxa" w:w="90"/>
              <w:left w:type="dxa" w:w="120"/>
              <w:bottom w:type="dxa" w:w="90"/>
              <w:right w:type="dxa" w:w="120"/>
            </w:tcMar>
          </w:tcPr>
          <w:p>
            <w:pPr>
              <w:spacing w:after="0" w:line="260"/>
            </w:pPr>
            <w:r>
              <w:rPr>
                <w:rFonts w:ascii="Arial" w:cs="Arial" w:eastAsia="Arial" w:hAnsi="Arial"/>
                <w:b/>
                <w:bCs/>
                <w:color w:val="1A1714"/>
                <w:sz w:val="19"/>
                <w:szCs w:val="19"/>
              </w:rPr>
              <w:t xml:space="preserve">Function</w:t>
            </w:r>
          </w:p>
        </w:tc>
        <w:tc>
          <w:tcPr>
            <w:tcW w:type="dxa" w:w="3380"/>
            <w:shd w:fill="F0ECE5" w:color="auto" w:val="clear"/>
            <w:tcMar>
              <w:top w:type="dxa" w:w="90"/>
              <w:left w:type="dxa" w:w="120"/>
              <w:bottom w:type="dxa" w:w="90"/>
              <w:right w:type="dxa" w:w="120"/>
            </w:tcMar>
          </w:tcPr>
          <w:p>
            <w:pPr>
              <w:spacing w:after="0" w:line="260"/>
            </w:pPr>
            <w:r>
              <w:rPr>
                <w:rFonts w:ascii="Arial" w:cs="Arial" w:eastAsia="Arial" w:hAnsi="Arial"/>
                <w:b/>
                <w:bCs/>
                <w:color w:val="1A1714"/>
                <w:sz w:val="19"/>
                <w:szCs w:val="19"/>
              </w:rPr>
              <w:t xml:space="preserve">Advancement</w:t>
            </w:r>
          </w:p>
        </w:tc>
      </w:tr>
      <w:tr>
        <w:tc>
          <w:tcPr>
            <w:tcW w:type="dxa" w:w="260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Fact Unit Architecture</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Stores atomic, provenance-tracked, language-independent meaning</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Enables verifiable grounding</w:t>
            </w:r>
          </w:p>
        </w:tc>
      </w:tr>
      <w:tr>
        <w:tc>
          <w:tcPr>
            <w:tcW w:type="dxa" w:w="260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Neuromorphic Cognitive Layer</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Stabilizes retrieval through deterministic convergence</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Enables one best-supported interpretation</w:t>
            </w:r>
          </w:p>
        </w:tc>
      </w:tr>
      <w:tr>
        <w:tc>
          <w:tcPr>
            <w:tcW w:type="dxa" w:w="260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Provenance Ledger</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Records every derivation in a signed, tamper-evident chain</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Enables third-party verification</w:t>
            </w:r>
          </w:p>
        </w:tc>
      </w:tr>
      <w:tr>
        <w:tc>
          <w:tcPr>
            <w:tcW w:type="dxa" w:w="260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Evidence-Pair Confidence Model</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Accumulates evidence for and against, weighted by source diversity</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Enables calibrated, revisable belief</w:t>
            </w:r>
          </w:p>
        </w:tc>
      </w:tr>
      <w:tr>
        <w:tc>
          <w:tcPr>
            <w:tcW w:type="dxa" w:w="260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Ontology Mesh</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Governs concept and predicate identity across the graph</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Enables consistent cross-domain vocabulary</w:t>
            </w:r>
          </w:p>
        </w:tc>
      </w:tr>
      <w:tr>
        <w:tc>
          <w:tcPr>
            <w:tcW w:type="dxa" w:w="260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Context Lock</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Enumerates the dimensions over which determinism is asserted</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Enables testable reproducibility</w:t>
            </w:r>
          </w:p>
        </w:tc>
      </w:tr>
      <w:tr>
        <w:tc>
          <w:tcPr>
            <w:tcW w:type="dxa" w:w="260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Prime Directive (Domain 0)</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Governs every subsystem without exception</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Enables architectural safety</w:t>
            </w:r>
          </w:p>
        </w:tc>
      </w:tr>
    </w:tbl>
    <w:p>
      <w:pPr>
        <w:spacing w:after="260" w:before="140" w:line="290"/>
      </w:pPr>
      <w:r>
        <w:rPr>
          <w:i/>
          <w:iCs/>
          <w:color w:val="5F5952"/>
          <w:sz w:val="21"/>
          <w:szCs w:val="21"/>
        </w:rPr>
        <w:t xml:space="preserve">Outcome: every answer is deterministic, grounded, and verifiable — the substrate every higher level stands on.</w:t>
      </w:r>
    </w:p>
    <w:p>
      <w:pPr>
        <w:pStyle w:val="Heading2"/>
        <w:spacing w:after="140" w:before="280"/>
      </w:pPr>
      <w:r>
        <w:rPr>
          <w:b/>
          <w:bCs/>
          <w:color w:val="1A1714"/>
          <w:sz w:val="25"/>
          <w:szCs w:val="25"/>
        </w:rPr>
        <w:t xml:space="preserve">Level Two — Conceptual AI: The World-View Perspective, Built on Level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shd w:fill="F0ECE5" w:color="auto" w:val="clear"/>
            <w:tcMar>
              <w:top w:type="dxa" w:w="90"/>
              <w:left w:type="dxa" w:w="120"/>
              <w:bottom w:type="dxa" w:w="90"/>
              <w:right w:type="dxa" w:w="120"/>
            </w:tcMar>
          </w:tcPr>
          <w:p>
            <w:pPr>
              <w:spacing w:after="0" w:line="260"/>
            </w:pPr>
            <w:r>
              <w:rPr>
                <w:rFonts w:ascii="Arial" w:cs="Arial" w:eastAsia="Arial" w:hAnsi="Arial"/>
                <w:b/>
                <w:bCs/>
                <w:color w:val="1A1714"/>
                <w:sz w:val="19"/>
                <w:szCs w:val="19"/>
              </w:rPr>
              <w:t xml:space="preserve">Subsystem</w:t>
            </w:r>
          </w:p>
        </w:tc>
        <w:tc>
          <w:tcPr>
            <w:tcW w:type="dxa" w:w="3380"/>
            <w:shd w:fill="F0ECE5" w:color="auto" w:val="clear"/>
            <w:tcMar>
              <w:top w:type="dxa" w:w="90"/>
              <w:left w:type="dxa" w:w="120"/>
              <w:bottom w:type="dxa" w:w="90"/>
              <w:right w:type="dxa" w:w="120"/>
            </w:tcMar>
          </w:tcPr>
          <w:p>
            <w:pPr>
              <w:spacing w:after="0" w:line="260"/>
            </w:pPr>
            <w:r>
              <w:rPr>
                <w:rFonts w:ascii="Arial" w:cs="Arial" w:eastAsia="Arial" w:hAnsi="Arial"/>
                <w:b/>
                <w:bCs/>
                <w:color w:val="1A1714"/>
                <w:sz w:val="19"/>
                <w:szCs w:val="19"/>
              </w:rPr>
              <w:t xml:space="preserve">Function</w:t>
            </w:r>
          </w:p>
        </w:tc>
        <w:tc>
          <w:tcPr>
            <w:tcW w:type="dxa" w:w="3380"/>
            <w:shd w:fill="F0ECE5" w:color="auto" w:val="clear"/>
            <w:tcMar>
              <w:top w:type="dxa" w:w="90"/>
              <w:left w:type="dxa" w:w="120"/>
              <w:bottom w:type="dxa" w:w="90"/>
              <w:right w:type="dxa" w:w="120"/>
            </w:tcMar>
          </w:tcPr>
          <w:p>
            <w:pPr>
              <w:spacing w:after="0" w:line="260"/>
            </w:pPr>
            <w:r>
              <w:rPr>
                <w:rFonts w:ascii="Arial" w:cs="Arial" w:eastAsia="Arial" w:hAnsi="Arial"/>
                <w:b/>
                <w:bCs/>
                <w:color w:val="1A1714"/>
                <w:sz w:val="19"/>
                <w:szCs w:val="19"/>
              </w:rPr>
              <w:t xml:space="preserve">Advancement</w:t>
            </w:r>
          </w:p>
        </w:tc>
      </w:tr>
      <w:tr>
        <w:tc>
          <w:tcPr>
            <w:tcW w:type="dxa" w:w="260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World-View Model</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Builds causal, spatial, and physical understanding</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Adds physics-like reasoning</w:t>
            </w:r>
          </w:p>
        </w:tc>
      </w:tr>
      <w:tr>
        <w:tc>
          <w:tcPr>
            <w:tcW w:type="dxa" w:w="260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Conceptual Memory (World Brain concept nodes)</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Stores abstract concepts and schemas</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Enables concept formation</w:t>
            </w:r>
          </w:p>
        </w:tc>
      </w:tr>
      <w:tr>
        <w:tc>
          <w:tcPr>
            <w:tcW w:type="dxa" w:w="260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Skill Inventory Layer</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Encodes procedural knowledge</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Enables action learning</w:t>
            </w:r>
          </w:p>
        </w:tc>
      </w:tr>
      <w:tr>
        <w:tc>
          <w:tcPr>
            <w:tcW w:type="dxa" w:w="260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Noise Elimination Process</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Removes redundant episodes</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Enables concept compression</w:t>
            </w:r>
          </w:p>
        </w:tc>
      </w:tr>
      <w:tr>
        <w:tc>
          <w:tcPr>
            <w:tcW w:type="dxa" w:w="260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Multimodal Ingestion</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Converts sensory experience across eight modalities into one substrate</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Enables perception-first learning</w:t>
            </w:r>
          </w:p>
        </w:tc>
      </w:tr>
    </w:tbl>
    <w:p>
      <w:pPr>
        <w:spacing w:after="260" w:before="140" w:line="290"/>
      </w:pPr>
      <w:r>
        <w:rPr>
          <w:i/>
          <w:iCs/>
          <w:color w:val="5F5952"/>
          <w:sz w:val="21"/>
          <w:szCs w:val="21"/>
        </w:rPr>
        <w:t xml:space="preserve">Outcome: QueryBook now learns concepts, not examples — the first step toward cognition.</w:t>
      </w:r>
    </w:p>
    <w:p>
      <w:pPr>
        <w:pStyle w:val="Heading2"/>
        <w:spacing w:after="140" w:before="280"/>
      </w:pPr>
      <w:r>
        <w:rPr>
          <w:b/>
          <w:bCs/>
          <w:color w:val="1A1714"/>
          <w:sz w:val="25"/>
          <w:szCs w:val="25"/>
        </w:rPr>
        <w:t xml:space="preserve">Level Three — Integrative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shd w:fill="F0ECE5" w:color="auto" w:val="clear"/>
            <w:tcMar>
              <w:top w:type="dxa" w:w="90"/>
              <w:left w:type="dxa" w:w="120"/>
              <w:bottom w:type="dxa" w:w="90"/>
              <w:right w:type="dxa" w:w="120"/>
            </w:tcMar>
          </w:tcPr>
          <w:p>
            <w:pPr>
              <w:spacing w:after="0" w:line="260"/>
            </w:pPr>
            <w:r>
              <w:rPr>
                <w:rFonts w:ascii="Arial" w:cs="Arial" w:eastAsia="Arial" w:hAnsi="Arial"/>
                <w:b/>
                <w:bCs/>
                <w:color w:val="1A1714"/>
                <w:sz w:val="19"/>
                <w:szCs w:val="19"/>
              </w:rPr>
              <w:t xml:space="preserve">Subsystem</w:t>
            </w:r>
          </w:p>
        </w:tc>
        <w:tc>
          <w:tcPr>
            <w:tcW w:type="dxa" w:w="3380"/>
            <w:shd w:fill="F0ECE5" w:color="auto" w:val="clear"/>
            <w:tcMar>
              <w:top w:type="dxa" w:w="90"/>
              <w:left w:type="dxa" w:w="120"/>
              <w:bottom w:type="dxa" w:w="90"/>
              <w:right w:type="dxa" w:w="120"/>
            </w:tcMar>
          </w:tcPr>
          <w:p>
            <w:pPr>
              <w:spacing w:after="0" w:line="260"/>
            </w:pPr>
            <w:r>
              <w:rPr>
                <w:rFonts w:ascii="Arial" w:cs="Arial" w:eastAsia="Arial" w:hAnsi="Arial"/>
                <w:b/>
                <w:bCs/>
                <w:color w:val="1A1714"/>
                <w:sz w:val="19"/>
                <w:szCs w:val="19"/>
              </w:rPr>
              <w:t xml:space="preserve">Function</w:t>
            </w:r>
          </w:p>
        </w:tc>
        <w:tc>
          <w:tcPr>
            <w:tcW w:type="dxa" w:w="3380"/>
            <w:shd w:fill="F0ECE5" w:color="auto" w:val="clear"/>
            <w:tcMar>
              <w:top w:type="dxa" w:w="90"/>
              <w:left w:type="dxa" w:w="120"/>
              <w:bottom w:type="dxa" w:w="90"/>
              <w:right w:type="dxa" w:w="120"/>
            </w:tcMar>
          </w:tcPr>
          <w:p>
            <w:pPr>
              <w:spacing w:after="0" w:line="260"/>
            </w:pPr>
            <w:r>
              <w:rPr>
                <w:rFonts w:ascii="Arial" w:cs="Arial" w:eastAsia="Arial" w:hAnsi="Arial"/>
                <w:b/>
                <w:bCs/>
                <w:color w:val="1A1714"/>
                <w:sz w:val="19"/>
                <w:szCs w:val="19"/>
              </w:rPr>
              <w:t xml:space="preserve">Advancement</w:t>
            </w:r>
          </w:p>
        </w:tc>
      </w:tr>
      <w:tr>
        <w:tc>
          <w:tcPr>
            <w:tcW w:type="dxa" w:w="260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Perspective Modeling Layer</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Models other minds and intent</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Enables empathy and social reasoning</w:t>
            </w:r>
          </w:p>
        </w:tc>
      </w:tr>
      <w:tr>
        <w:tc>
          <w:tcPr>
            <w:tcW w:type="dxa" w:w="260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Self-Model Layer</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Tracks its own knowledge and limits</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Enables introspection and self-correction</w:t>
            </w:r>
          </w:p>
        </w:tc>
      </w:tr>
      <w:tr>
        <w:tc>
          <w:tcPr>
            <w:tcW w:type="dxa" w:w="260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Analogy Engine</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Maps structure across domains</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Enables creativity and generalization</w:t>
            </w:r>
          </w:p>
        </w:tc>
      </w:tr>
      <w:tr>
        <w:tc>
          <w:tcPr>
            <w:tcW w:type="dxa" w:w="260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Predictive Cognitive Architecture</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Forecasts outcomes across fifteen coordinated prediction mechanisms</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Enables anticipation and planning</w:t>
            </w:r>
          </w:p>
        </w:tc>
      </w:tr>
      <w:tr>
        <w:tc>
          <w:tcPr>
            <w:tcW w:type="dxa" w:w="260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Neuro-Symbolic Integration Layer</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Merges neural-style perception with symbolic reasoning</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Enables unified cognition</w:t>
            </w:r>
          </w:p>
        </w:tc>
      </w:tr>
      <w:tr>
        <w:tc>
          <w:tcPr>
            <w:tcW w:type="dxa" w:w="260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Hypergraph Reasoning Layer</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Connects multi-domain concepts</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Enables cross-domain synthesis</w:t>
            </w:r>
          </w:p>
        </w:tc>
      </w:tr>
      <w:tr>
        <w:tc>
          <w:tcPr>
            <w:tcW w:type="dxa" w:w="260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Concept Compression Layer</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Performs noise elimination and abstraction</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Enables efficient learning</w:t>
            </w:r>
          </w:p>
        </w:tc>
      </w:tr>
      <w:tr>
        <w:tc>
          <w:tcPr>
            <w:tcW w:type="dxa" w:w="260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Baconian Reasoning and the Feedback Loop</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Admits outcomes and empirical observation as evidence</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Enables adaptive, empirical intelligence</w:t>
            </w:r>
          </w:p>
        </w:tc>
      </w:tr>
    </w:tbl>
    <w:p>
      <w:pPr>
        <w:spacing w:after="260" w:before="140" w:line="290"/>
      </w:pPr>
      <w:r>
        <w:rPr>
          <w:i/>
          <w:iCs/>
          <w:color w:val="5F5952"/>
          <w:sz w:val="21"/>
          <w:szCs w:val="21"/>
        </w:rPr>
        <w:t xml:space="preserve">Outcome: QueryBook reasons, predicts, adapts, and generalizes across domains — the hallmark of general cognition.</w:t>
      </w:r>
    </w:p>
    <w:p>
      <w:pPr>
        <w:pStyle w:val="Heading2"/>
        <w:spacing w:after="140" w:before="280"/>
      </w:pPr>
      <w:r>
        <w:rPr>
          <w:b/>
          <w:bCs/>
          <w:color w:val="1A1714"/>
          <w:sz w:val="25"/>
          <w:szCs w:val="25"/>
        </w:rPr>
        <w:t xml:space="preserve">Level Four — Autonomous Cognitive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shd w:fill="F0ECE5" w:color="auto" w:val="clear"/>
            <w:tcMar>
              <w:top w:type="dxa" w:w="90"/>
              <w:left w:type="dxa" w:w="120"/>
              <w:bottom w:type="dxa" w:w="90"/>
              <w:right w:type="dxa" w:w="120"/>
            </w:tcMar>
          </w:tcPr>
          <w:p>
            <w:pPr>
              <w:spacing w:after="0" w:line="260"/>
            </w:pPr>
            <w:r>
              <w:rPr>
                <w:rFonts w:ascii="Arial" w:cs="Arial" w:eastAsia="Arial" w:hAnsi="Arial"/>
                <w:b/>
                <w:bCs/>
                <w:color w:val="1A1714"/>
                <w:sz w:val="19"/>
                <w:szCs w:val="19"/>
              </w:rPr>
              <w:t xml:space="preserve">Subsystem</w:t>
            </w:r>
          </w:p>
        </w:tc>
        <w:tc>
          <w:tcPr>
            <w:tcW w:type="dxa" w:w="3380"/>
            <w:shd w:fill="F0ECE5" w:color="auto" w:val="clear"/>
            <w:tcMar>
              <w:top w:type="dxa" w:w="90"/>
              <w:left w:type="dxa" w:w="120"/>
              <w:bottom w:type="dxa" w:w="90"/>
              <w:right w:type="dxa" w:w="120"/>
            </w:tcMar>
          </w:tcPr>
          <w:p>
            <w:pPr>
              <w:spacing w:after="0" w:line="260"/>
            </w:pPr>
            <w:r>
              <w:rPr>
                <w:rFonts w:ascii="Arial" w:cs="Arial" w:eastAsia="Arial" w:hAnsi="Arial"/>
                <w:b/>
                <w:bCs/>
                <w:color w:val="1A1714"/>
                <w:sz w:val="19"/>
                <w:szCs w:val="19"/>
              </w:rPr>
              <w:t xml:space="preserve">Function</w:t>
            </w:r>
          </w:p>
        </w:tc>
        <w:tc>
          <w:tcPr>
            <w:tcW w:type="dxa" w:w="3380"/>
            <w:shd w:fill="F0ECE5" w:color="auto" w:val="clear"/>
            <w:tcMar>
              <w:top w:type="dxa" w:w="90"/>
              <w:left w:type="dxa" w:w="120"/>
              <w:bottom w:type="dxa" w:w="90"/>
              <w:right w:type="dxa" w:w="120"/>
            </w:tcMar>
          </w:tcPr>
          <w:p>
            <w:pPr>
              <w:spacing w:after="0" w:line="260"/>
            </w:pPr>
            <w:r>
              <w:rPr>
                <w:rFonts w:ascii="Arial" w:cs="Arial" w:eastAsia="Arial" w:hAnsi="Arial"/>
                <w:b/>
                <w:bCs/>
                <w:color w:val="1A1714"/>
                <w:sz w:val="19"/>
                <w:szCs w:val="19"/>
              </w:rPr>
              <w:t xml:space="preserve">Advancement</w:t>
            </w:r>
          </w:p>
        </w:tc>
      </w:tr>
      <w:tr>
        <w:tc>
          <w:tcPr>
            <w:tcW w:type="dxa" w:w="260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Meta-Learning Layer</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Learns how to learn</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Enables self-improvement</w:t>
            </w:r>
          </w:p>
        </w:tc>
      </w:tr>
      <w:tr>
        <w:tc>
          <w:tcPr>
            <w:tcW w:type="dxa" w:w="260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Memory Consolidation Cycle</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Refines and compresses concepts over time</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Enables long-term stability</w:t>
            </w:r>
          </w:p>
        </w:tc>
      </w:tr>
      <w:tr>
        <w:tc>
          <w:tcPr>
            <w:tcW w:type="dxa" w:w="260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Adaptive Schema Engine</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Evolves new reasoning patterns</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Enables creative intelligence</w:t>
            </w:r>
          </w:p>
        </w:tc>
      </w:tr>
      <w:tr>
        <w:tc>
          <w:tcPr>
            <w:tcW w:type="dxa" w:w="260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Governed Improvement Gate</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Requires a named human approval for every change to the system itself</w:t>
            </w:r>
          </w:p>
        </w:tc>
        <w:tc>
          <w:tcPr>
            <w:tcW w:type="dxa" w:w="3380"/>
            <w:tcMar>
              <w:top w:type="dxa" w:w="90"/>
              <w:left w:type="dxa" w:w="120"/>
              <w:bottom w:type="dxa" w:w="90"/>
              <w:right w:type="dxa" w:w="120"/>
            </w:tcMar>
          </w:tcPr>
          <w:p>
            <w:pPr>
              <w:spacing w:after="0" w:line="260"/>
            </w:pPr>
            <w:r>
              <w:rPr>
                <w:rFonts w:ascii="Georgia" w:cs="Georgia" w:eastAsia="Georgia" w:hAnsi="Georgia"/>
                <w:b w:val="false"/>
                <w:bCs w:val="false"/>
                <w:color w:val="1A1714"/>
                <w:sz w:val="20"/>
                <w:szCs w:val="20"/>
              </w:rPr>
              <w:t xml:space="preserve">Enables safe, accountable evolution</w:t>
            </w:r>
          </w:p>
        </w:tc>
      </w:tr>
    </w:tbl>
    <w:p>
      <w:pPr>
        <w:spacing w:after="260" w:before="140" w:line="290"/>
      </w:pPr>
      <w:r>
        <w:rPr>
          <w:i/>
          <w:iCs/>
          <w:color w:val="5F5952"/>
          <w:sz w:val="21"/>
          <w:szCs w:val="21"/>
        </w:rPr>
        <w:t xml:space="preserve">Outcome: QueryBook grows conceptually without uncontrolled self-modification — autonomous evolution that remains deployable in regulated environments.</w:t>
      </w:r>
    </w:p>
    <w:p>
      <w:pPr>
        <w:pStyle w:val="Heading1"/>
        <w:spacing w:after="180" w:before="360"/>
      </w:pPr>
      <w:r>
        <w:rPr>
          <w:b/>
          <w:bCs/>
          <w:color w:val="1A1714"/>
          <w:sz w:val="30"/>
          <w:szCs w:val="30"/>
        </w:rPr>
        <w:t xml:space="preserve">Commentary on Neuromorphic Correspondences</w:t>
      </w:r>
    </w:p>
    <w:p>
      <w:pPr>
        <w:spacing w:after="180" w:line="300"/>
      </w:pPr>
      <w:r>
        <w:rPr>
          <w:color w:val="1A1714"/>
          <w:sz w:val="22"/>
          <w:szCs w:val="22"/>
        </w:rPr>
        <w:t xml:space="preserve">Every biological parallel in the body of this document is offered in one of two registers, and this commentary, kept separate from the text so the text reads cleanly, states which is which. Under the governing correspondence methodology, a neuromorphic correspondence is admitted as a claim only where the primary scientific publication establishing the finding is verified, the correspondence is identified in a mechanism that already exists rather than invented for it, a deterministic structural principle is extracted, and any trained or stochastic component of the source theory is excluded. A correspondence explains why a mechanism is well-founded; it does not justify the mechanism, no claim recites a correspondence as an element, and no mechanism in this system is adopted because it resembles a biological one.</w:t>
      </w:r>
    </w:p>
    <w:p>
      <w:pPr>
        <w:spacing w:after="180" w:line="300"/>
      </w:pPr>
      <w:r>
        <w:rPr>
          <w:color w:val="1A1714"/>
          <w:sz w:val="22"/>
          <w:szCs w:val="22"/>
        </w:rPr>
        <w:t xml:space="preserve">Five correspondences are claimed under that methodology. Convergence dynamics: the retrieval-stabilization network is an attractor network in the sense of Hopfield (1982), with its capacity ceiling established by Amit, Gutfreund and Sompolinsky (1985) as a first-order phase boundary. Attentional competition: Competitive Candidate Resolution implements biased competition as identified by Desimone and Duncan (1995), with lateral inhibition among candidates and the accumulated evidence behind each candidate serving as the bias. Consolidation: the resistance of a settled concept to revision corresponds to synaptic consolidation, with the arithmetic of elastic weight consolidation as formulated by Kirkpatrick et al. (2017). Intersensory redundancy: the cross-modality confidence elevation corresponds to the finding of Bahrick and Lickliter (2000) that a property presented concurrently to two or more senses is detected earlier and more reliably. Spatial coding: spatial indexing over a hexagonal tiling corresponds to the firing structure of entorhinal grid cells reported by Hafting et al. (2005), with the retention of object identity across occlusion corresponding to object permanence as described by Piaget (1954).</w:t>
      </w:r>
    </w:p>
    <w:p>
      <w:pPr>
        <w:spacing w:after="180" w:line="300"/>
      </w:pPr>
      <w:r>
        <w:rPr>
          <w:color w:val="1A1714"/>
          <w:sz w:val="22"/>
          <w:szCs w:val="22"/>
        </w:rPr>
        <w:t xml:space="preserve">Everything else in this document that speaks in a biological voice is plain-language analogy, deliberately outside the claimed set: the cortical-column description of the Fact Unit, the characterization of the Neuromorphic Cognitive Layer as a synthetic cortex, the likening of semantic edges to white-matter pathways, the hippocampus parallel offered for episodic simulation, the prefrontal-cortex parallel offered for cross-temporal reasoning, the reward-system counterpart offered for the motivational architecture, and the description of consolidation cycles as the system’s equivalent of sleep. These analogies are aids to understanding. The full brain-region-to-component mapping that appeared in earlier source material is deliberately not claimed, because none of its pairings rests on a primary result of the required form, and admitting weak parallels alongside verified correspondences would place the verified ones under the same doubt.</w:t>
      </w:r>
    </w:p>
    <w:p>
      <w:pPr>
        <w:spacing w:after="180" w:line="300"/>
      </w:pPr>
      <w:r>
        <w:rPr>
          <w:color w:val="1A1714"/>
          <w:sz w:val="22"/>
          <w:szCs w:val="22"/>
        </w:rPr>
        <w:t xml:space="preserve">A note on the projections stated in the compression, expansion, and translation discussion: those are projected advantages pending measured validation, labeled as such where they appear, and are not asserted as verified performance claims, consistent with this document’s practice of citing only claims traceable to specified mechanisms.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7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2026-08-26T16:44:13.422Z</dcterms:created>
  <dcterms:modified xsi:type="dcterms:W3CDTF">2026-08-26T16:44:13.441Z</dcterms:modified>
</cp:coreProperties>
</file>

<file path=docProps/custom.xml><?xml version="1.0" encoding="utf-8"?>
<Properties xmlns="http://schemas.openxmlformats.org/officeDocument/2006/custom-properties" xmlns:vt="http://schemas.openxmlformats.org/officeDocument/2006/docPropsVTypes"/>
</file>