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hint="eastAsia"/>
        </w:rPr>
      </w:pPr>
      <w:r>
        <w:rPr/>
        <w:t>Base Provisional Patent</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jc w:val="center"/>
        <w:rPr>
          <w:rFonts w:hint="eastAsia"/>
        </w:rPr>
      </w:pPr>
      <w:r>
        <w:rPr>
          <w:rStyle w:val="Strong"/>
          <w:rFonts w:ascii="Times New Roman" w:hAnsi="Times New Roman"/>
          <w:sz w:val="32"/>
          <w:szCs w:val="32"/>
        </w:rPr>
        <w:t>QueryBook</w:t>
      </w:r>
    </w:p>
    <w:p>
      <w:pPr>
        <w:pStyle w:val="Normal"/>
        <w:jc w:val="center"/>
        <w:rPr>
          <w:rStyle w:val="Strong"/>
          <w:rFonts w:ascii="Times New Roman" w:hAnsi="Times New Roman"/>
        </w:rPr>
      </w:pPr>
      <w:r>
        <w:rPr>
          <w:rFonts w:ascii="Times New Roman" w:hAnsi="Times New Roman"/>
        </w:rPr>
      </w:r>
    </w:p>
    <w:p>
      <w:pPr>
        <w:pStyle w:val="Normal"/>
        <w:jc w:val="center"/>
        <w:rPr>
          <w:rFonts w:hint="eastAsia"/>
        </w:rPr>
      </w:pPr>
      <w:r>
        <w:rPr>
          <w:rStyle w:val="Strong"/>
          <w:rFonts w:ascii="Times New Roman" w:hAnsi="Times New Roman"/>
        </w:rPr>
        <w:t>Non-Provisional Patent Application</w:t>
      </w:r>
    </w:p>
    <w:p>
      <w:pPr>
        <w:pStyle w:val="Normal"/>
        <w:jc w:val="center"/>
        <w:rPr>
          <w:rFonts w:hint="eastAsia"/>
        </w:rPr>
      </w:pPr>
      <w:r>
        <w:rPr>
          <w:rStyle w:val="Strong"/>
          <w:rFonts w:ascii="Times New Roman" w:hAnsi="Times New Roman"/>
        </w:rPr>
        <w:t>9/23/2026</w:t>
        <w:br/>
        <w:br/>
        <w:t>Inventors, Garry S. Howard, Christopher Caile</w:t>
      </w:r>
    </w:p>
    <w:p>
      <w:pPr>
        <w:pStyle w:val="Normal"/>
        <w:rPr>
          <w:rStyle w:val="Strong"/>
          <w:rFonts w:ascii="Times New Roman" w:hAnsi="Times New Roman"/>
        </w:rPr>
      </w:pPr>
      <w:r>
        <w:rPr>
          <w:rFonts w:ascii="Times New Roman" w:hAnsi="Times New Roman"/>
        </w:rPr>
      </w:r>
    </w:p>
    <w:p>
      <w:pPr>
        <w:pStyle w:val="Normal"/>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rPr/>
          </w:pPr>
          <w:r>
            <w:br w:type="page"/>
          </w:r>
          <w:r>
            <w:rPr/>
            <w:t>Table of Contents</w:t>
          </w:r>
        </w:p>
        <w:p>
          <w:pPr>
            <w:pStyle w:val="TOC2"/>
            <w:tabs>
              <w:tab w:val="clear" w:pos="10255"/>
              <w:tab w:val="right" w:pos="9971" w:leader="dot"/>
            </w:tabs>
            <w:rPr/>
          </w:pPr>
          <w:r>
            <w:fldChar w:fldCharType="begin"/>
          </w:r>
          <w:r>
            <w:rPr>
              <w:rStyle w:val="IndexLink"/>
            </w:rPr>
            <w:instrText xml:space="preserve"> TOC \f \o "1-9" \h</w:instrText>
          </w:r>
          <w:r>
            <w:rPr>
              <w:rStyle w:val="IndexLink"/>
            </w:rPr>
            <w:fldChar w:fldCharType="separate"/>
          </w:r>
          <w:hyperlink w:anchor="__RefHeading___Toc117414_805184229" w:tooltip="TITLE OF INVENTION">
            <w:r>
              <w:rPr>
                <w:rStyle w:val="IndexLink"/>
              </w:rPr>
              <w:t>TITLE OF INVENTION</w:t>
              <w:tab/>
              <w:t>4</w:t>
            </w:r>
          </w:hyperlink>
        </w:p>
        <w:p>
          <w:pPr>
            <w:pStyle w:val="TOC2"/>
            <w:tabs>
              <w:tab w:val="clear" w:pos="10255"/>
              <w:tab w:val="right" w:pos="9971" w:leader="dot"/>
            </w:tabs>
            <w:rPr/>
          </w:pPr>
          <w:hyperlink w:anchor="__RefHeading___Toc117416_805184229" w:tooltip="RELATED PATENT APPLICATIONS">
            <w:r>
              <w:rPr>
                <w:rStyle w:val="IndexLink"/>
              </w:rPr>
              <w:t>RELATED PATENT APPLICATIONS</w:t>
              <w:tab/>
              <w:t>4</w:t>
            </w:r>
          </w:hyperlink>
        </w:p>
        <w:p>
          <w:pPr>
            <w:pStyle w:val="TOC2"/>
            <w:tabs>
              <w:tab w:val="clear" w:pos="10255"/>
              <w:tab w:val="right" w:pos="9971" w:leader="dot"/>
            </w:tabs>
            <w:rPr/>
          </w:pPr>
          <w:hyperlink w:anchor="__RefHeading___Toc46838_805184229" w:tooltip="FIELD OF THE INVENTION">
            <w:r>
              <w:rPr>
                <w:rStyle w:val="IndexLink"/>
              </w:rPr>
              <w:t>FIELD OF THE INVENTION</w:t>
              <w:tab/>
              <w:t>5</w:t>
            </w:r>
          </w:hyperlink>
        </w:p>
        <w:p>
          <w:pPr>
            <w:pStyle w:val="TOC2"/>
            <w:tabs>
              <w:tab w:val="clear" w:pos="10255"/>
              <w:tab w:val="right" w:pos="9971" w:leader="dot"/>
            </w:tabs>
            <w:rPr/>
          </w:pPr>
          <w:hyperlink w:anchor="__RefHeading___Toc50703_805184229" w:tooltip="DESCRIPTION OF THE RELATED ART">
            <w:r>
              <w:rPr>
                <w:rStyle w:val="IndexLink"/>
              </w:rPr>
              <w:t>DESCRIPTION OF THE RELATED ART</w:t>
              <w:tab/>
              <w:t>5</w:t>
            </w:r>
          </w:hyperlink>
        </w:p>
        <w:p>
          <w:pPr>
            <w:pStyle w:val="TOC2"/>
            <w:tabs>
              <w:tab w:val="clear" w:pos="10255"/>
              <w:tab w:val="right" w:pos="9971" w:leader="dot"/>
            </w:tabs>
            <w:rPr/>
          </w:pPr>
          <w:hyperlink w:anchor="__RefHeading___Toc46814_805184229" w:tooltip="SUMMARY OF THE INVENTION">
            <w:r>
              <w:rPr>
                <w:rStyle w:val="IndexLink"/>
              </w:rPr>
              <w:t>SUMMARY OF THE INVENTION</w:t>
              <w:tab/>
              <w:t>8</w:t>
            </w:r>
          </w:hyperlink>
        </w:p>
        <w:p>
          <w:pPr>
            <w:pStyle w:val="TOC2"/>
            <w:tabs>
              <w:tab w:val="clear" w:pos="10255"/>
              <w:tab w:val="right" w:pos="9971" w:leader="dot"/>
            </w:tabs>
            <w:rPr/>
          </w:pPr>
          <w:hyperlink w:anchor="__RefHeading___Toc109266_805184229" w:tooltip="BRIEF DESCRIPTION OF THE DRAWINGS">
            <w:r>
              <w:rPr>
                <w:rStyle w:val="IndexLink"/>
              </w:rPr>
              <w:t>BRIEF DESCRIPTION OF THE DRAWINGS</w:t>
              <w:tab/>
              <w:t>13</w:t>
            </w:r>
          </w:hyperlink>
        </w:p>
        <w:p>
          <w:pPr>
            <w:pStyle w:val="TOC2"/>
            <w:tabs>
              <w:tab w:val="clear" w:pos="10255"/>
              <w:tab w:val="right" w:pos="9971" w:leader="dot"/>
            </w:tabs>
            <w:rPr/>
          </w:pPr>
          <w:hyperlink w:anchor="__RefHeading___Toc46816_805184229" w:tooltip="DETAILED DESCRIPTION SECTION">
            <w:r>
              <w:rPr>
                <w:rStyle w:val="IndexLink"/>
              </w:rPr>
              <w:t>DETAILED DESCRIPTION SECTION</w:t>
              <w:tab/>
              <w:t>15</w:t>
            </w:r>
          </w:hyperlink>
        </w:p>
        <w:p>
          <w:pPr>
            <w:pStyle w:val="TOC2"/>
            <w:tabs>
              <w:tab w:val="clear" w:pos="10255"/>
              <w:tab w:val="right" w:pos="9971" w:leader="dot"/>
            </w:tabs>
            <w:rPr/>
          </w:pPr>
          <w:hyperlink w:anchor="__RefHeading___Toc46820_805184229" w:tooltip="CORE TECHNOLOGY OVERVIEW">
            <w:r>
              <w:rPr>
                <w:rStyle w:val="IndexLink"/>
              </w:rPr>
              <w:t>CORE TECHNOLOGY OVERVIEW</w:t>
              <w:tab/>
              <w:t>20</w:t>
            </w:r>
          </w:hyperlink>
        </w:p>
        <w:p>
          <w:pPr>
            <w:pStyle w:val="TOC2"/>
            <w:tabs>
              <w:tab w:val="clear" w:pos="10255"/>
              <w:tab w:val="right" w:pos="9971" w:leader="dot"/>
            </w:tabs>
            <w:rPr/>
          </w:pPr>
          <w:hyperlink w:anchor="__RefHeading___Toc52152_805184229" w:tooltip="ARCHITECTURAL OVERVIEW">
            <w:r>
              <w:rPr>
                <w:rStyle w:val="IndexLink"/>
              </w:rPr>
              <w:t>ARCHITECTURAL OVERVIEW</w:t>
              <w:tab/>
              <w:t>42</w:t>
            </w:r>
          </w:hyperlink>
        </w:p>
        <w:p>
          <w:pPr>
            <w:pStyle w:val="TOC2"/>
            <w:tabs>
              <w:tab w:val="clear" w:pos="10255"/>
              <w:tab w:val="right" w:pos="9971" w:leader="dot"/>
            </w:tabs>
            <w:rPr/>
          </w:pPr>
          <w:hyperlink w:anchor="__RefHeading___Toc109268_805184229" w:tooltip="Claim Set (354 Claims)">
            <w:r>
              <w:rPr>
                <w:rStyle w:val="IndexLink"/>
              </w:rPr>
              <w:t>Claim Set (354 Claims)</w:t>
              <w:tab/>
              <w:t>46</w:t>
            </w:r>
          </w:hyperlink>
        </w:p>
        <w:p>
          <w:pPr>
            <w:pStyle w:val="TOC2"/>
            <w:tabs>
              <w:tab w:val="clear" w:pos="10255"/>
              <w:tab w:val="right" w:pos="9971" w:leader="dot"/>
            </w:tabs>
            <w:rPr/>
          </w:pPr>
          <w:hyperlink w:anchor="__RefHeading___Toc46822_805184229" w:tooltip="ABSTRACT">
            <w:r>
              <w:rPr>
                <w:rStyle w:val="IndexLink"/>
              </w:rPr>
              <w:t>ABSTRACT</w:t>
              <w:tab/>
              <w:t>87</w:t>
            </w:r>
          </w:hyperlink>
          <w:r>
            <w:rPr>
              <w:rStyle w:val="IndexLink"/>
            </w:rPr>
            <w:fldChar w:fldCharType="end"/>
          </w:r>
        </w:p>
      </w:sdtContent>
    </w:sdt>
    <w:p>
      <w:pPr>
        <w:pStyle w:val="Normal"/>
        <w:rPr>
          <w:rStyle w:val="Strong"/>
          <w:rFonts w:ascii="Times New Roman" w:hAnsi="Times New Roman"/>
        </w:rPr>
      </w:pPr>
      <w:r>
        <w:rPr>
          <w:rFonts w:ascii="Times New Roman" w:hAnsi="Times New Roman"/>
        </w:rPr>
      </w:r>
      <w:r>
        <w:br w:type="page"/>
      </w:r>
    </w:p>
    <w:p>
      <w:pPr>
        <w:pStyle w:val="Normal"/>
        <w:spacing w:before="0" w:after="0"/>
        <w:rPr>
          <w:rStyle w:val="Strong"/>
          <w:rFonts w:ascii="Times New Roman" w:hAnsi="Times New Roman"/>
        </w:rPr>
      </w:pPr>
      <w:r>
        <w:rPr>
          <w:rFonts w:ascii="Times New Roman" w:hAnsi="Times New Roman"/>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Normal"/>
        <w:spacing w:before="120" w:after="0"/>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Style w:val="Strong"/>
          <w:rFonts w:hint="eastAsia"/>
          <w:b/>
          <w:bCs/>
          <w:sz w:val="24"/>
          <w:szCs w:val="24"/>
        </w:rPr>
      </w:pPr>
      <w:r>
        <w:rPr>
          <w:rFonts w:hint="eastAsia"/>
          <w:b/>
          <w:bCs/>
          <w:sz w:val="24"/>
          <w:szCs w:val="24"/>
        </w:rPr>
      </w:r>
      <w:r>
        <w:br w:type="page"/>
      </w:r>
    </w:p>
    <w:p>
      <w:pPr>
        <w:pStyle w:val="Heading2"/>
        <w:numPr>
          <w:ilvl w:val="1"/>
          <w:numId w:val="1"/>
        </w:numPr>
        <w:spacing w:before="0" w:after="120"/>
        <w:rPr>
          <w:rFonts w:hint="eastAsia"/>
        </w:rPr>
      </w:pPr>
      <w:bookmarkStart w:id="0" w:name="__RefHeading___Toc117414_805184229"/>
      <w:bookmarkEnd w:id="0"/>
      <w:r>
        <w:rPr>
          <w:rStyle w:val="Strong"/>
          <w:rFonts w:ascii="Times New Roman" w:hAnsi="Times New Roman"/>
          <w:b/>
          <w:bCs/>
          <w:sz w:val="24"/>
          <w:szCs w:val="24"/>
        </w:rPr>
        <w:t>TITLE OF INVENTION</w:t>
      </w:r>
    </w:p>
    <w:p>
      <w:pPr>
        <w:pStyle w:val="Normal"/>
        <w:rPr/>
      </w:pPr>
      <w:r>
        <w:rPr>
          <w:rStyle w:val="Strong"/>
          <w:rFonts w:ascii="Times New Roman" w:hAnsi="Times New Roman"/>
          <w:b w:val="false"/>
          <w:bCs w:val="false"/>
          <w:color w:val="222222"/>
        </w:rPr>
        <w:t>Universal Fact-Unit-Centric, Deterministic, Provenance-Grounded Cognitive Engine with a Domain-Governed Knowledge Substrate</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Inventors:</w:t>
        <w:br/>
      </w:r>
      <w:r>
        <w:rPr>
          <w:rStyle w:val="Strong"/>
          <w:rFonts w:ascii="Times New Roman" w:hAnsi="Times New Roman"/>
          <w:b w:val="false"/>
          <w:bCs w:val="false"/>
        </w:rPr>
        <w:t>Garry S. Howard, Beverly Hills, California and Christopher Caile, Bronx, New York</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 xml:space="preserve">Assignment: </w:t>
      </w:r>
      <w:r>
        <w:rPr>
          <w:rStyle w:val="Strong"/>
          <w:rFonts w:ascii="Times New Roman" w:hAnsi="Times New Roman"/>
          <w:b w:val="false"/>
          <w:bCs w:val="false"/>
        </w:rPr>
        <w:t>MediaGration LLC</w:t>
      </w:r>
    </w:p>
    <w:p>
      <w:pPr>
        <w:pStyle w:val="Normal"/>
        <w:rPr>
          <w:rFonts w:ascii="Times New Roman" w:hAnsi="Times New Roman"/>
        </w:rPr>
      </w:pPr>
      <w:r>
        <w:rPr>
          <w:rFonts w:ascii="Times New Roman" w:hAnsi="Times New Roman"/>
        </w:rPr>
      </w:r>
    </w:p>
    <w:p>
      <w:pPr>
        <w:pStyle w:val="Heading2"/>
        <w:numPr>
          <w:ilvl w:val="1"/>
          <w:numId w:val="1"/>
        </w:numPr>
        <w:rPr>
          <w:rFonts w:ascii="Times New Roman" w:hAnsi="Times New Roman"/>
          <w:sz w:val="24"/>
          <w:szCs w:val="24"/>
        </w:rPr>
      </w:pPr>
      <w:bookmarkStart w:id="1" w:name="__RefHeading___Toc117416_805184229"/>
      <w:bookmarkEnd w:id="1"/>
      <w:r>
        <w:rPr>
          <w:rFonts w:ascii="Times New Roman" w:hAnsi="Times New Roman"/>
          <w:sz w:val="24"/>
          <w:szCs w:val="24"/>
        </w:rPr>
        <w:t>RELATED PATENT APPLICATIONS</w:t>
      </w:r>
    </w:p>
    <w:p>
      <w:pPr>
        <w:pStyle w:val="Normal"/>
        <w:jc w:val="both"/>
        <w:rPr>
          <w:rFonts w:hint="eastAsia"/>
        </w:rPr>
      </w:pPr>
      <w:r>
        <w:rPr>
          <w:rFonts w:ascii="Times New Roman" w:hAnsi="Times New Roman"/>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ind w:hanging="432" w:start="720"/>
        <w:jc w:val="both"/>
        <w:rPr>
          <w:rFonts w:hint="eastAsia"/>
        </w:rPr>
      </w:pPr>
      <w:r>
        <w:rPr>
          <w:rFonts w:ascii="Times New Roman" w:hAnsi="Times New Roman"/>
        </w:rPr>
        <w:t xml:space="preserve">1.  U.S. Provisional Patent Application No. </w:t>
      </w:r>
      <w:r>
        <w:rPr>
          <w:rFonts w:ascii="Times New Roman" w:hAnsi="Times New Roman"/>
          <w:b/>
        </w:rPr>
        <w:t>63/975,036</w:t>
      </w:r>
      <w:r>
        <w:rPr>
          <w:rFonts w:ascii="Times New Roman" w:hAnsi="Times New Roman"/>
        </w:rPr>
        <w:t xml:space="preserve">, filed </w:t>
      </w:r>
      <w:r>
        <w:rPr>
          <w:rFonts w:ascii="Times New Roman" w:hAnsi="Times New Roman"/>
          <w:b/>
        </w:rPr>
        <w:t>February 3, 2026</w:t>
      </w:r>
      <w:r>
        <w:rPr>
          <w:rFonts w:ascii="Times New Roman" w:hAnsi="Times New Roman"/>
        </w:rPr>
        <w:t>, entitled “</w:t>
      </w:r>
      <w:r>
        <w:rPr>
          <w:rFonts w:ascii="Times New Roman" w:hAnsi="Times New Roman"/>
          <w:b/>
        </w:rPr>
        <w:t>QUERYBOOK</w:t>
      </w:r>
      <w:r>
        <w:rPr>
          <w:rFonts w:ascii="Times New Roman" w:hAnsi="Times New Roman"/>
        </w:rPr>
        <w:t>” (Attorney Docket No. TPP96905), directed to the fact-grounded, deterministic question-answering and knowledge engine and its associated interactive modes.</w:t>
      </w:r>
    </w:p>
    <w:p>
      <w:pPr>
        <w:pStyle w:val="Normal"/>
        <w:ind w:hanging="432" w:start="720"/>
        <w:jc w:val="both"/>
        <w:rPr>
          <w:rFonts w:hint="eastAsia"/>
        </w:rPr>
      </w:pPr>
      <w:r>
        <w:rPr>
          <w:rFonts w:ascii="Times New Roman" w:hAnsi="Times New Roman"/>
        </w:rPr>
        <w:t xml:space="preserve">2.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TPP96906), directed to further developments of the QueryBook engine and its associated systems and methods.</w:t>
      </w:r>
    </w:p>
    <w:p>
      <w:pPr>
        <w:pStyle w:val="Normal"/>
        <w:ind w:hanging="432" w:start="720"/>
        <w:jc w:val="both"/>
        <w:rPr>
          <w:rFonts w:hint="eastAsia"/>
        </w:rPr>
      </w:pPr>
      <w:r>
        <w:rPr>
          <w:rFonts w:ascii="Times New Roman" w:hAnsi="Times New Roman"/>
        </w:rPr>
        <w:t xml:space="preserve">3.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TPP99488), directed to the Unified Fact Cognitive Substrate and Fact Query Language (UFCS/FQL) — a content-addressed graph substrate and joint structure-and-trust query layer over Fact Units.</w:t>
      </w:r>
    </w:p>
    <w:p>
      <w:pPr>
        <w:pStyle w:val="Normal"/>
        <w:ind w:hanging="432" w:start="720"/>
        <w:jc w:val="both"/>
        <w:rPr>
          <w:rFonts w:hint="eastAsia"/>
        </w:rPr>
      </w:pPr>
      <w:r>
        <w:rPr>
          <w:rFonts w:ascii="Times New Roman" w:hAnsi="Times New Roman"/>
        </w:rPr>
        <w:t xml:space="preserve">4.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TPP99489), directed to a fact-grounded search engine and artificial-intelligence engine built upon the same Fact Unit technology.</w:t>
      </w:r>
    </w:p>
    <w:p>
      <w:pPr>
        <w:pStyle w:val="Normal"/>
        <w:ind w:hanging="432" w:start="720"/>
        <w:jc w:val="both"/>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foregoing applications share at least one common inventor with the present application and are subject to a common obligation of assignment. The technologies disclosed therein are complementary and interoperable: the Fact Unit primitive of application (1) is the record that the UFCS/FQL substrate of application (3) stores and queries, and upon which the search and artificial-intelligence engines of application (4) and the further developments of application (2) operate. To the extent that subject matter claimed in the present application is disclosed in any of the foregoing applications, priority is claimed thereto as set forth in the Cross-Reference to Related Applications above; nothing in this section shall be construed to disclaim any such priority.</w:t>
      </w:r>
    </w:p>
    <w:p>
      <w:pPr>
        <w:pStyle w:val="Normal"/>
        <w:spacing w:before="240" w:after="200"/>
        <w:rPr>
          <w:rFonts w:hint="eastAsia"/>
        </w:rPr>
      </w:pPr>
      <w:r>
        <w:rPr/>
      </w:r>
      <w:r>
        <w:br w:type="page"/>
      </w:r>
    </w:p>
    <w:p>
      <w:pPr>
        <w:pStyle w:val="Heading2"/>
        <w:numPr>
          <w:ilvl w:val="1"/>
          <w:numId w:val="1"/>
        </w:numPr>
        <w:spacing w:before="0" w:after="120"/>
        <w:rPr>
          <w:rFonts w:hint="eastAsia"/>
          <w:sz w:val="24"/>
          <w:szCs w:val="24"/>
        </w:rPr>
      </w:pPr>
      <w:bookmarkStart w:id="2" w:name="__RefHeading___Toc46838_805184229"/>
      <w:bookmarkEnd w:id="2"/>
      <w:r>
        <w:rPr>
          <w:rFonts w:ascii="Times New Roman" w:hAnsi="Times New Roman"/>
          <w:sz w:val="24"/>
          <w:szCs w:val="24"/>
        </w:rPr>
        <w:t>FIELD OF THE INVENTION</w:t>
      </w:r>
    </w:p>
    <w:p>
      <w:pPr>
        <w:pStyle w:val="Normal"/>
        <w:spacing w:lineRule="auto" w:line="312" w:before="0" w:after="160"/>
        <w:rPr>
          <w:rFonts w:hint="eastAsia"/>
        </w:rPr>
      </w:pPr>
      <w:r>
        <w:rPr>
          <w:rStyle w:val="Strong"/>
          <w:rFonts w:ascii="Times New Roman" w:hAnsi="Times New Roman"/>
          <w:b w:val="false"/>
          <w:bCs w:val="false"/>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rPr>
          <w:rFonts w:hint="eastAsia"/>
        </w:rPr>
      </w:pPr>
      <w:r>
        <w:rPr>
          <w:rFonts w:ascii="Times New Roman" w:hAnsi="Times New Roman"/>
        </w:rPr>
        <w:br/>
      </w:r>
    </w:p>
    <w:p>
      <w:pPr>
        <w:pStyle w:val="Heading2"/>
        <w:numPr>
          <w:ilvl w:val="1"/>
          <w:numId w:val="1"/>
        </w:numPr>
        <w:spacing w:before="0" w:after="0"/>
        <w:rPr>
          <w:rFonts w:hint="eastAsia"/>
          <w:vanish/>
          <w:specVanish/>
        </w:rPr>
      </w:pPr>
      <w:bookmarkStart w:id="3" w:name="__RefHeading___Toc50703_805184229"/>
      <w:bookmarkEnd w:id="3"/>
      <w:r>
        <w:rPr>
          <w:rStyle w:val="Strong"/>
          <w:rFonts w:ascii="Times New Roman" w:hAnsi="Times New Roman"/>
          <w:b/>
          <w:bCs/>
          <w:sz w:val="24"/>
          <w:szCs w:val="24"/>
        </w:rPr>
        <w:t>DESCRIPTION OF THE RELATED ART</w:t>
      </w:r>
    </w:p>
    <w:p>
      <w:pPr>
        <w:pStyle w:val="BodyText"/>
        <w:rPr>
          <w:rFonts w:ascii="Times New Roman" w:hAnsi="Times New Roman" w:hint="eastAsia"/>
          <w:bCs/>
          <w:color w:val="1D2228"/>
        </w:rPr>
      </w:pPr>
      <w:r/>
      <w:r>
        <w:rPr/>
      </w:r>
      <w:r>
        <w:rPr>
          <w:rStyle w:val="Strong"/>
          <w:rFonts w:ascii="Times New Roman" w:hAnsi="Times New Roman"/>
        </w:rPr>
        <w:br/>
      </w:r>
      <w:r>
        <w:rPr>
          <w:rStyle w:val="Strong"/>
          <w:rFonts w:ascii="Times New Roman" w:hAnsi="Times New Roman"/>
          <w:b w:val="false"/>
          <w:color w:val="1D2228"/>
        </w:rPr>
        <w:t>Artificial-intelligence and knowledge systems of several established types are known in the art. Large Language Model (LLM) systems, and the Agents and ChatBots built upon them, generate responses by predicting sequences of tokens from statistical patterns learned during training. Graph-based artificial-intelligence systems, including knowledge graphs and graph neural networks, represent entities and relationships as nodes and edges and reason over that structure. Retrieval-Augmented Generation (RAG) systems attempt to ground language-model output by retrieving passages from an external corpus and supplying them to the model as additional context. Question-and-answer (Q&amp;A) systems return answers to natural-language questions by matching, ranking, or extracting spans of text from a document collection.</w:t>
        <w:br/>
        <w:br/>
        <w:t>Related systems are likewise known in adjacent fields. Multi-language and machine-translation systems convert text or speech from one natural language to another using statistical or neural models. Audio and visual compression and expansion systems reduce the size of media for storage or transmission and reconstruct it for playback, typically by exploiting perceptual redundancy and, in video, similarity between successive frames. Virtual-reality (VR) and three-dimensional (3D) systems construct and render immersive scenes and models for display and interaction. Colorization systems add or restore color to monochrome images and video, often by inference from learned examples. Information storage and retrieval systems index and return documents or records in response to queries, using inverted indexes, relational databases, or, more recently, vector embeddings and approximate nearest-neighbor search.</w:t>
        <w:br/>
        <w:br/>
        <w:t>Limitations of the Related Art. Notwithstanding their utility, the foregoing systems suffer from a number of recurring limitations.</w:t>
        <w:br/>
        <w:br/>
        <w:t xml:space="preserve">Language-model systems and the Agents and ChatBots derived from them are probabilistic rather than deterministic: the same input may yield different outputs, and the systems are prone to fabricating plausible but incorrect information (commonly termed "hallucination"). </w:t>
      </w:r>
      <w:r>
        <w:rPr>
          <w:rStyle w:val="Strong"/>
          <w:rFonts w:ascii="Times New Roman" w:hAnsi="Times New Roman"/>
          <w:b w:val="false"/>
          <w:color w:val="1D2228"/>
          <w:highlight w:val="yellow"/>
        </w:rPr>
        <w:t>They are also prone to forgetting and often lack common sense.</w:t>
      </w:r>
      <w:r>
        <w:rPr>
          <w:rStyle w:val="Strong"/>
          <w:rFonts w:ascii="Times New Roman" w:hAnsi="Times New Roman"/>
          <w:b w:val="false"/>
          <w:color w:val="1D2228"/>
        </w:rPr>
        <w:t xml:space="preserve"> Their internal reasoning is largely opaque, so outputs are difficult to explain, audit, or trace to a verifiable source, and they generally do not carry reliable provenance, confidence, or citation for the assertions they produce. What is needed in such language-model, Agent, and ChatBot systems is </w:t>
      </w:r>
      <w:r>
        <w:rPr>
          <w:rStyle w:val="Strong"/>
          <w:rFonts w:ascii="Times New Roman" w:hAnsi="Times New Roman"/>
          <w:b w:val="false"/>
          <w:color w:val="1D2228"/>
          <w:highlight w:val="yellow"/>
        </w:rPr>
        <w:t>(a)</w:t>
      </w:r>
      <w:r>
        <w:rPr>
          <w:rStyle w:val="Strong"/>
          <w:rFonts w:ascii="Times New Roman" w:hAnsi="Times New Roman"/>
          <w:b w:val="false"/>
          <w:color w:val="1D2228"/>
        </w:rPr>
        <w:t xml:space="preserve"> output that is deterministic and reproducible, that can be explained and audited, and that arrives accompanied by verifiable provenance, an explicit measure of confidence, and citation to the source of each assertion, together with built-in constraints that keep autonomous agents within defined and safe bounds of action, and </w:t>
      </w:r>
      <w:r>
        <w:rPr>
          <w:rStyle w:val="Strong"/>
          <w:rFonts w:ascii="Times New Roman" w:hAnsi="Times New Roman"/>
          <w:b w:val="false"/>
          <w:color w:val="1D2228"/>
          <w:highlight w:val="yellow"/>
        </w:rPr>
        <w:t>(b) A system that inherently does not forget, plus (c) a system that not only suggests intelligence but also exhibits common sense and that can answer questions based on real world understanding.</w:t>
      </w:r>
      <w:r>
        <w:rPr>
          <w:rStyle w:val="Strong"/>
          <w:rFonts w:ascii="Times New Roman" w:hAnsi="Times New Roman"/>
          <w:b w:val="false"/>
          <w:color w:val="1D2228"/>
        </w:rPr>
        <w:br/>
        <w:br/>
        <w:t>Retrieval-augmented and Q&amp;A systems mitigate, but do not eliminate, these problems: retrieval quality is limited by the indexing and embedding scheme, retrieved passages may be irrelevant, contradictory, or stale, and the generating model remains free to depart from the retrieved evidence. Such systems also lack a principled mechanism for detecting and reconciling conflicting information drawn from multiple sources. What is needed in retrieval-augmented and Q&amp;A systems is retrieval that returns verified and current information rather than merely nearby text, output that remains faithful to and traceable to that evidence, and a principled means of detecting, weighing, and reconciling information that conflicts across sources or that has changed over time.</w:t>
        <w:br/>
        <w:br/>
        <w:t>Graph-based systems provide structure and explicit relationships, but conventional knowledge graphs are typically language-bound and schema-bound, are costly to construct and maintain, and generally do not natively represent the confidence, provenance, temporal validity, or contradiction status of the knowledge they store. What is needed in graph-based systems is a representation that is independent of any single language or rigid schema, that can be extended across domains without prohibitive cost, and that carries, as a native property of the stored knowledge itself, the confidence in it, its origin, the period over which it holds true, and whether it is contradicted by other stored knowledge.</w:t>
        <w:br/>
        <w:br/>
        <w:t>Information storage and retrieval systems, whether based on inverted indexes, relational schemas, or vector embeddings, return documents or nearest neighbors rather than verified facts, duplicate substantially similar content across records rather than consolidating it, and do not by themselves establish the trustworthiness or origin of the information retrieved. What is needed in storage and retrieval systems is the ability to return verified units of knowledge rather than whole documents or approximate matches, to consolidate substantially identical content so that it is stored once rather than repeatedly, and to establish the trustworthiness and origin of what is retrieved as an inherent attribute of the stored information.</w:t>
        <w:br/>
        <w:br/>
        <w:t>The media-oriented systems face their own constraints. Audio and visual compression schemes reduce redundancy at the signal level but do not capture the meaning of the content, so repeated or semantically equivalent material is re-encoded and re-transmitted rather than referenced, and the stored result is not readily searchable by meaning. What is needed in audio and visual compression and expansion systems is a way to represent content by its meaning as well as its signal, so that material recurring across time or across sources can be referenced rather than repeatedly encoded and transmitted, and so that the stored result is searchable by meaning and not solely by low-level features.</w:t>
        <w:br/>
        <w:br/>
        <w:t>Multi-language and translation systems operate largely at the surface level of language and can lose or distort meaning, particularly across languages with differing structure or cultural context. What is needed in multi-language and translation systems is a shared, language-independent representation of meaning that can be captured once and expressed in any language, preserving structure, context, and cultural nuance rather than mapping words at the surface.</w:t>
        <w:br/>
        <w:br/>
        <w:t>VR/3D and colorization systems are similarly content- and computation-intensive and do not, by themselves, provide a structured, verifiable representation of the underlying subject matter. What is needed in VR/3D and colorization systems is a structured and verifiable representation of the underlying subject matter to which the rendered or restored output can be anchored, so that results are consistent, explainable, and reusable rather than regenerated anew for each use.</w:t>
        <w:br/>
        <w:br/>
        <w:t>Across all of these fields, the conventional approaches share common shortcomings: outputs that are difficult to verify, explain, or attribute to a source; substantial duplication of stored and transmitted data; heavy demands on processing, memory, energy, and physical infrastructure; and the absence of a unified, language-independent representation of knowledge that carries its own provenance, confidence, and trust. A need therefore exists, across all of these fields, for systems that provide verifiable, explainable, and attributable output; that consolidate rather than duplicate stored and transmitted data, thereby reducing the processing, memory, energy, and physical infrastructure required; and that rest upon a unified, language-independent representation of knowledge carrying its own provenance, confidence, and trust.</w:t>
      </w:r>
      <w:r>
        <w:rPr>
          <w:rStyle w:val="Strong"/>
          <w:rFonts w:ascii="Times New Roman" w:hAnsi="Times New Roman"/>
        </w:rPr>
        <w:t xml:space="preserve"> </w:t>
      </w:r>
    </w:p>
    <w:p>
      <w:pPr>
        <w:pStyle w:val="BodyText"/>
        <w:rPr>
          <w:rFonts w:ascii="Times New Roman" w:hAnsi="Times New Roman" w:hint="eastAsia"/>
          <w:bCs/>
          <w:color w:val="1D2228"/>
          <w:highlight w:val="yellow"/>
        </w:rPr>
      </w:pPr>
      <w:r>
        <w:rPr>
          <w:rStyle w:val="Strong"/>
          <w:rFonts w:ascii="Times New Roman" w:hAnsi="Times New Roman"/>
          <w:b w:val="false"/>
          <w:color w:val="1D2228"/>
          <w:highlight w:val="yellow"/>
        </w:rPr>
        <w:t>Related art concerning autonomous agents and their supporting infrastructure include: (a) Agent frameworks and tool protocols, including the Model Context Protocol, allow a language-model agent to call external tools, read files, and act on a user’s behalf. (b) Document-ingestion pipelines extract text from files of many formats for indexing or for supply to a model. (c) Blockchain notarization services record the hash of a document on a public ledger, and non-fungible tokens record ownership of a digital item. (d) Deception technologies — honeypots, honeytokens, and canary credentials — are used to detect intruders, and append-only logs and Merkle-tree structures are used to make records tamper-evident. Streaming systems deliver media over TCP/IP in formats such as HLS, MPEG-DASH, and RTMP.</w:t>
      </w:r>
    </w:p>
    <w:p>
      <w:pPr>
        <w:pStyle w:val="BodyText"/>
        <w:rPr>
          <w:rFonts w:hint="eastAsia"/>
        </w:rPr>
      </w:pPr>
      <w:r>
        <w:rPr>
          <w:rStyle w:val="Strong"/>
          <w:rFonts w:ascii="Times New Roman" w:hAnsi="Times New Roman"/>
          <w:b w:val="false"/>
          <w:color w:val="1D2228"/>
          <w:highlight w:val="yellow"/>
        </w:rPr>
        <w:t>These systems leave recurring gaps when applied to knowledge systems used by AI agents. An agent that reads a file can be redirected by instructions hidden in that file (prompt injection); an agent connected through a tool protocol commonly receives whatever capability the tool exposes; an intruder who obtains an agent’s identity can impersonate it; and security logs held on the attacked host can be altered after the fact. A notarized hash attests that a document existed but not its lineage, revocation, or licence status, and conventional media transport carries no provenance for the content it delivers. What is needed is ingestion that treats every file as data and never as instruction; certification of knowledge that any third party can verify, with lineage and revocation; protection that detects, contains, and records hostile agent behaviour without exposing production data; security records whose alteration is detectable against copies the host cannot change; agent connections that confer no capability beyond a declared allow-list; and transport that carries provenance with both records and media.</w:t>
      </w:r>
    </w:p>
    <w:p>
      <w:pPr>
        <w:pStyle w:val="Heading2"/>
        <w:numPr>
          <w:ilvl w:val="1"/>
          <w:numId w:val="1"/>
        </w:numPr>
        <w:spacing w:before="0" w:after="120"/>
        <w:rPr>
          <w:rFonts w:hint="eastAsia"/>
          <w:sz w:val="24"/>
          <w:szCs w:val="24"/>
        </w:rPr>
      </w:pPr>
      <w:bookmarkStart w:id="4" w:name="__RefHeading___Toc46814_805184229"/>
      <w:bookmarkEnd w:id="4"/>
      <w:r>
        <w:rPr>
          <w:rStyle w:val="Strong"/>
          <w:rFonts w:ascii="Times New Roman" w:hAnsi="Times New Roman"/>
          <w:b/>
          <w:bCs/>
          <w:sz w:val="24"/>
          <w:szCs w:val="24"/>
        </w:rPr>
        <w:t>SUMMARY OF THE INVENTION</w:t>
      </w:r>
    </w:p>
    <w:p>
      <w:pPr>
        <w:pStyle w:val="Normal"/>
        <w:rPr>
          <w:rFonts w:hint="eastAsia"/>
        </w:rPr>
      </w:pPr>
      <w:r>
        <w:rPr>
          <w:rFonts w:ascii="Times New Roman" w:hAnsi="Times New Roman"/>
          <w:b/>
          <w:color w:val="1A2235"/>
        </w:rPr>
        <w:t>A.  QueryBook Summary</w:t>
      </w:r>
    </w:p>
    <w:p>
      <w:pPr>
        <w:pStyle w:val="Normal"/>
        <w:jc w:val="both"/>
        <w:rPr>
          <w:rFonts w:hint="eastAsia"/>
        </w:rPr>
      </w:pPr>
      <w:r>
        <w:rPr>
          <w:rFonts w:ascii="Times New Roman" w:hAnsi="Times New Roman"/>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B. What QueryBook Does That No Other System Does</w:t>
      </w:r>
    </w:p>
    <w:p>
      <w:pPr>
        <w:pStyle w:val="Normal"/>
        <w:rPr>
          <w:rFonts w:hint="eastAsia"/>
        </w:rPr>
      </w:pPr>
      <w:r>
        <w:rPr>
          <w:rFonts w:ascii="Times New Roman" w:hAnsi="Times New Roman"/>
          <w:b/>
          <w:i/>
        </w:rPr>
        <w:t>Bayesian confidence at the knowledge-atom level.</w:t>
      </w:r>
    </w:p>
    <w:p>
      <w:pPr>
        <w:pStyle w:val="Normal"/>
        <w:jc w:val="both"/>
        <w:rPr>
          <w:rFonts w:hint="eastAsia"/>
        </w:rPr>
      </w:pPr>
      <w:r>
        <w:rPr>
          <w:rFonts w:ascii="Times New Roman" w:hAnsi="Times New Roman"/>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rPr>
          <w:rFonts w:hint="eastAsia"/>
        </w:rPr>
      </w:pPr>
      <w:r>
        <w:rPr>
          <w:rFonts w:ascii="Times New Roman" w:hAnsi="Times New Roman"/>
          <w:b/>
          <w:i/>
        </w:rPr>
        <w:t xml:space="preserve">  </w:t>
      </w:r>
      <w:r>
        <w:rPr>
          <w:rFonts w:ascii="Times New Roman" w:hAnsi="Times New Roman"/>
          <w:b/>
          <w:i/>
        </w:rPr>
        <w:t>Neuromorphic retrieval with formal capacity bounds.</w:t>
      </w:r>
    </w:p>
    <w:p>
      <w:pPr>
        <w:pStyle w:val="Normal"/>
        <w:jc w:val="both"/>
        <w:rPr>
          <w:rFonts w:hint="eastAsia"/>
        </w:rPr>
      </w:pPr>
      <w:r>
        <w:rPr>
          <w:rFonts w:ascii="Times New Roman" w:hAnsi="Times New Roman"/>
        </w:rPr>
        <w:t>Retrieval uses a Hopfield-style Attractor Network with a capacity governor that prevents catastrophic interference. The system formally proves it operates below the retrieval-phase boundary α_c ≈ 0.138 at all time.</w:t>
      </w:r>
    </w:p>
    <w:p>
      <w:pPr>
        <w:pStyle w:val="Normal"/>
        <w:rPr>
          <w:rFonts w:hint="eastAsia"/>
        </w:rPr>
      </w:pPr>
      <w:r>
        <w:rPr>
          <w:rFonts w:ascii="Times New Roman" w:hAnsi="Times New Roman"/>
          <w:b/>
          <w:i/>
        </w:rPr>
        <w:t xml:space="preserve">  </w:t>
      </w:r>
      <w:r>
        <w:rPr>
          <w:rFonts w:ascii="Times New Roman" w:hAnsi="Times New Roman"/>
          <w:b/>
          <w:i/>
        </w:rPr>
        <w:t>Governed agent framework with structural authority limits.</w:t>
      </w:r>
    </w:p>
    <w:p>
      <w:pPr>
        <w:pStyle w:val="Normal"/>
        <w:jc w:val="both"/>
        <w:rPr>
          <w:rFonts w:hint="eastAsia"/>
        </w:rPr>
      </w:pPr>
      <w:r>
        <w:rPr>
          <w:rFonts w:ascii="Times New Roman" w:hAnsi="Times New Roman"/>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rPr>
          <w:rFonts w:hint="eastAsia"/>
        </w:rPr>
      </w:pPr>
      <w:r>
        <w:rPr>
          <w:rFonts w:ascii="Times New Roman" w:hAnsi="Times New Roman"/>
          <w:b/>
          <w:i/>
        </w:rPr>
        <w:t xml:space="preserve">   </w:t>
      </w:r>
      <w:r>
        <w:rPr>
          <w:rFonts w:ascii="Times New Roman" w:hAnsi="Times New Roman"/>
          <w:b/>
          <w:i/>
        </w:rPr>
        <w:t>Human Approval Governance with Default-on-Deny.</w:t>
      </w:r>
    </w:p>
    <w:p>
      <w:pPr>
        <w:pStyle w:val="Normal"/>
        <w:jc w:val="both"/>
        <w:rPr>
          <w:rFonts w:hint="eastAsia"/>
        </w:rPr>
      </w:pPr>
      <w:r>
        <w:rPr>
          <w:rFonts w:ascii="Times New Roman" w:hAnsi="Times New Roman"/>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rPr>
          <w:rFonts w:hint="eastAsia"/>
        </w:rPr>
      </w:pPr>
      <w:r>
        <w:rPr>
          <w:rFonts w:ascii="Times New Roman" w:hAnsi="Times New Roman"/>
          <w:b/>
          <w:i/>
        </w:rPr>
        <w:t xml:space="preserve">   </w:t>
      </w:r>
      <w:r>
        <w:rPr>
          <w:rFonts w:ascii="Times New Roman" w:hAnsi="Times New Roman"/>
          <w:b/>
          <w:i/>
        </w:rPr>
        <w:t>Procedural skill knowledge from sensory input.</w:t>
      </w:r>
    </w:p>
    <w:p>
      <w:pPr>
        <w:pStyle w:val="Normal"/>
        <w:jc w:val="both"/>
        <w:rPr>
          <w:rFonts w:ascii="Times New Roman" w:hAnsi="Times New Roman"/>
        </w:rPr>
      </w:pPr>
      <w:r>
        <w:rPr>
          <w:rFonts w:ascii="Times New Roman" w:hAnsi="Times New Roman"/>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jc w:val="both"/>
        <w:rPr>
          <w:rFonts w:ascii="Times New Roman" w:hAnsi="Times New Roman"/>
        </w:rPr>
      </w:pPr>
      <w:r>
        <w:rPr>
          <w:rFonts w:ascii="Times New Roman" w:hAnsi="Times New Roman"/>
        </w:rPr>
      </w:r>
    </w:p>
    <w:p>
      <w:pPr>
        <w:pStyle w:val="Normal"/>
        <w:jc w:val="both"/>
        <w:rPr>
          <w:rFonts w:hint="eastAsia"/>
        </w:rPr>
      </w:pPr>
      <w:r>
        <w:rPr>
          <w:rFonts w:hint="eastAsia"/>
        </w:rPr>
      </w:r>
    </w:p>
    <w:p>
      <w:pPr>
        <w:pStyle w:val="Normal"/>
        <w:rPr>
          <w:rFonts w:hint="eastAsia"/>
        </w:rPr>
      </w:pPr>
      <w:r>
        <w:rPr>
          <w:rFonts w:ascii="Times New Roman" w:hAnsi="Times New Roman"/>
          <w:b/>
          <w:i/>
        </w:rPr>
        <w:t>QueryBook’s Novel Mechanisms</w:t>
      </w:r>
    </w:p>
    <w:p>
      <w:pPr>
        <w:pStyle w:val="Normal"/>
        <w:jc w:val="both"/>
        <w:rPr>
          <w:rFonts w:hint="eastAsia"/>
        </w:rPr>
      </w:pPr>
      <w:r>
        <w:rPr>
          <w:rFonts w:ascii="Times New Roman" w:hAnsi="Times New Roman"/>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C.  Architecture, Module Optimization, and Deployment Modes</w:t>
      </w:r>
    </w:p>
    <w:p>
      <w:pPr>
        <w:pStyle w:val="Normal"/>
        <w:jc w:val="both"/>
        <w:rPr>
          <w:rFonts w:hint="eastAsia"/>
        </w:rPr>
      </w:pPr>
      <w:r>
        <w:rPr>
          <w:rFonts w:ascii="Times New Roman" w:hAnsi="Times New Roman"/>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D.  Additional Capabilities</w:t>
      </w:r>
    </w:p>
    <w:p>
      <w:pPr>
        <w:pStyle w:val="Normal"/>
        <w:jc w:val="both"/>
        <w:rPr>
          <w:rFonts w:hint="eastAsia"/>
        </w:rPr>
      </w:pPr>
      <w:r>
        <w:rPr>
          <w:rFonts w:ascii="Times New Roman" w:hAnsi="Times New Roman"/>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E.  QueryBook Applications and Advantages</w:t>
      </w:r>
    </w:p>
    <w:p>
      <w:pPr>
        <w:pStyle w:val="Normal"/>
        <w:rPr>
          <w:rFonts w:hint="eastAsia"/>
        </w:rPr>
      </w:pPr>
      <w:r>
        <w:rPr>
          <w:rFonts w:ascii="Times New Roman" w:hAnsi="Times New Roman"/>
          <w:b/>
          <w:i/>
        </w:rPr>
        <w:t>1.  Breadth of Application</w:t>
      </w:r>
    </w:p>
    <w:p>
      <w:pPr>
        <w:pStyle w:val="Normal"/>
        <w:jc w:val="both"/>
        <w:rPr>
          <w:rFonts w:hint="eastAsia"/>
        </w:rPr>
      </w:pPr>
      <w:r>
        <w:rPr>
          <w:rFonts w:ascii="Times New Roman" w:hAnsi="Times New Roman"/>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i/>
        </w:rPr>
        <w:t>2.  Application Categories</w:t>
      </w:r>
    </w:p>
    <w:p>
      <w:pPr>
        <w:pStyle w:val="Normal"/>
        <w:rPr>
          <w:rFonts w:hint="eastAsia"/>
        </w:rPr>
      </w:pPr>
      <w:r>
        <w:rPr>
          <w:rFonts w:ascii="Times New Roman" w:hAnsi="Times New Roman"/>
        </w:rPr>
        <w:t xml:space="preserve">     </w:t>
      </w:r>
      <w:r>
        <w:rPr>
          <w:rFonts w:ascii="Times New Roman" w:hAnsi="Times New Roman"/>
          <w:b/>
        </w:rPr>
        <w:t>eBook Q&amp;A:  </w:t>
      </w:r>
      <w:r>
        <w:rPr>
          <w:rFonts w:ascii="Times New Roman" w:hAnsi="Times New Roman"/>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rPr>
          <w:rFonts w:hint="eastAsia"/>
        </w:rPr>
      </w:pPr>
      <w:r>
        <w:rPr>
          <w:rFonts w:ascii="Times New Roman" w:hAnsi="Times New Roman"/>
        </w:rPr>
        <w:t>·   </w:t>
      </w:r>
      <w:r>
        <w:rPr>
          <w:rFonts w:ascii="Times New Roman" w:hAnsi="Times New Roman"/>
          <w:b/>
        </w:rPr>
        <w:t>Document Q&amp;A:  </w:t>
      </w:r>
      <w:r>
        <w:rPr>
          <w:rFonts w:ascii="Times New Roman" w:hAnsi="Times New Roman"/>
        </w:rPr>
        <w:t>Single-document question-and-answer over contracts, reports, filings, or technical specifications, with every answer traceable to a specific Fact Unit and its source passage.</w:t>
      </w:r>
    </w:p>
    <w:p>
      <w:pPr>
        <w:pStyle w:val="Normal"/>
        <w:rPr>
          <w:rFonts w:hint="eastAsia"/>
        </w:rPr>
      </w:pPr>
      <w:r>
        <w:rPr>
          <w:rFonts w:ascii="Times New Roman" w:hAnsi="Times New Roman"/>
        </w:rPr>
        <w:t xml:space="preserve">    </w:t>
      </w:r>
      <w:r>
        <w:rPr>
          <w:rFonts w:ascii="Times New Roman" w:hAnsi="Times New Roman"/>
          <w:b/>
        </w:rPr>
        <w:t>Advanced Chatbots and Digital User Manuals:  </w:t>
      </w:r>
      <w:r>
        <w:rPr>
          <w:rFonts w:ascii="Times New Roman" w:hAnsi="Times New Roman"/>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rPr>
          <w:rFonts w:hint="eastAsia"/>
        </w:rPr>
      </w:pPr>
      <w:r>
        <w:rPr>
          <w:rFonts w:ascii="Times New Roman" w:hAnsi="Times New Roman"/>
        </w:rPr>
        <w:t>·    </w:t>
      </w:r>
      <w:r>
        <w:rPr>
          <w:rFonts w:ascii="Times New Roman" w:hAnsi="Times New Roman"/>
          <w:b/>
        </w:rPr>
        <w:t>Multi-Document Q&amp;A and Interpretation:  </w:t>
      </w:r>
      <w:r>
        <w:rPr>
          <w:rFonts w:ascii="Times New Roman" w:hAnsi="Times New Roman"/>
        </w:rPr>
        <w:t>Cross-corpus reasoning over large document sets — regulatory libraries, case law collections, research archives — with contradiction detection, confidence comparison, and provenance across sources.</w:t>
      </w:r>
    </w:p>
    <w:p>
      <w:pPr>
        <w:pStyle w:val="Normal"/>
        <w:rPr>
          <w:rFonts w:hint="eastAsia"/>
        </w:rPr>
      </w:pPr>
      <w:r>
        <w:rPr>
          <w:rFonts w:ascii="Times New Roman" w:hAnsi="Times New Roman"/>
        </w:rPr>
        <w:t>·   </w:t>
      </w:r>
      <w:r>
        <w:rPr>
          <w:rFonts w:ascii="Times New Roman" w:hAnsi="Times New Roman"/>
          <w:b/>
        </w:rPr>
        <w:t>Search:  </w:t>
      </w:r>
      <w:r>
        <w:rPr>
          <w:rFonts w:ascii="Times New Roman" w:hAnsi="Times New Roman"/>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rPr>
          <w:rFonts w:hint="eastAsia"/>
        </w:rPr>
      </w:pPr>
      <w:r>
        <w:rPr>
          <w:rFonts w:ascii="Times New Roman" w:hAnsi="Times New Roman"/>
        </w:rPr>
        <w:t>·  </w:t>
      </w:r>
      <w:r>
        <w:rPr>
          <w:rFonts w:ascii="Times New Roman" w:hAnsi="Times New Roman"/>
          <w:b/>
        </w:rPr>
        <w:t>Specialized Private AI Systems:  </w:t>
      </w:r>
      <w:r>
        <w:rPr>
          <w:rFonts w:ascii="Times New Roman" w:hAnsi="Times New Roman"/>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rPr>
          <w:rFonts w:hint="eastAsia"/>
        </w:rPr>
      </w:pPr>
      <w:r>
        <w:rPr>
          <w:rFonts w:ascii="Times New Roman" w:hAnsi="Times New Roman"/>
        </w:rPr>
        <w:t>·   </w:t>
      </w:r>
      <w:r>
        <w:rPr>
          <w:rFonts w:ascii="Times New Roman" w:hAnsi="Times New Roman"/>
          <w:b/>
        </w:rPr>
        <w:t>Data Analysis with Live Inputs:  </w:t>
      </w:r>
      <w:r>
        <w:rPr>
          <w:rFonts w:ascii="Times New Roman" w:hAnsi="Times New Roman"/>
        </w:rPr>
        <w:t>Real-time ingestion of business, economic, and scientific data streams into the Fact Unit store, enabling live-updated analysis, trend detection, and confidence-weighted forecasting without retraining.</w:t>
      </w:r>
    </w:p>
    <w:p>
      <w:pPr>
        <w:pStyle w:val="Normal"/>
        <w:rPr>
          <w:rFonts w:hint="eastAsia"/>
        </w:rPr>
      </w:pPr>
      <w:r>
        <w:rPr>
          <w:rFonts w:ascii="Times New Roman" w:hAnsi="Times New Roman"/>
        </w:rPr>
        <w:t>·   </w:t>
      </w:r>
      <w:r>
        <w:rPr>
          <w:rFonts w:ascii="Times New Roman" w:hAnsi="Times New Roman"/>
          <w:b/>
        </w:rPr>
        <w:t>Robotics:  </w:t>
      </w:r>
      <w:r>
        <w:rPr>
          <w:rFonts w:ascii="Times New Roman" w:hAnsi="Times New Roman"/>
        </w:rPr>
        <w:t>On-device semantic reasoning for robotic systems requiring deterministic, low-latency knowledge access — grounded perception, spatial reasoning, and action planning from a local Fact Unit store with world model concept and model input.</w:t>
      </w:r>
    </w:p>
    <w:p>
      <w:pPr>
        <w:pStyle w:val="Normal"/>
        <w:rPr>
          <w:rFonts w:hint="eastAsia"/>
        </w:rPr>
      </w:pPr>
      <w:r>
        <w:rPr>
          <w:rFonts w:ascii="Times New Roman" w:hAnsi="Times New Roman"/>
        </w:rPr>
        <w:t>·   </w:t>
      </w:r>
      <w:r>
        <w:rPr>
          <w:rFonts w:ascii="Times New Roman" w:hAnsi="Times New Roman"/>
          <w:b/>
        </w:rPr>
        <w:t>QueryBook-Controlled, Rogue-Limited Agent Capability:  </w:t>
      </w:r>
      <w:r>
        <w:rPr>
          <w:rFonts w:ascii="Times New Roman" w:hAnsi="Times New Roman"/>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rPr>
          <w:rFonts w:hint="eastAsia"/>
        </w:rPr>
      </w:pPr>
      <w:r>
        <w:rPr>
          <w:rFonts w:ascii="Times New Roman" w:hAnsi="Times New Roman"/>
        </w:rPr>
        <w:t>·  </w:t>
      </w:r>
      <w:r>
        <w:rPr>
          <w:rFonts w:ascii="Times New Roman" w:hAnsi="Times New Roman"/>
          <w:b/>
        </w:rPr>
        <w:t>LLM Integration:  </w:t>
      </w:r>
      <w:r>
        <w:rPr>
          <w:rFonts w:ascii="Times New Roman" w:hAnsi="Times New Roman"/>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rPr>
          <w:rFonts w:hint="eastAsia"/>
        </w:rPr>
      </w:pPr>
      <w:r>
        <w:rPr>
          <w:rFonts w:ascii="Times New Roman" w:hAnsi="Times New Roman"/>
        </w:rPr>
        <w:t>·   </w:t>
      </w:r>
      <w:r>
        <w:rPr>
          <w:rFonts w:ascii="Times New Roman" w:hAnsi="Times New Roman"/>
          <w:b/>
        </w:rPr>
        <w:t>LLM Capability in Scientific, Medical, Legal, and Research Fields:  </w:t>
      </w:r>
      <w:r>
        <w:rPr>
          <w:rFonts w:ascii="Times New Roman" w:hAnsi="Times New Roman"/>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rPr>
          <w:rFonts w:hint="eastAsia"/>
        </w:rPr>
      </w:pPr>
      <w:r>
        <w:rPr>
          <w:rFonts w:ascii="Times New Roman" w:hAnsi="Times New Roman"/>
        </w:rPr>
        <w:t>·   </w:t>
      </w:r>
      <w:r>
        <w:rPr>
          <w:rFonts w:ascii="Times New Roman" w:hAnsi="Times New Roman"/>
          <w:b/>
        </w:rPr>
        <w:t>Cybersecurity and Defense, Including for Other AI Systems:  </w:t>
      </w:r>
      <w:r>
        <w:rPr>
          <w:rFonts w:ascii="Times New Roman" w:hAnsi="Times New Roman"/>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F.  Infrastructure and Deployment Advantages</w:t>
      </w:r>
    </w:p>
    <w:p>
      <w:pPr>
        <w:pStyle w:val="Normal"/>
        <w:jc w:val="both"/>
        <w:rPr>
          <w:rFonts w:hint="eastAsia"/>
        </w:rPr>
      </w:pPr>
      <w:r>
        <w:rPr>
          <w:rFonts w:ascii="Times New Roman" w:hAnsi="Times New Roman"/>
        </w:rPr>
        <w:t>QueryBook’s semantic storage model and deterministic reasoning architecture deliver material infrastructure advantages at scale — advantages that compound as deployment size grpws.</w:t>
      </w:r>
    </w:p>
    <w:p>
      <w:pPr>
        <w:pStyle w:val="Normal"/>
        <w:jc w:val="both"/>
        <w:rPr>
          <w:rFonts w:hint="eastAsia"/>
        </w:rPr>
      </w:pPr>
      <w:r>
        <w:rPr>
          <w:rFonts w:ascii="Times New Roman" w:hAnsi="Times New Roman"/>
          <w:b/>
        </w:rPr>
        <w:t xml:space="preserve">      </w:t>
      </w:r>
      <w:r>
        <w:rPr>
          <w:rFonts w:ascii="Times New Roman" w:hAnsi="Times New Roman"/>
          <w:b/>
        </w:rPr>
        <w:t>Reduced Storage:  </w:t>
      </w:r>
      <w:r>
        <w:rPr>
          <w:rFonts w:ascii="Times New Roman" w:hAnsi="Times New Roman"/>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rPr>
          <w:rFonts w:hint="eastAsia"/>
        </w:rPr>
      </w:pPr>
      <w:r>
        <w:rPr>
          <w:rFonts w:ascii="Times New Roman" w:hAnsi="Times New Roman"/>
        </w:rPr>
        <w:t>·   </w:t>
      </w:r>
      <w:r>
        <w:rPr>
          <w:rFonts w:ascii="Times New Roman" w:hAnsi="Times New Roman"/>
          <w:b/>
        </w:rPr>
        <w:t>Lower-Cost Hardware:  </w:t>
      </w:r>
      <w:r>
        <w:rPr>
          <w:rFonts w:ascii="Times New Roman" w:hAnsi="Times New Roman"/>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rPr>
          <w:rFonts w:hint="eastAsia"/>
        </w:rPr>
      </w:pPr>
      <w:r>
        <w:rPr>
          <w:rFonts w:ascii="Times New Roman" w:hAnsi="Times New Roman"/>
        </w:rPr>
        <w:t>·   </w:t>
      </w:r>
      <w:r>
        <w:rPr>
          <w:rFonts w:ascii="Times New Roman" w:hAnsi="Times New Roman"/>
          <w:b/>
        </w:rPr>
        <w:t>Reduced Power Consumption:  </w:t>
      </w:r>
      <w:r>
        <w:rPr>
          <w:rFonts w:ascii="Times New Roman" w:hAnsi="Times New Roman"/>
        </w:rPr>
        <w:t>Replacing continuous LLM inference with structured Fact Unit retrieval and constrained generation cuts per-query power draw significantly. At data-center scale this translates to material reductions in energy cost and carbon footprint.</w:t>
      </w:r>
    </w:p>
    <w:p>
      <w:pPr>
        <w:pStyle w:val="Normal"/>
        <w:rPr>
          <w:rFonts w:hint="eastAsia"/>
        </w:rPr>
      </w:pPr>
      <w:r>
        <w:rPr>
          <w:rFonts w:ascii="Times New Roman" w:hAnsi="Times New Roman"/>
        </w:rPr>
        <w:t>·   </w:t>
      </w:r>
      <w:r>
        <w:rPr>
          <w:rFonts w:ascii="Times New Roman" w:hAnsi="Times New Roman"/>
          <w:b/>
        </w:rPr>
        <w:t>Reduced Cooling Requirements:  </w:t>
      </w:r>
      <w:r>
        <w:rPr>
          <w:rFonts w:ascii="Times New Roman" w:hAnsi="Times New Roman"/>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rPr>
          <w:rFonts w:hint="eastAsia"/>
        </w:rPr>
      </w:pPr>
      <w:r>
        <w:rPr>
          <w:rFonts w:ascii="Times New Roman" w:hAnsi="Times New Roman"/>
        </w:rPr>
        <w:t>·  </w:t>
      </w:r>
      <w:r>
        <w:rPr>
          <w:rFonts w:ascii="Times New Roman" w:hAnsi="Times New Roman"/>
          <w:b/>
        </w:rPr>
        <w:t>Smaller Deployment Footprint:  </w:t>
      </w:r>
      <w:r>
        <w:rPr>
          <w:rFonts w:ascii="Times New Roman" w:hAnsi="Times New Roman"/>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G.  Fact Unit Based Additional Applications</w:t>
      </w:r>
    </w:p>
    <w:p>
      <w:pPr>
        <w:pStyle w:val="Normal"/>
        <w:jc w:val="both"/>
        <w:rPr>
          <w:rFonts w:hint="eastAsia"/>
        </w:rPr>
      </w:pPr>
      <w:r>
        <w:rPr>
          <w:rFonts w:ascii="Times New Roman" w:hAnsi="Times New Roman"/>
        </w:rPr>
        <w:t>The Fact Unit primitive, carried on the UFCS substrate and reached through FQL, enables a class of applications not available to any system storing knowledge at the language or pixel level:</w:t>
      </w:r>
    </w:p>
    <w:p>
      <w:pPr>
        <w:pStyle w:val="Normal"/>
        <w:rPr>
          <w:rFonts w:hint="eastAsia"/>
        </w:rPr>
      </w:pPr>
      <w:r>
        <w:rPr>
          <w:rFonts w:ascii="Times New Roman" w:hAnsi="Times New Roman"/>
        </w:rPr>
        <w:t xml:space="preserve">   </w:t>
      </w:r>
      <w:r>
        <w:rPr>
          <w:rFonts w:ascii="Times New Roman" w:hAnsi="Times New Roman"/>
        </w:rPr>
        <w:t>a. Deterministic multi-language regeneration without per-language reingestion.</w:t>
      </w:r>
    </w:p>
    <w:p>
      <w:pPr>
        <w:pStyle w:val="Normal"/>
        <w:rPr>
          <w:rFonts w:hint="eastAsia"/>
        </w:rPr>
      </w:pPr>
      <w:r>
        <w:rPr>
          <w:rFonts w:ascii="Times New Roman" w:hAnsi="Times New Roman"/>
        </w:rPr>
        <w:t xml:space="preserve">  </w:t>
      </w:r>
      <w:r>
        <w:rPr>
          <w:rFonts w:ascii="Times New Roman" w:hAnsi="Times New Roman"/>
        </w:rPr>
        <w:t>b. Semantic compression and expansion of audio, video, and volumetric media with projected significant percent size reduction relative to conventional codec output.</w:t>
      </w:r>
    </w:p>
    <w:p>
      <w:pPr>
        <w:pStyle w:val="Normal"/>
        <w:rPr>
          <w:rFonts w:hint="eastAsia"/>
        </w:rPr>
      </w:pPr>
      <w:r>
        <w:rPr>
          <w:rFonts w:ascii="Times New Roman" w:hAnsi="Times New Roman"/>
        </w:rPr>
        <w:t xml:space="preserve"> </w:t>
      </w:r>
      <w:r>
        <w:rPr>
          <w:rFonts w:ascii="Times New Roman" w:hAnsi="Times New Roman"/>
        </w:rPr>
        <w:t>c. Deterministic video colorization from Fact Unit material property records.</w:t>
      </w:r>
    </w:p>
    <w:p>
      <w:pPr>
        <w:pStyle w:val="Normal"/>
        <w:rPr>
          <w:rFonts w:hint="eastAsia"/>
        </w:rPr>
      </w:pPr>
      <w:r>
        <w:rPr>
          <w:rFonts w:ascii="Times New Roman" w:hAnsi="Times New Roman"/>
        </w:rPr>
        <w:t xml:space="preserve"> </w:t>
      </w:r>
      <w:r>
        <w:rPr>
          <w:rFonts w:ascii="Times New Roman" w:hAnsi="Times New Roman"/>
        </w:rPr>
        <w:t>d. Three-dimensional and VR presentation grounded in the same Fact Graph that answers text questions.</w:t>
      </w:r>
    </w:p>
    <w:p>
      <w:pPr>
        <w:pStyle w:val="Normal"/>
        <w:rPr>
          <w:rFonts w:hint="eastAsia"/>
        </w:rPr>
      </w:pPr>
      <w:r>
        <w:rPr>
          <w:rFonts w:ascii="Times New Roman" w:hAnsi="Times New Roman"/>
        </w:rPr>
        <w:t xml:space="preserve"> </w:t>
      </w:r>
      <w:r>
        <w:rPr>
          <w:rFonts w:ascii="Times New Roman" w:hAnsi="Times New Roman"/>
        </w:rPr>
        <w:t>e. A QueryBook-enhanced TCP/IP hybrid protocol carrying Fact Unit identifiers and provenance references alongside network payload data.</w:t>
      </w:r>
    </w:p>
    <w:p>
      <w:pPr>
        <w:pStyle w:val="Normal"/>
        <w:rPr>
          <w:rFonts w:hint="eastAsia"/>
        </w:rPr>
      </w:pPr>
      <w:r>
        <w:rPr>
          <w:rFonts w:ascii="Times New Roman" w:hAnsi="Times New Roman"/>
          <w:b/>
          <w:color w:val="1A2235"/>
          <w:highlight w:val="yellow"/>
        </w:rPr>
        <w:t>H. Addition</w:t>
      </w:r>
      <w:r>
        <w:rPr>
          <w:rFonts w:ascii="Times New Roman" w:hAnsi="Times New Roman"/>
          <w:b/>
          <w:color w:val="1A2235"/>
        </w:rPr>
        <w:t>al Functions</w:t>
      </w:r>
    </w:p>
    <w:p>
      <w:pPr>
        <w:pStyle w:val="Normal"/>
        <w:jc w:val="both"/>
        <w:rPr>
          <w:rFonts w:hint="eastAsia"/>
        </w:rPr>
      </w:pPr>
      <w:r>
        <w:rPr>
          <w:rFonts w:ascii="Times New Roman" w:hAnsi="Times New Roman"/>
          <w:highlight w:val="yellow"/>
        </w:rPr>
        <w:t>These developments extend QueryBook for operation with and among AI agents, each operating under the Prime Directive and expressed over the same Fact Unit, UFCS, and FQL foundation layer:</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a. Open Claw ingestion of artifacts of any format — documents, spreadsheets, presentations, page-description files, archives, messages, images, audio, and video — identified by content, divided into located segments, and converted into Fact Units, every artifact being treated as data and never as instruction (FIG. </w:t>
      </w:r>
      <w:r>
        <w:rPr>
          <w:rFonts w:ascii="Times New Roman" w:hAnsi="Times New Roman"/>
          <w:highlight w:val="yellow"/>
        </w:rPr>
        <w:t xml:space="preserve">50</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b. On-chain certification, in which a sealed Fact Unit, book, or response may optionally be certified as a non-fungible token on a public blockchain carrying its content hash, lineage, and revocation state, verifiable by any party without access to QueryBook (FIG. </w:t>
      </w:r>
      <w:r>
        <w:rPr>
          <w:rFonts w:ascii="Times New Roman" w:hAnsi="Times New Roman"/>
          <w:highlight w:val="yellow"/>
        </w:rPr>
        <w:t xml:space="preserve">51</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c. An agent protection and deception layer in which every agent call passes an Agent Gateway and is screened by honeycode, honeytokens, tripwires, honeypot agents, an AI-aware firewall, and anomaly detection, a hostile caller being isolated into a synthetic decoy environment with no path to production data (FIG. </w:t>
      </w:r>
      <w:r>
        <w:rPr>
          <w:rFonts w:ascii="Times New Roman" w:hAnsi="Times New Roman"/>
          <w:highlight w:val="yellow"/>
        </w:rPr>
        <w:t xml:space="preserve">52</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d. A tamper-evident security record of hash-chained entries sealed by write-once, signed Merkle checkpoints, mirrored and optionally anchored on a public blockchain, and verified by recomputation from content (FIG. </w:t>
      </w:r>
      <w:r>
        <w:rPr>
          <w:rFonts w:ascii="Times New Roman" w:hAnsi="Times New Roman"/>
          <w:highlight w:val="yellow"/>
        </w:rPr>
        <w:t xml:space="preserve">53</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e. Agent interoperability through a Model Context Protocol tool server and an OpenClaw skill, every external agent call passing the Agent Gateway under that agent’s allow-list (FIG. </w:t>
      </w:r>
      <w:r>
        <w:rPr>
          <w:rFonts w:ascii="Times New Roman" w:hAnsi="Times New Roman"/>
          <w:highlight w:val="yellow"/>
        </w:rPr>
        <w:t xml:space="preserve">54</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f. A framed hybrid transport extending the QueryBook-enhanced TCP/IP protocol, carrying Fact Units and media in checksummed, optionally signed frames on separate priority lanes and rebuilding media into standard HLS, MPEG-DASH, or RTMP streams (FIG. </w:t>
      </w:r>
      <w:r>
        <w:rPr>
          <w:rFonts w:ascii="Times New Roman" w:hAnsi="Times New Roman"/>
          <w:highlight w:val="yellow"/>
        </w:rPr>
        <w:t xml:space="preserve">55</w:t>
      </w:r>
      <w:r>
        <w:rPr>
          <w:rFonts w:ascii="Times New Roman" w:hAnsi="Times New Roman"/>
          <w:highlight w:val="yellow"/>
        </w:rPr>
        <w:t xml:space="preserve">).</w:t>
      </w:r>
    </w:p>
    <w:p>
      <w:pPr>
        <w:pStyle w:val="Normal"/>
        <w:rPr>
          <w:rFonts w:hint="eastAsia"/>
        </w:rPr>
      </w:pPr>
      <w:r>
        <w:rPr>
          <w:rFonts w:ascii="Times New Roman" w:hAnsi="Times New Roman"/>
        </w:rPr>
        <w:t xml:space="preserve">   g. Verified Agent Transport, a wrapper service carried inside the framed hybrid transport of FIG. 55, in which every message an AI agent sends or receives is a typed frame whose factual claims are expressed as Fact Units, verified in transit against the Fact Unit store and by an FQL contradiction query, answered with a signed verdict on a separate control lane, recorded in a hash-chained ledger, and summarized in a session certificate (FIG. 56–57). This feature is specified in this application and is not yet reduced to practice.</w:t>
      </w:r>
    </w:p>
    <w:p>
      <w:pPr>
        <w:pStyle w:val="Normal"/>
        <w:jc w:val="both"/>
        <w:rPr>
          <w:rFonts w:hint="eastAsia"/>
        </w:rPr>
      </w:pPr>
      <w:r>
        <w:rPr>
          <w:rFonts w:ascii="Times New Roman" w:hAnsi="Times New Roman"/>
          <w:highlight w:val="yellow"/>
        </w:rPr>
        <w:t>These additions are implemented in the QueryBook prototype and are described in the Detailed Description of the Invention.</w:t>
      </w:r>
    </w:p>
    <w:p>
      <w:pPr>
        <w:pStyle w:val="Normal"/>
        <w:rPr>
          <w:rFonts w:ascii="Times New Roman" w:hAnsi="Times New Roman"/>
        </w:rPr>
      </w:pPr>
      <w:r>
        <w:rPr>
          <w:rFonts w:ascii="Times New Roman" w:hAnsi="Times New Roman"/>
        </w:rPr>
      </w:r>
    </w:p>
    <w:p>
      <w:pPr>
        <w:pStyle w:val="Heading2"/>
        <w:numPr>
          <w:ilvl w:val="1"/>
          <w:numId w:val="1"/>
        </w:numPr>
        <w:rPr>
          <w:rFonts w:hint="eastAsia"/>
          <w:sz w:val="24"/>
          <w:szCs w:val="24"/>
        </w:rPr>
      </w:pPr>
      <w:bookmarkStart w:id="5" w:name="__RefHeading___Toc109266_805184229"/>
      <w:bookmarkEnd w:id="5"/>
      <w:r>
        <w:rPr>
          <w:rFonts w:ascii="Times New Roman" w:hAnsi="Times New Roman"/>
          <w:sz w:val="24"/>
          <w:szCs w:val="24"/>
        </w:rPr>
        <w:t>BRIEF DESCRIPTION OF THE DRAWINGS</w:t>
      </w:r>
    </w:p>
    <w:p>
      <w:pPr>
        <w:pStyle w:val="Normal"/>
        <w:spacing w:before="0" w:after="120"/>
        <w:ind w:firstLine="432"/>
        <w:jc w:val="both"/>
      </w:pPr>
      <w:r>
        <w:rPr>
          <w:rFonts w:ascii="Times New Roman" w:hAnsi="Times New Roman"/>
          <w:sz w:val="24"/>
          <w:szCs w:val="24"/>
        </w:rPr>
        <w:t xml:space="preserve">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Normal"/>
        <w:spacing w:before="0" w:after="120"/>
        <w:ind w:firstLine="432"/>
        <w:jc w:val="both"/>
      </w:pPr>
      <w:r>
        <w:rPr>
          <w:rFonts w:ascii="Times New Roman" w:hAnsi="Times New Roman"/>
          <w:b/>
          <w:sz w:val="24"/>
          <w:szCs w:val="24"/>
        </w:rPr>
        <w:t xml:space="preserve">FIG. 1 </w:t>
      </w:r>
      <w:r>
        <w:rPr>
          <w:rFonts w:ascii="Times New Roman" w:hAnsi="Times New Roman"/>
          <w:sz w:val="24"/>
          <w:szCs w:val="24"/>
        </w:rPr>
        <w:t xml:space="preserve">is a block diagram of the system, showing the ingestion pipeline, the storage engine, the UFCS substrate, the FQL query engine, the verification ledger, and the federation boundary.</w:t>
      </w:r>
    </w:p>
    <w:p>
      <w:pPr>
        <w:pStyle w:val="Normal"/>
        <w:spacing w:before="0" w:after="120"/>
        <w:ind w:firstLine="432"/>
        <w:jc w:val="both"/>
      </w:pPr>
      <w:r>
        <w:rPr>
          <w:rFonts w:ascii="Times New Roman" w:hAnsi="Times New Roman"/>
          <w:b/>
          <w:sz w:val="24"/>
          <w:szCs w:val="24"/>
        </w:rPr>
        <w:t xml:space="preserve">FIG. 2 </w:t>
      </w:r>
      <w:r>
        <w:rPr>
          <w:rFonts w:ascii="Times New Roman" w:hAnsi="Times New Roman"/>
          <w:sz w:val="24"/>
          <w:szCs w:val="24"/>
        </w:rPr>
        <w:t xml:space="preserve">is a diagram of a Fact Atom carried within a Fact Envelope, showing the nucleus, group classification, polarity, and links of the atom, together with the envelope's confidence, provenance, certification, and content-derived identifier.</w:t>
      </w:r>
    </w:p>
    <w:p>
      <w:pPr>
        <w:pStyle w:val="Normal"/>
        <w:spacing w:before="0" w:after="120"/>
        <w:ind w:firstLine="432"/>
        <w:jc w:val="both"/>
      </w:pPr>
      <w:r>
        <w:rPr>
          <w:rFonts w:ascii="Times New Roman" w:hAnsi="Times New Roman"/>
          <w:b/>
          <w:sz w:val="24"/>
          <w:szCs w:val="24"/>
        </w:rPr>
        <w:t xml:space="preserve">FIG. 3 </w:t>
      </w:r>
      <w:r>
        <w:rPr>
          <w:rFonts w:ascii="Times New Roman" w:hAnsi="Times New Roman"/>
          <w:sz w:val="24"/>
          <w:szCs w:val="24"/>
        </w:rPr>
        <w:t xml:space="preserve">is a diagram of a fact-certification authority hierarchy, showing a root trust anchor, domain authorities, and the certified facts and trust scores derived beneath them.</w:t>
      </w:r>
    </w:p>
    <w:p>
      <w:pPr>
        <w:pStyle w:val="Normal"/>
        <w:spacing w:before="0" w:after="120"/>
        <w:ind w:firstLine="432"/>
        <w:jc w:val="both"/>
      </w:pPr>
      <w:r>
        <w:rPr>
          <w:rFonts w:ascii="Times New Roman" w:hAnsi="Times New Roman"/>
          <w:b/>
          <w:sz w:val="24"/>
          <w:szCs w:val="24"/>
        </w:rPr>
        <w:t xml:space="preserve">FIG. 4 </w:t>
      </w:r>
      <w:r>
        <w:rPr>
          <w:rFonts w:ascii="Times New Roman" w:hAnsi="Times New Roman"/>
          <w:sz w:val="24"/>
          <w:szCs w:val="24"/>
        </w:rPr>
        <w:t xml:space="preserve">is a diagram of the substrate relationships, showing a pairwise graph, a hyperedge, and a directed hyperchain among Fact Units.</w:t>
      </w:r>
    </w:p>
    <w:p>
      <w:pPr>
        <w:pStyle w:val="Normal"/>
        <w:spacing w:before="0" w:after="120"/>
        <w:ind w:firstLine="432"/>
        <w:jc w:val="both"/>
      </w:pPr>
      <w:r>
        <w:rPr>
          <w:rFonts w:ascii="Times New Roman" w:hAnsi="Times New Roman"/>
          <w:b/>
          <w:sz w:val="24"/>
          <w:szCs w:val="24"/>
        </w:rPr>
        <w:t xml:space="preserve">FIG. 5 </w:t>
      </w:r>
      <w:r>
        <w:rPr>
          <w:rFonts w:ascii="Times New Roman" w:hAnsi="Times New Roman"/>
          <w:sz w:val="24"/>
          <w:szCs w:val="24"/>
        </w:rPr>
        <w:t xml:space="preserve">is a diagram supporting claim 11, showing tour/exhibition sequencing of immersive scenes into ordered waypoints.</w:t>
      </w:r>
    </w:p>
    <w:p>
      <w:pPr>
        <w:pStyle w:val="Normal"/>
        <w:spacing w:before="0" w:after="120"/>
        <w:ind w:firstLine="432"/>
        <w:jc w:val="both"/>
      </w:pPr>
      <w:r>
        <w:rPr>
          <w:rFonts w:ascii="Times New Roman" w:hAnsi="Times New Roman"/>
          <w:b/>
          <w:sz w:val="24"/>
          <w:szCs w:val="24"/>
        </w:rPr>
        <w:t xml:space="preserve">FIG. 6 </w:t>
      </w:r>
      <w:r>
        <w:rPr>
          <w:rFonts w:ascii="Times New Roman" w:hAnsi="Times New Roman"/>
          <w:sz w:val="24"/>
          <w:szCs w:val="24"/>
        </w:rPr>
        <w:t xml:space="preserve">is a diagram of a query that filters jointly on fact structure and certification trust, and of the trust-native execution by propagation, branch-and-bound pruning, and contradiction exclusion.</w:t>
      </w:r>
    </w:p>
    <w:p>
      <w:pPr>
        <w:pStyle w:val="Normal"/>
        <w:spacing w:before="0" w:after="120"/>
        <w:ind w:firstLine="432"/>
        <w:jc w:val="both"/>
      </w:pPr>
      <w:r>
        <w:rPr>
          <w:rFonts w:ascii="Times New Roman" w:hAnsi="Times New Roman"/>
          <w:b/>
          <w:sz w:val="24"/>
          <w:szCs w:val="24"/>
        </w:rPr>
        <w:t xml:space="preserve">FIG. 7 </w:t>
      </w:r>
      <w:r>
        <w:rPr>
          <w:rFonts w:ascii="Times New Roman" w:hAnsi="Times New Roman"/>
          <w:sz w:val="24"/>
          <w:szCs w:val="24"/>
        </w:rPr>
        <w:t xml:space="preserve">is a flowchart of verifying machine-generated text against certified records, classifying each assertion as verified, contradicted, or unknown.</w:t>
      </w:r>
    </w:p>
    <w:p>
      <w:pPr>
        <w:pStyle w:val="Normal"/>
        <w:spacing w:before="0" w:after="120"/>
        <w:ind w:firstLine="432"/>
        <w:jc w:val="both"/>
      </w:pPr>
      <w:r>
        <w:rPr>
          <w:rFonts w:ascii="Times New Roman" w:hAnsi="Times New Roman"/>
          <w:b/>
          <w:sz w:val="24"/>
          <w:szCs w:val="24"/>
        </w:rPr>
        <w:t xml:space="preserve">FIG. 8 </w:t>
      </w:r>
      <w:r>
        <w:rPr>
          <w:rFonts w:ascii="Times New Roman" w:hAnsi="Times New Roman"/>
          <w:sz w:val="24"/>
          <w:szCs w:val="24"/>
        </w:rPr>
        <w:t xml:space="preserve">is a diagram of federation, showing a certified envelope crossing a boundary and being re-validated on the receiving side.</w:t>
      </w:r>
    </w:p>
    <w:p>
      <w:pPr>
        <w:pStyle w:val="Normal"/>
        <w:spacing w:before="0" w:after="120"/>
        <w:ind w:firstLine="432"/>
        <w:jc w:val="both"/>
      </w:pPr>
      <w:r>
        <w:rPr>
          <w:rFonts w:ascii="Times New Roman" w:hAnsi="Times New Roman"/>
          <w:b/>
          <w:sz w:val="24"/>
          <w:szCs w:val="24"/>
        </w:rPr>
        <w:t xml:space="preserve">FIG. 9 </w:t>
      </w:r>
      <w:r>
        <w:rPr>
          <w:rFonts w:ascii="Times New Roman" w:hAnsi="Times New Roman"/>
          <w:sz w:val="24"/>
          <w:szCs w:val="24"/>
        </w:rPr>
        <w:t xml:space="preserve">is a diagram of fact-level erasure using an externally held key (cryptographic shredding of a sealed payload).</w:t>
      </w:r>
    </w:p>
    <w:p>
      <w:pPr>
        <w:pStyle w:val="Normal"/>
        <w:spacing w:before="0" w:after="120"/>
        <w:ind w:firstLine="432"/>
        <w:jc w:val="both"/>
      </w:pPr>
      <w:r>
        <w:rPr>
          <w:rFonts w:ascii="Times New Roman" w:hAnsi="Times New Roman"/>
          <w:b/>
          <w:sz w:val="24"/>
          <w:szCs w:val="24"/>
        </w:rPr>
        <w:t xml:space="preserve">FIG. 10 </w:t>
      </w:r>
      <w:r>
        <w:rPr>
          <w:rFonts w:ascii="Times New Roman" w:hAnsi="Times New Roman"/>
          <w:sz w:val="24"/>
          <w:szCs w:val="24"/>
        </w:rPr>
        <w:t xml:space="preserve">is a diagram of the Universal Security Architecture, showing the twelve defensive layers, the five simultaneous defensive postures, and key mechanisms including the AI Attack Prediction Engine.</w:t>
      </w:r>
    </w:p>
    <w:p>
      <w:pPr>
        <w:pStyle w:val="Normal"/>
        <w:spacing w:before="0" w:after="120"/>
        <w:ind w:firstLine="432"/>
        <w:jc w:val="both"/>
      </w:pPr>
      <w:r>
        <w:rPr>
          <w:rFonts w:ascii="Times New Roman" w:hAnsi="Times New Roman"/>
          <w:b/>
          <w:sz w:val="24"/>
          <w:szCs w:val="24"/>
        </w:rPr>
        <w:t xml:space="preserve">FIG. 11 </w:t>
      </w:r>
      <w:r>
        <w:rPr>
          <w:rFonts w:ascii="Times New Roman" w:hAnsi="Times New Roman"/>
          <w:sz w:val="24"/>
          <w:szCs w:val="24"/>
        </w:rPr>
        <w:t xml:space="preserve">is a diagram of Universal Honeypot Saturation and the Data Firehose, showing port saturation via the Phantom Port Daemon and application-entry-point saturation via the Shadow-App mechanism.</w:t>
      </w:r>
    </w:p>
    <w:p>
      <w:pPr>
        <w:pStyle w:val="Normal"/>
        <w:spacing w:before="0" w:after="120"/>
        <w:ind w:firstLine="432"/>
        <w:jc w:val="both"/>
      </w:pPr>
      <w:r>
        <w:rPr>
          <w:rFonts w:ascii="Times New Roman" w:hAnsi="Times New Roman"/>
          <w:b/>
          <w:sz w:val="24"/>
          <w:szCs w:val="24"/>
        </w:rPr>
        <w:t xml:space="preserve">FIG. 12 </w:t>
      </w:r>
      <w:r>
        <w:rPr>
          <w:rFonts w:ascii="Times New Roman" w:hAnsi="Times New Roman"/>
          <w:sz w:val="24"/>
          <w:szCs w:val="24"/>
        </w:rPr>
        <w:t xml:space="preserve">is a diagram of the five deployment topologies — cloud SaaS, local server, hybrid, single-device, and edge — over the invariant common layer of safety, governance, and provenance.</w:t>
      </w:r>
    </w:p>
    <w:p>
      <w:pPr>
        <w:pStyle w:val="Normal"/>
        <w:spacing w:before="0" w:after="120"/>
        <w:ind w:firstLine="432"/>
        <w:jc w:val="both"/>
      </w:pPr>
      <w:r>
        <w:rPr>
          <w:rFonts w:ascii="Times New Roman" w:hAnsi="Times New Roman"/>
          <w:b/>
          <w:sz w:val="24"/>
          <w:szCs w:val="24"/>
        </w:rPr>
        <w:t xml:space="preserve">FIG. 13 </w:t>
      </w:r>
      <w:r>
        <w:rPr>
          <w:rFonts w:ascii="Times New Roman" w:hAnsi="Times New Roman"/>
          <w:sz w:val="24"/>
          <w:szCs w:val="24"/>
        </w:rPr>
        <w:t xml:space="preserve">is a diagram of the Adaptive Response Engine, showing the five-stage pipeline from Result-Set Analysis through Generation-Directive Assembly, with the directive fixed before generation begins.</w:t>
      </w:r>
    </w:p>
    <w:p>
      <w:pPr>
        <w:pStyle w:val="Normal"/>
        <w:spacing w:before="0" w:after="120"/>
        <w:ind w:firstLine="432"/>
        <w:jc w:val="both"/>
      </w:pPr>
      <w:r>
        <w:rPr>
          <w:rFonts w:ascii="Times New Roman" w:hAnsi="Times New Roman"/>
          <w:b/>
          <w:sz w:val="24"/>
          <w:szCs w:val="24"/>
        </w:rPr>
        <w:t xml:space="preserve">FIG. 14 </w:t>
      </w:r>
      <w:r>
        <w:rPr>
          <w:rFonts w:ascii="Times New Roman" w:hAnsi="Times New Roman"/>
          <w:sz w:val="24"/>
          <w:szCs w:val="24"/>
        </w:rPr>
        <w:t xml:space="preserve">is a diagram of the user-owned agent system, showing Blueprint definition and registration, Agent-Instance creation under commissioner-bounded authority, and the governance evaluation at each action.</w:t>
      </w:r>
    </w:p>
    <w:p>
      <w:pPr>
        <w:pStyle w:val="Normal"/>
        <w:spacing w:before="0" w:after="120"/>
        <w:ind w:firstLine="432"/>
        <w:jc w:val="both"/>
      </w:pPr>
      <w:r>
        <w:rPr>
          <w:rFonts w:ascii="Times New Roman" w:hAnsi="Times New Roman"/>
          <w:b/>
          <w:sz w:val="24"/>
          <w:szCs w:val="24"/>
        </w:rPr>
        <w:t xml:space="preserve">FIG. 15 </w:t>
      </w:r>
      <w:r>
        <w:rPr>
          <w:rFonts w:ascii="Times New Roman" w:hAnsi="Times New Roman"/>
          <w:sz w:val="24"/>
          <w:szCs w:val="24"/>
        </w:rPr>
        <w:t xml:space="preserve">is a diagram of deterministic multi-language regeneration, showing source ingestion to Fact Units, the language-independent Fact Unit graph as a single knowledge source, and regeneration into any target language.</w:t>
      </w:r>
    </w:p>
    <w:p>
      <w:pPr>
        <w:pStyle w:val="Normal"/>
        <w:spacing w:before="0" w:after="120"/>
        <w:ind w:firstLine="432"/>
        <w:jc w:val="both"/>
      </w:pPr>
      <w:r>
        <w:rPr>
          <w:rFonts w:ascii="Times New Roman" w:hAnsi="Times New Roman"/>
          <w:b/>
          <w:sz w:val="24"/>
          <w:szCs w:val="24"/>
        </w:rPr>
        <w:t xml:space="preserve">FIG. 16 </w:t>
      </w:r>
      <w:r>
        <w:rPr>
          <w:rFonts w:ascii="Times New Roman" w:hAnsi="Times New Roman"/>
          <w:sz w:val="24"/>
          <w:szCs w:val="24"/>
        </w:rPr>
        <w:t xml:space="preserve">is a diagram of semantic compression, expansion, colorization, and resolution upscaling, showing the meaning-storage compression flow and the on-demand regeneration of a surface representation.</w:t>
      </w:r>
    </w:p>
    <w:p>
      <w:pPr>
        <w:pStyle w:val="Normal"/>
        <w:spacing w:before="0" w:after="120"/>
        <w:ind w:firstLine="432"/>
        <w:jc w:val="both"/>
      </w:pPr>
      <w:r>
        <w:rPr>
          <w:rFonts w:ascii="Times New Roman" w:hAnsi="Times New Roman"/>
          <w:b/>
          <w:sz w:val="24"/>
          <w:szCs w:val="24"/>
        </w:rPr>
        <w:t xml:space="preserve">FIG. 17 </w:t>
      </w:r>
      <w:r>
        <w:rPr>
          <w:rFonts w:ascii="Times New Roman" w:hAnsi="Times New Roman"/>
          <w:sz w:val="24"/>
          <w:szCs w:val="24"/>
        </w:rPr>
        <w:t xml:space="preserve">is a diagram of the QueryBook-enhanced TCP/IP hybrid protocol packet, showing the optional semantic-metadata header carrying FUID, ProvenanceRef, and confidence fields alongside the standard headers and payload.</w:t>
      </w:r>
    </w:p>
    <w:p>
      <w:pPr>
        <w:pStyle w:val="Normal"/>
        <w:spacing w:before="0" w:after="120"/>
        <w:ind w:firstLine="432"/>
        <w:jc w:val="both"/>
      </w:pPr>
      <w:r>
        <w:rPr>
          <w:rFonts w:ascii="Times New Roman" w:hAnsi="Times New Roman"/>
          <w:b/>
          <w:sz w:val="24"/>
          <w:szCs w:val="24"/>
        </w:rPr>
        <w:t xml:space="preserve">FIG. 18 </w:t>
      </w:r>
      <w:r>
        <w:rPr>
          <w:rFonts w:ascii="Times New Roman" w:hAnsi="Times New Roman"/>
          <w:sz w:val="24"/>
          <w:szCs w:val="24"/>
        </w:rPr>
        <w:t xml:space="preserve">is a diagram of the Neuromorphic Cognitive Layer and attractor network, showing the energy function, the capacity ceiling, and convergence to a stable equilibrium.</w:t>
      </w:r>
    </w:p>
    <w:p>
      <w:pPr>
        <w:pStyle w:val="Normal"/>
        <w:spacing w:before="0" w:after="120"/>
        <w:ind w:firstLine="432"/>
        <w:jc w:val="both"/>
      </w:pPr>
      <w:r>
        <w:rPr>
          <w:rFonts w:ascii="Times New Roman" w:hAnsi="Times New Roman"/>
          <w:b/>
          <w:sz w:val="24"/>
          <w:szCs w:val="24"/>
        </w:rPr>
        <w:t xml:space="preserve">FIG. 19 </w:t>
      </w:r>
      <w:r>
        <w:rPr>
          <w:rFonts w:ascii="Times New Roman" w:hAnsi="Times New Roman"/>
          <w:sz w:val="24"/>
          <w:szCs w:val="24"/>
        </w:rPr>
        <w:t xml:space="preserve">is a diagram of the Fact Unit confidence and evidence model, comprising an evidence pair, a Beta posterior, a score, a credible interval, source diversity, temporal decay, and a confidence trend.</w:t>
      </w:r>
    </w:p>
    <w:p>
      <w:pPr>
        <w:pStyle w:val="Normal"/>
        <w:spacing w:before="0" w:after="120"/>
        <w:ind w:firstLine="432"/>
        <w:jc w:val="both"/>
      </w:pPr>
      <w:r>
        <w:rPr>
          <w:rFonts w:ascii="Times New Roman" w:hAnsi="Times New Roman"/>
          <w:b/>
          <w:sz w:val="24"/>
          <w:szCs w:val="24"/>
        </w:rPr>
        <w:t xml:space="preserve">FIG. 20 </w:t>
      </w:r>
      <w:r>
        <w:rPr>
          <w:rFonts w:ascii="Times New Roman" w:hAnsi="Times New Roman"/>
          <w:sz w:val="24"/>
          <w:szCs w:val="24"/>
        </w:rPr>
        <w:t xml:space="preserve">is a diagram of the UFCS packet structure, showing the fields of a serialized Fact Unit record and an exemplar packet.</w:t>
      </w:r>
    </w:p>
    <w:p>
      <w:pPr>
        <w:pStyle w:val="Normal"/>
        <w:spacing w:before="0" w:after="120"/>
        <w:ind w:firstLine="432"/>
        <w:jc w:val="both"/>
      </w:pPr>
      <w:r>
        <w:rPr>
          <w:rFonts w:ascii="Times New Roman" w:hAnsi="Times New Roman"/>
          <w:b/>
          <w:sz w:val="24"/>
          <w:szCs w:val="24"/>
        </w:rPr>
        <w:t xml:space="preserve">FIG. 21 </w:t>
      </w:r>
      <w:r>
        <w:rPr>
          <w:rFonts w:ascii="Times New Roman" w:hAnsi="Times New Roman"/>
          <w:sz w:val="24"/>
          <w:szCs w:val="24"/>
        </w:rPr>
        <w:t xml:space="preserve">is a diagram of UFCS packet framing, in which immutable packets are de-duplicated by fingerprint and appended to content-addressed blocks under a fingerprint index.</w:t>
      </w:r>
    </w:p>
    <w:p>
      <w:pPr>
        <w:pStyle w:val="Normal"/>
        <w:spacing w:before="0" w:after="120"/>
        <w:ind w:firstLine="432"/>
        <w:jc w:val="both"/>
      </w:pPr>
      <w:r>
        <w:rPr>
          <w:rFonts w:ascii="Times New Roman" w:hAnsi="Times New Roman"/>
          <w:b/>
          <w:sz w:val="24"/>
          <w:szCs w:val="24"/>
        </w:rPr>
        <w:t xml:space="preserve">FIG. 22 </w:t>
      </w:r>
      <w:r>
        <w:rPr>
          <w:rFonts w:ascii="Times New Roman" w:hAnsi="Times New Roman"/>
          <w:sz w:val="24"/>
          <w:szCs w:val="24"/>
        </w:rPr>
        <w:t xml:space="preserve">is a diagram of FQL query anatomy with a worked example, in which match, where, exclude, rank, and return clauses produce a highest-trust answer bound to its evidence by a provenance hash.</w:t>
      </w:r>
    </w:p>
    <w:p>
      <w:pPr>
        <w:pStyle w:val="Normal"/>
        <w:spacing w:before="0" w:after="120"/>
        <w:ind w:firstLine="432"/>
        <w:jc w:val="both"/>
      </w:pPr>
      <w:r>
        <w:rPr>
          <w:rFonts w:ascii="Times New Roman" w:hAnsi="Times New Roman"/>
          <w:b/>
          <w:sz w:val="24"/>
          <w:szCs w:val="24"/>
        </w:rPr>
        <w:t xml:space="preserve">FIG. 23 </w:t>
      </w:r>
      <w:r>
        <w:rPr>
          <w:rFonts w:ascii="Times New Roman" w:hAnsi="Times New Roman"/>
          <w:sz w:val="24"/>
          <w:szCs w:val="24"/>
        </w:rPr>
        <w:t xml:space="preserve">is a block diagram of the overall QueryBook Language Expression Layer (LEL) system architecture.</w:t>
      </w:r>
    </w:p>
    <w:p>
      <w:pPr>
        <w:pStyle w:val="Normal"/>
        <w:spacing w:before="0" w:after="120"/>
        <w:ind w:firstLine="432"/>
        <w:jc w:val="both"/>
      </w:pPr>
      <w:r>
        <w:rPr>
          <w:rFonts w:ascii="Times New Roman" w:hAnsi="Times New Roman"/>
          <w:b/>
          <w:sz w:val="24"/>
          <w:szCs w:val="24"/>
        </w:rPr>
        <w:t xml:space="preserve">FIG. 24 </w:t>
      </w:r>
      <w:r>
        <w:rPr>
          <w:rFonts w:ascii="Times New Roman" w:hAnsi="Times New Roman"/>
          <w:sz w:val="24"/>
          <w:szCs w:val="24"/>
        </w:rPr>
        <w:t xml:space="preserve">is a block diagram of the Sub-Language Priming Layer (SLPL) and the measurable representation produced by each of its six components.</w:t>
      </w:r>
    </w:p>
    <w:p>
      <w:pPr>
        <w:pStyle w:val="Normal"/>
        <w:spacing w:before="0" w:after="120"/>
        <w:ind w:firstLine="432"/>
        <w:jc w:val="both"/>
      </w:pPr>
      <w:r>
        <w:rPr>
          <w:rFonts w:ascii="Times New Roman" w:hAnsi="Times New Roman"/>
          <w:b/>
          <w:sz w:val="24"/>
          <w:szCs w:val="24"/>
        </w:rPr>
        <w:t xml:space="preserve">FIG. 25 </w:t>
      </w:r>
      <w:r>
        <w:rPr>
          <w:rFonts w:ascii="Times New Roman" w:hAnsi="Times New Roman"/>
          <w:sz w:val="24"/>
          <w:szCs w:val="24"/>
        </w:rPr>
        <w:t xml:space="preserve">is a flow diagram of the developmental learning sequence and the one-way Transition Gate having four readiness thresholds.</w:t>
      </w:r>
    </w:p>
    <w:p>
      <w:pPr>
        <w:pStyle w:val="Normal"/>
        <w:spacing w:before="0" w:after="120"/>
        <w:ind w:firstLine="432"/>
        <w:jc w:val="both"/>
      </w:pPr>
      <w:r>
        <w:rPr>
          <w:rFonts w:ascii="Times New Roman" w:hAnsi="Times New Roman"/>
          <w:b/>
          <w:sz w:val="24"/>
          <w:szCs w:val="24"/>
        </w:rPr>
        <w:t xml:space="preserve">FIG. 26 </w:t>
      </w:r>
      <w:r>
        <w:rPr>
          <w:rFonts w:ascii="Times New Roman" w:hAnsi="Times New Roman"/>
          <w:sz w:val="24"/>
          <w:szCs w:val="24"/>
        </w:rPr>
        <w:t xml:space="preserve">is a block diagram of the multilingual Delta Acquisition Model and the acquisition acceleration flywheel.</w:t>
      </w:r>
    </w:p>
    <w:p>
      <w:pPr>
        <w:pStyle w:val="Normal"/>
        <w:spacing w:before="0" w:after="120"/>
        <w:ind w:firstLine="432"/>
        <w:jc w:val="both"/>
      </w:pPr>
      <w:r>
        <w:rPr>
          <w:rFonts w:ascii="Times New Roman" w:hAnsi="Times New Roman"/>
          <w:b/>
          <w:sz w:val="24"/>
          <w:szCs w:val="24"/>
        </w:rPr>
        <w:t xml:space="preserve">FIG. 27 </w:t>
      </w:r>
      <w:r>
        <w:rPr>
          <w:rFonts w:ascii="Times New Roman" w:hAnsi="Times New Roman"/>
          <w:sz w:val="24"/>
          <w:szCs w:val="24"/>
        </w:rPr>
        <w:t xml:space="preserve">is a block diagram of the seven-stage Speech Output Pipeline.</w:t>
      </w:r>
    </w:p>
    <w:p>
      <w:pPr>
        <w:pStyle w:val="Normal"/>
        <w:spacing w:before="0" w:after="120"/>
        <w:ind w:firstLine="432"/>
        <w:jc w:val="both"/>
      </w:pPr>
      <w:r>
        <w:rPr>
          <w:rFonts w:ascii="Times New Roman" w:hAnsi="Times New Roman"/>
          <w:b/>
          <w:sz w:val="24"/>
          <w:szCs w:val="24"/>
        </w:rPr>
        <w:t xml:space="preserve">FIG. 28 </w:t>
      </w:r>
      <w:r>
        <w:rPr>
          <w:rFonts w:ascii="Times New Roman" w:hAnsi="Times New Roman"/>
          <w:sz w:val="24"/>
          <w:szCs w:val="24"/>
        </w:rPr>
        <w:t xml:space="preserve">is a data-flow diagram of the co-grounded integration of the LEL with the Federated Query Language (FQL) and the Universal Federated Connectivity System (UFCS).</w:t>
      </w:r>
    </w:p>
    <w:p>
      <w:pPr>
        <w:pStyle w:val="Normal"/>
        <w:spacing w:before="0" w:after="120"/>
        <w:ind w:firstLine="432"/>
        <w:jc w:val="both"/>
      </w:pPr>
      <w:r>
        <w:rPr>
          <w:rFonts w:ascii="Times New Roman" w:hAnsi="Times New Roman"/>
          <w:b/>
          <w:sz w:val="24"/>
          <w:szCs w:val="24"/>
        </w:rPr>
        <w:t xml:space="preserve">FIG. 29 </w:t>
      </w:r>
      <w:r>
        <w:rPr>
          <w:rFonts w:ascii="Times New Roman" w:hAnsi="Times New Roman"/>
          <w:sz w:val="24"/>
          <w:szCs w:val="24"/>
        </w:rPr>
        <w:t xml:space="preserve">is a block diagram of a reduced-to-practice embodiment (the Language Lab) implementing Phase One, the Transition Gate, and a deterministic Phase Two.</w:t>
      </w:r>
    </w:p>
    <w:p>
      <w:pPr>
        <w:pStyle w:val="Normal"/>
        <w:spacing w:before="0" w:after="120"/>
        <w:ind w:firstLine="432"/>
        <w:jc w:val="both"/>
      </w:pPr>
      <w:r>
        <w:rPr>
          <w:rFonts w:ascii="Times New Roman" w:hAnsi="Times New Roman"/>
          <w:b/>
          <w:sz w:val="24"/>
          <w:szCs w:val="24"/>
        </w:rPr>
        <w:t xml:space="preserve">FIG. 30 </w:t>
      </w:r>
      <w:r>
        <w:rPr>
          <w:rFonts w:ascii="Times New Roman" w:hAnsi="Times New Roman"/>
          <w:sz w:val="24"/>
          <w:szCs w:val="24"/>
        </w:rPr>
        <w:t xml:space="preserve">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Normal"/>
        <w:spacing w:before="0" w:after="120"/>
        <w:ind w:firstLine="432"/>
        <w:jc w:val="both"/>
      </w:pPr>
      <w:r>
        <w:rPr>
          <w:rFonts w:ascii="Times New Roman" w:hAnsi="Times New Roman"/>
          <w:b/>
          <w:sz w:val="24"/>
          <w:szCs w:val="24"/>
        </w:rPr>
        <w:t xml:space="preserve">FIG. 31 </w:t>
      </w:r>
      <w:r>
        <w:rPr>
          <w:rFonts w:ascii="Times New Roman" w:hAnsi="Times New Roman"/>
          <w:sz w:val="24"/>
          <w:szCs w:val="24"/>
        </w:rPr>
        <w:t xml:space="preserve">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w:t>
      </w:r>
    </w:p>
    <w:p>
      <w:pPr>
        <w:pStyle w:val="Normal"/>
        <w:spacing w:before="0" w:after="120"/>
        <w:ind w:firstLine="432"/>
        <w:jc w:val="both"/>
      </w:pPr>
      <w:r>
        <w:rPr>
          <w:rFonts w:ascii="Times New Roman" w:hAnsi="Times New Roman"/>
          <w:b/>
          <w:sz w:val="24"/>
          <w:szCs w:val="24"/>
        </w:rPr>
        <w:t xml:space="preserve">FIG. 32 </w:t>
      </w:r>
      <w:r>
        <w:rPr>
          <w:rFonts w:ascii="Times New Roman" w:hAnsi="Times New Roman"/>
          <w:sz w:val="24"/>
          <w:szCs w:val="24"/>
        </w:rPr>
        <w:t xml:space="preserve">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w:t>
      </w:r>
    </w:p>
    <w:p>
      <w:pPr>
        <w:pStyle w:val="Normal"/>
        <w:spacing w:before="0" w:after="120"/>
        <w:ind w:firstLine="432"/>
        <w:jc w:val="both"/>
      </w:pPr>
      <w:r>
        <w:rPr>
          <w:rFonts w:ascii="Times New Roman" w:hAnsi="Times New Roman"/>
          <w:b/>
          <w:sz w:val="24"/>
          <w:szCs w:val="24"/>
        </w:rPr>
        <w:t xml:space="preserve">FIG. 33 </w:t>
      </w:r>
      <w:r>
        <w:rPr>
          <w:rFonts w:ascii="Times New Roman" w:hAnsi="Times New Roman"/>
          <w:sz w:val="24"/>
          <w:szCs w:val="24"/>
        </w:rPr>
        <w:t xml:space="preserve">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w:t>
      </w:r>
    </w:p>
    <w:p>
      <w:pPr>
        <w:pStyle w:val="Normal"/>
        <w:spacing w:before="0" w:after="120"/>
        <w:ind w:firstLine="432"/>
        <w:jc w:val="both"/>
      </w:pPr>
      <w:r>
        <w:rPr>
          <w:rFonts w:ascii="Times New Roman" w:hAnsi="Times New Roman"/>
          <w:b/>
          <w:sz w:val="24"/>
          <w:szCs w:val="24"/>
        </w:rPr>
        <w:t xml:space="preserve">FIG. 34 </w:t>
      </w:r>
      <w:r>
        <w:rPr>
          <w:rFonts w:ascii="Times New Roman" w:hAnsi="Times New Roman"/>
          <w:sz w:val="24"/>
          <w:szCs w:val="24"/>
        </w:rPr>
        <w:t xml:space="preserve">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w:t>
      </w:r>
    </w:p>
    <w:p>
      <w:pPr>
        <w:pStyle w:val="Normal"/>
        <w:spacing w:before="0" w:after="120"/>
        <w:ind w:firstLine="432"/>
        <w:jc w:val="both"/>
      </w:pPr>
      <w:r>
        <w:rPr>
          <w:rFonts w:ascii="Times New Roman" w:hAnsi="Times New Roman"/>
          <w:b/>
          <w:sz w:val="24"/>
          <w:szCs w:val="24"/>
        </w:rPr>
        <w:t xml:space="preserve">FIG. 35 </w:t>
      </w:r>
      <w:r>
        <w:rPr>
          <w:rFonts w:ascii="Times New Roman" w:hAnsi="Times New Roman"/>
          <w:sz w:val="24"/>
          <w:szCs w:val="24"/>
        </w:rPr>
        <w:t xml:space="preserve">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w:t>
      </w:r>
    </w:p>
    <w:p>
      <w:pPr>
        <w:pStyle w:val="Normal"/>
        <w:spacing w:before="0" w:after="120"/>
        <w:ind w:firstLine="432"/>
        <w:jc w:val="both"/>
      </w:pPr>
      <w:r>
        <w:rPr>
          <w:rFonts w:ascii="Times New Roman" w:hAnsi="Times New Roman"/>
          <w:b/>
          <w:sz w:val="24"/>
          <w:szCs w:val="24"/>
        </w:rPr>
        <w:t xml:space="preserve">FIG. 36 </w:t>
      </w:r>
      <w:r>
        <w:rPr>
          <w:rFonts w:ascii="Times New Roman" w:hAnsi="Times New Roman"/>
          <w:sz w:val="24"/>
          <w:szCs w:val="24"/>
        </w:rPr>
        <w:t xml:space="preserve">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w:t>
      </w:r>
    </w:p>
    <w:p>
      <w:pPr>
        <w:pStyle w:val="Normal"/>
        <w:spacing w:before="0" w:after="120"/>
        <w:ind w:firstLine="432"/>
        <w:jc w:val="both"/>
      </w:pPr>
      <w:r>
        <w:rPr>
          <w:rFonts w:ascii="Times New Roman" w:hAnsi="Times New Roman"/>
          <w:b/>
          <w:sz w:val="24"/>
          <w:szCs w:val="24"/>
        </w:rPr>
        <w:t xml:space="preserve">FIG. 37 </w:t>
      </w:r>
      <w:r>
        <w:rPr>
          <w:rFonts w:ascii="Times New Roman" w:hAnsi="Times New Roman"/>
          <w:sz w:val="24"/>
          <w:szCs w:val="24"/>
        </w:rPr>
        <w:t xml:space="preserve">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w:t>
      </w:r>
    </w:p>
    <w:p>
      <w:pPr>
        <w:pStyle w:val="Normal"/>
        <w:spacing w:before="0" w:after="120"/>
        <w:ind w:firstLine="432"/>
        <w:jc w:val="both"/>
      </w:pPr>
      <w:r>
        <w:rPr>
          <w:rFonts w:ascii="Times New Roman" w:hAnsi="Times New Roman"/>
          <w:b/>
          <w:sz w:val="24"/>
          <w:szCs w:val="24"/>
        </w:rPr>
        <w:t xml:space="preserve">FIG. 38 </w:t>
      </w:r>
      <w:r>
        <w:rPr>
          <w:rFonts w:ascii="Times New Roman" w:hAnsi="Times New Roman"/>
          <w:sz w:val="24"/>
          <w:szCs w:val="24"/>
        </w:rPr>
        <w:t xml:space="preserve">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w:t>
      </w:r>
    </w:p>
    <w:p>
      <w:pPr>
        <w:pStyle w:val="Normal"/>
        <w:spacing w:before="0" w:after="120"/>
        <w:ind w:firstLine="432"/>
        <w:jc w:val="both"/>
      </w:pPr>
      <w:r>
        <w:rPr>
          <w:rFonts w:ascii="Times New Roman" w:hAnsi="Times New Roman"/>
          <w:b/>
          <w:sz w:val="24"/>
          <w:szCs w:val="24"/>
        </w:rPr>
        <w:t xml:space="preserve">FIG. 39 </w:t>
      </w:r>
      <w:r>
        <w:rPr>
          <w:rFonts w:ascii="Times New Roman" w:hAnsi="Times New Roman"/>
          <w:sz w:val="24"/>
          <w:szCs w:val="24"/>
        </w:rPr>
        <w:t xml:space="preserve">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w:t>
      </w:r>
    </w:p>
    <w:p>
      <w:pPr>
        <w:pStyle w:val="Normal"/>
        <w:spacing w:before="0" w:after="120"/>
        <w:ind w:firstLine="432"/>
        <w:jc w:val="both"/>
      </w:pPr>
      <w:r>
        <w:rPr>
          <w:rFonts w:ascii="Times New Roman" w:hAnsi="Times New Roman"/>
          <w:b/>
          <w:sz w:val="24"/>
          <w:szCs w:val="24"/>
        </w:rPr>
        <w:t xml:space="preserve">FIG. 40 </w:t>
      </w:r>
      <w:r>
        <w:rPr>
          <w:rFonts w:ascii="Times New Roman" w:hAnsi="Times New Roman"/>
          <w:sz w:val="24"/>
          <w:szCs w:val="24"/>
        </w:rPr>
        <w:t xml:space="preserve">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w:t>
      </w:r>
    </w:p>
    <w:p>
      <w:pPr>
        <w:pStyle w:val="Normal"/>
        <w:spacing w:before="0" w:after="120"/>
        <w:ind w:firstLine="432"/>
        <w:jc w:val="both"/>
      </w:pPr>
      <w:r>
        <w:rPr>
          <w:rFonts w:ascii="Times New Roman" w:hAnsi="Times New Roman"/>
          <w:b/>
          <w:sz w:val="24"/>
          <w:szCs w:val="24"/>
        </w:rPr>
        <w:t xml:space="preserve">FIG. 41 </w:t>
      </w:r>
      <w:r>
        <w:rPr>
          <w:rFonts w:ascii="Times New Roman" w:hAnsi="Times New Roman"/>
          <w:sz w:val="24"/>
          <w:szCs w:val="24"/>
        </w:rPr>
        <w:t xml:space="preserve">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pStyle w:val="Normal"/>
        <w:spacing w:before="0" w:after="120"/>
        <w:ind w:firstLine="432"/>
        <w:jc w:val="both"/>
      </w:pPr>
      <w:r>
        <w:rPr>
          <w:rFonts w:ascii="Times New Roman" w:hAnsi="Times New Roman"/>
          <w:b/>
          <w:sz w:val="24"/>
          <w:szCs w:val="24"/>
        </w:rPr>
        <w:t xml:space="preserve">FIG. 42 </w:t>
      </w:r>
      <w:r>
        <w:rPr>
          <w:rFonts w:ascii="Times New Roman" w:hAnsi="Times New Roman"/>
          <w:sz w:val="24"/>
          <w:szCs w:val="24"/>
        </w:rPr>
        <w:t xml:space="preserve">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pStyle w:val="Normal"/>
        <w:spacing w:before="0" w:after="120"/>
        <w:ind w:firstLine="432"/>
        <w:jc w:val="both"/>
      </w:pPr>
      <w:r>
        <w:rPr>
          <w:rFonts w:ascii="Times New Roman" w:hAnsi="Times New Roman"/>
          <w:b/>
          <w:sz w:val="24"/>
          <w:szCs w:val="24"/>
        </w:rPr>
        <w:t xml:space="preserve">FIG. 43 </w:t>
      </w:r>
      <w:r>
        <w:rPr>
          <w:rFonts w:ascii="Times New Roman" w:hAnsi="Times New Roman"/>
          <w:sz w:val="24"/>
          <w:szCs w:val="24"/>
        </w:rPr>
        <w:t xml:space="preserve">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pStyle w:val="Normal"/>
        <w:spacing w:before="0" w:after="120"/>
        <w:ind w:firstLine="432"/>
        <w:jc w:val="both"/>
      </w:pPr>
      <w:r>
        <w:rPr>
          <w:rFonts w:ascii="Times New Roman" w:hAnsi="Times New Roman"/>
          <w:b/>
          <w:sz w:val="24"/>
          <w:szCs w:val="24"/>
        </w:rPr>
        <w:t xml:space="preserve">FIG. 44 </w:t>
      </w:r>
      <w:r>
        <w:rPr>
          <w:rFonts w:ascii="Times New Roman" w:hAnsi="Times New Roman"/>
          <w:sz w:val="24"/>
          <w:szCs w:val="24"/>
        </w:rPr>
        <w:t xml:space="preserve">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pStyle w:val="Normal"/>
        <w:spacing w:before="0" w:after="120"/>
        <w:ind w:firstLine="432"/>
        <w:jc w:val="both"/>
      </w:pPr>
      <w:r>
        <w:rPr>
          <w:rFonts w:ascii="Times New Roman" w:hAnsi="Times New Roman"/>
          <w:b/>
          <w:sz w:val="24"/>
          <w:szCs w:val="24"/>
        </w:rPr>
        <w:t xml:space="preserve">FIG. 45 </w:t>
      </w:r>
      <w:r>
        <w:rPr>
          <w:rFonts w:ascii="Times New Roman" w:hAnsi="Times New Roman"/>
          <w:sz w:val="24"/>
          <w:szCs w:val="24"/>
        </w:rPr>
        <w:t xml:space="preserve">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pStyle w:val="Normal"/>
        <w:spacing w:before="0" w:after="120"/>
        <w:ind w:firstLine="432"/>
        <w:jc w:val="both"/>
      </w:pPr>
      <w:r>
        <w:rPr>
          <w:rFonts w:ascii="Times New Roman" w:hAnsi="Times New Roman"/>
          <w:b/>
          <w:sz w:val="24"/>
          <w:szCs w:val="24"/>
        </w:rPr>
        <w:t xml:space="preserve">FIG. 46 </w:t>
      </w:r>
      <w:r>
        <w:rPr>
          <w:rFonts w:ascii="Times New Roman" w:hAnsi="Times New Roman"/>
          <w:sz w:val="24"/>
          <w:szCs w:val="24"/>
        </w:rPr>
        <w:t xml:space="preserve">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pStyle w:val="Normal"/>
        <w:spacing w:before="0" w:after="120"/>
        <w:ind w:firstLine="432"/>
        <w:jc w:val="both"/>
      </w:pPr>
      <w:r>
        <w:rPr>
          <w:rFonts w:ascii="Times New Roman" w:hAnsi="Times New Roman"/>
          <w:b/>
          <w:sz w:val="24"/>
          <w:szCs w:val="24"/>
        </w:rPr>
        <w:t xml:space="preserve">FIG. 47 </w:t>
      </w:r>
      <w:r>
        <w:rPr>
          <w:rFonts w:ascii="Times New Roman" w:hAnsi="Times New Roman"/>
          <w:sz w:val="24"/>
          <w:szCs w:val="24"/>
        </w:rPr>
        <w:t xml:space="preserve">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pStyle w:val="Normal"/>
        <w:spacing w:before="0" w:after="120"/>
        <w:ind w:firstLine="432"/>
        <w:jc w:val="both"/>
      </w:pPr>
      <w:r>
        <w:rPr>
          <w:rFonts w:ascii="Times New Roman" w:hAnsi="Times New Roman"/>
          <w:b/>
          <w:sz w:val="24"/>
          <w:szCs w:val="24"/>
        </w:rPr>
        <w:t xml:space="preserve">FIG. 48 </w:t>
      </w:r>
      <w:r>
        <w:rPr>
          <w:rFonts w:ascii="Times New Roman" w:hAnsi="Times New Roman"/>
          <w:sz w:val="24"/>
          <w:szCs w:val="24"/>
        </w:rPr>
        <w:t xml:space="preserve">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pStyle w:val="Normal"/>
        <w:spacing w:before="0" w:after="120"/>
        <w:ind w:firstLine="432"/>
        <w:jc w:val="both"/>
      </w:pPr>
      <w:r>
        <w:rPr>
          <w:rFonts w:ascii="Times New Roman" w:hAnsi="Times New Roman"/>
          <w:b/>
          <w:sz w:val="24"/>
          <w:szCs w:val="24"/>
        </w:rPr>
        <w:t xml:space="preserve">FIG. 49 </w:t>
      </w:r>
      <w:r>
        <w:rPr>
          <w:rFonts w:ascii="Times New Roman" w:hAnsi="Times New Roman"/>
          <w:sz w:val="24"/>
          <w:szCs w:val="24"/>
        </w:rPr>
        <w:t xml:space="preserve">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pStyle w:val="Normal"/>
        <w:spacing w:before="0" w:after="120"/>
        <w:ind w:firstLine="432"/>
        <w:jc w:val="both"/>
      </w:pPr>
      <w:r>
        <w:rPr>
          <w:rFonts w:ascii="Times New Roman" w:hAnsi="Times New Roman"/>
          <w:b/>
          <w:sz w:val="24"/>
          <w:szCs w:val="24"/>
        </w:rPr>
        <w:t xml:space="preserve">FIG. 50 </w:t>
      </w:r>
      <w:r>
        <w:rPr>
          <w:rFonts w:ascii="Times New Roman" w:hAnsi="Times New Roman"/>
          <w:sz w:val="24"/>
          <w:szCs w:val="24"/>
        </w:rPr>
        <w:t xml:space="preserve">is a block diagram of Open Claw ingestion, showing content-based format detection, archive bounds, the Artifact Segmenter, the instruction-like content screen, the OpenClaw Interpreter, and the admission of artifact-description, structured, passage, and flagged untrusted records to the Fact Unit store under a provenance seal.</w:t>
      </w:r>
    </w:p>
    <w:p>
      <w:pPr>
        <w:pStyle w:val="Normal"/>
        <w:spacing w:before="0" w:after="120"/>
        <w:ind w:firstLine="432"/>
        <w:jc w:val="both"/>
      </w:pPr>
      <w:r>
        <w:rPr>
          <w:rFonts w:ascii="Times New Roman" w:hAnsi="Times New Roman"/>
          <w:b/>
          <w:sz w:val="24"/>
          <w:szCs w:val="24"/>
        </w:rPr>
        <w:t xml:space="preserve">FIG. 51 </w:t>
      </w:r>
      <w:r>
        <w:rPr>
          <w:rFonts w:ascii="Times New Roman" w:hAnsi="Times New Roman"/>
          <w:sz w:val="24"/>
          <w:szCs w:val="24"/>
        </w:rPr>
        <w:t xml:space="preserve">is a block diagram of on-chain certification, showing a QueryBook object and its local provenance seal, the content hash and on-chain metadata, the in-system transaction signer and network guard, the certificate contract on a public blockchain, the independent verifier, and the licence check.</w:t>
      </w:r>
    </w:p>
    <w:p>
      <w:pPr>
        <w:pStyle w:val="Normal"/>
        <w:spacing w:before="0" w:after="120"/>
        <w:ind w:firstLine="432"/>
        <w:jc w:val="both"/>
      </w:pPr>
      <w:r>
        <w:rPr>
          <w:rFonts w:ascii="Times New Roman" w:hAnsi="Times New Roman"/>
          <w:b/>
          <w:sz w:val="24"/>
          <w:szCs w:val="24"/>
        </w:rPr>
        <w:t xml:space="preserve">FIG. 52 </w:t>
      </w:r>
      <w:r>
        <w:rPr>
          <w:rFonts w:ascii="Times New Roman" w:hAnsi="Times New Roman"/>
          <w:sz w:val="24"/>
          <w:szCs w:val="24"/>
        </w:rPr>
        <w:t xml:space="preserve">is a block diagram of the agent protection and deception layer, showing the HTTP gate, the isolation register, the Agent Gateway, the deception check with honeycode, honeytokens, tripwires, and honeypot agents, the AI-aware firewall and anomaly detector, the security event bus, the decoy environment, the engagement recorder, and operator-only release.</w:t>
      </w:r>
    </w:p>
    <w:p>
      <w:pPr>
        <w:pStyle w:val="Normal"/>
        <w:spacing w:before="0" w:after="120"/>
        <w:ind w:firstLine="432"/>
        <w:jc w:val="both"/>
      </w:pPr>
      <w:r>
        <w:rPr>
          <w:rFonts w:ascii="Times New Roman" w:hAnsi="Times New Roman"/>
          <w:b/>
          <w:sz w:val="24"/>
          <w:szCs w:val="24"/>
        </w:rPr>
        <w:t xml:space="preserve">FIG. 53 </w:t>
      </w:r>
      <w:r>
        <w:rPr>
          <w:rFonts w:ascii="Times New Roman" w:hAnsi="Times New Roman"/>
          <w:sz w:val="24"/>
          <w:szCs w:val="24"/>
        </w:rPr>
        <w:t xml:space="preserve">is a block diagram of the tamper-evident security record, showing append-only entries, the hash chain, write-once signed Merkle checkpoints, a mirror on a second device, a blockchain anchor, the recompute-from-content verifier with inclusion proofs, and the assurance report.</w:t>
      </w:r>
    </w:p>
    <w:p>
      <w:pPr>
        <w:pStyle w:val="Normal"/>
        <w:spacing w:before="0" w:after="120"/>
        <w:ind w:firstLine="432"/>
        <w:jc w:val="both"/>
      </w:pPr>
      <w:r>
        <w:rPr>
          <w:rFonts w:ascii="Times New Roman" w:hAnsi="Times New Roman"/>
          <w:b/>
          <w:sz w:val="24"/>
          <w:szCs w:val="24"/>
        </w:rPr>
        <w:t xml:space="preserve">FIG. 54 </w:t>
      </w:r>
      <w:r>
        <w:rPr>
          <w:rFonts w:ascii="Times New Roman" w:hAnsi="Times New Roman"/>
          <w:sz w:val="24"/>
          <w:szCs w:val="24"/>
        </w:rPr>
        <w:t xml:space="preserve">is a block diagram of agent interoperability, showing an external AI agent and its skill definition, the Model Context Protocol tool server, the tool-to-command mapping, the Agent Gateway with the agent’s allow-list, grounded handlers, and isolation upon a reserved command.</w:t>
      </w:r>
    </w:p>
    <w:p>
      <w:pPr>
        <w:pStyle w:val="Normal"/>
        <w:spacing w:before="0" w:after="120"/>
        <w:ind w:firstLine="432"/>
        <w:jc w:val="both"/>
      </w:pPr>
      <w:r>
        <w:rPr>
          <w:rFonts w:ascii="Times New Roman" w:hAnsi="Times New Roman"/>
          <w:b/>
          <w:sz w:val="24"/>
          <w:szCs w:val="24"/>
        </w:rPr>
        <w:t xml:space="preserve">FIG. 55 </w:t>
      </w:r>
      <w:r>
        <w:rPr>
          <w:rFonts w:ascii="Times New Roman" w:hAnsi="Times New Roman"/>
          <w:sz w:val="24"/>
          <w:szCs w:val="24"/>
        </w:rPr>
        <w:t xml:space="preserve">is a block diagram of the framed hybrid transport, extending FIG. 17, showing per-type compression, the frame with its header, metadata, payload, CRC32 checksum, and optional signature, the control, normal, and bulk lanes, the receiver, package rebuild with manifest check, and record verification into the Fact Unit store.</w:t>
      </w:r>
    </w:p>
    <w:p>
      <w:pPr>
        <w:pStyle w:val="Normal"/>
        <w:spacing w:before="0" w:after="120"/>
        <w:ind w:firstLine="432"/>
        <w:jc w:val="both"/>
      </w:pPr>
      <w:r>
        <w:rPr>
          <w:rFonts w:ascii="Times New Roman" w:hAnsi="Times New Roman"/>
          <w:b/>
          <w:sz w:val="24"/>
          <w:szCs w:val="24"/>
        </w:rPr>
        <w:t xml:space="preserve">FIG. 56 </w:t>
      </w:r>
      <w:r>
        <w:rPr>
          <w:rFonts w:ascii="Times New Roman" w:hAnsi="Times New Roman"/>
          <w:sz w:val="24"/>
          <w:szCs w:val="24"/>
        </w:rPr>
        <w:t xml:space="preserve">is a block diagram of Verified Agent Transport, showing an AI agent inside an egress-lock boundary, a sidecar comprising protocol adapters, claim extraction, intent binding and a frame codec and signer, an encrypted connection carrying control, normal and bulk lanes to a peer sidecar and destination, a UFCS verification service, a ledger and certificate store, and a control plane.</w:t>
      </w:r>
    </w:p>
    <w:p>
      <w:pPr>
        <w:pStyle w:val="Normal"/>
        <w:spacing w:before="0" w:after="120"/>
        <w:ind w:firstLine="432"/>
        <w:jc w:val="both"/>
      </w:pPr>
      <w:r>
        <w:rPr>
          <w:rFonts w:ascii="Times New Roman" w:hAnsi="Times New Roman"/>
          <w:b/>
          <w:sz w:val="24"/>
          <w:szCs w:val="24"/>
        </w:rPr>
        <w:t xml:space="preserve">FIG. 57 </w:t>
      </w:r>
      <w:r>
        <w:rPr>
          <w:rFonts w:ascii="Times New Roman" w:hAnsi="Times New Roman"/>
          <w:sz w:val="24"/>
          <w:szCs w:val="24"/>
        </w:rPr>
        <w:t xml:space="preserve">is a flow diagram of claim verification in Verified Agent Transport, showing classification of an outbound message, extraction and fingerprinting of factual statements, fingerprint lookup and FQL contradiction query, the verified, contradicted and unknown outcomes, the signed verdict and policy, intent and result binding, ledger append, the session certificate, reputation, have/want exchange and privacy mode.</w:t>
      </w:r>
    </w:p>
    <w:p>
      <w:pPr>
        <w:pStyle w:val="Normal"/>
        <w:spacing w:before="0" w:after="120"/>
        <w:jc w:val="both"/>
      </w:pPr>
      <w:r>
        <w:rPr>
          <w:rFonts w:ascii="Times New Roman" w:hAnsi="Times New Roman"/>
          <w:i/>
          <w:sz w:val="24"/>
          <w:szCs w:val="24"/>
        </w:rPr>
        <w:t xml:space="preserve">[Drafting note: the complete drawing set, FIG. 1–55, is provided in the accompanying drawings PDF, one figure per sheet; reference numerals used in the drawings are identified in the Detailed Description.]</w:t>
      </w:r>
    </w:p>
    <w:p>
      <w:pPr>
        <w:pStyle w:val="Normal"/>
        <w:spacing w:before="0" w:after="120"/>
        <w:jc w:val="both"/>
      </w:pPr>
      <w:r>
        <w:rPr>
          <w:rFonts w:ascii="Times New Roman" w:hAnsi="Times New Roman"/>
          <w:i/>
          <w:sz w:val="24"/>
          <w:szCs w:val="24"/>
        </w:rPr>
        <w:t xml:space="preserve">[Drafting note: FIG. 56–57 are added to the drawing set, which now comprises FIG. 1–57, one figure per sheet.]</w:t>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Heading2"/>
        <w:numPr>
          <w:ilvl w:val="1"/>
          <w:numId w:val="1"/>
        </w:numPr>
        <w:spacing w:before="0" w:after="120"/>
        <w:rPr>
          <w:rFonts w:hint="eastAsia"/>
        </w:rPr>
      </w:pPr>
      <w:bookmarkStart w:id="6" w:name="__RefHeading___Toc46816_805184229"/>
      <w:bookmarkEnd w:id="6"/>
      <w:r>
        <w:rPr>
          <w:rStyle w:val="Strong"/>
          <w:rFonts w:ascii="Times New Roman" w:hAnsi="Times New Roman"/>
          <w:b/>
          <w:bCs/>
          <w:sz w:val="24"/>
          <w:szCs w:val="24"/>
        </w:rPr>
        <w:t>DETAILED DESCRIPTION SECTION</w:t>
      </w:r>
    </w:p>
    <w:p>
      <w:pPr>
        <w:pStyle w:val="TOCHeading"/>
        <w:rPr>
          <w:sz w:val="24"/>
          <w:szCs w:val="24"/>
        </w:rPr>
      </w:pPr>
      <w:r>
        <w:rPr>
          <w:rFonts w:ascii="Times New Roman" w:hAnsi="Times New Roman"/>
          <w:sz w:val="24"/>
          <w:szCs w:val="24"/>
        </w:rPr>
        <w:t>QUERYBOOK SYSTEM OVERVIEW</w:t>
      </w:r>
    </w:p>
    <w:p>
      <w:pPr>
        <w:pStyle w:val="Normal"/>
        <w:rPr>
          <w:rFonts w:hint="eastAsia"/>
        </w:rPr>
      </w:pPr>
      <w:r>
        <w:rPr>
          <w:rFonts w:ascii="Times New Roman" w:hAnsi="Times New Roman"/>
          <w:b/>
          <w:color w:val="1A2235"/>
        </w:rPr>
        <w:t>Summary Introduction</w:t>
      </w:r>
    </w:p>
    <w:p>
      <w:pPr>
        <w:pStyle w:val="Normal"/>
        <w:rPr>
          <w:rFonts w:hint="eastAsia"/>
        </w:rPr>
      </w:pPr>
      <w:r>
        <w:rPr>
          <w:rFonts w:ascii="Times New Roman" w:hAnsi="Times New Roman"/>
          <w:color w:val="222222"/>
        </w:rPr>
        <w:t>QueryBook is </w:t>
      </w:r>
      <w:r>
        <w:rPr>
          <w:rFonts w:ascii="Times New Roman" w:hAnsi="Times New Roman"/>
          <w:b/>
          <w:color w:val="222222"/>
        </w:rPr>
        <w:t>a</w:t>
      </w:r>
      <w:r>
        <w:rPr>
          <w:rFonts w:ascii="Times New Roman" w:hAnsi="Times New Roman"/>
          <w:color w:val="222222"/>
        </w:rPr>
        <w:t> new model of AI. It is a universal, deterministic, multimodal cognitive AI engine designed to transform how digital information is understood, navigated, and used. It is not a chatbot, not a language model, and not a statistical prediction system. Instead, QueryBook is a structured world-model engine built on atomic semantic units called Fact Units, a neuromorphic multi-level reasoning architecture, with predictive and Baconian adaptive response logic and intelligence within a flexible open framework capable of operating across any device, database, or content ecosystem. QueryBook serves as a universal cognitive layer that can bring life, responsive Q&amp;A to printed books, documents, product user manuals or media, or be embedded in enterprise systems, scientific datasets, multimodal media, and real-world environments, providing answers, cross-document reasoning, multimodal interpretation, and context-aware intelligence. Responses are tied to citation and ranked. QueryBook’s geometric graph based structure also provides for a powerful new industry capability for video and audio compression and expansion, plus 3D VR and colorization capability.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At its foundation, QueryBook uses Fact Units, which represent a new AI Primitive. They are atomic, language-independent meaning structures that store what something is, not how it was written. Unlike language models that store patterns of text, QueryBook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QueryBook’s world-model. These units behave structurally like cortical columns in the brain: stable containers of meaning whose participation in reasoning resembles neural activation, competition, and propagation. This architecture allows QueryBook to understand content deterministically, reason with precision, and avoid the hallucination problems common in probabilistic AI systems. These Fact Units reside on a unified fact substrate — the Unified Fact Cognitive Substrate (UFCS) — and are reached through a fact query language, FQL. Together, the Fact Unit, UFCS, and FQL form a novel foundation layer for graph computing: content-addressed fact records related on a graph, a hypergraph of relations binding three or more records as one multi-entity assertion, and directed reasoning chains, carried within certified, trust-scored envelopes, and queried jointly on structure and certification trust in a single operation. This foundation layer is the unique advantage beneath QueryBook — unifying structured representation, authority-certified trust, and query within one fabric — and QueryBook is built upon it, operating with or without it and gaining its advantages wherever it is connected.</w:t>
      </w:r>
      <w:r>
        <w:rPr>
          <w:rFonts w:ascii="Times New Roman" w:hAnsi="Times New Roman"/>
          <w:color w:val="222222"/>
        </w:rPr>
        <w:t xml:space="preserve"> See FIG. 2 and FIG. 19.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intelligence emerges from a neuromorphic, multi-nodal, multi-level cognitive architecture that mirrors human reasoning. It integrates perception, conceptual understanding, temporal reasoning, analogy formation, and predictive modeling into a unified cognitive substrate. This architecture allows QueryBook to interpret text, images, diagrams, audio, video, and spatial environments as coherent meaning structures. It can follow narratives, detect contradictions, align timelines, understand causal relationships, and synthesize meaning across multiple sources. QueryBook represents a new model of AI—one that is structural rather than statistical, conceptual rather than linguistic, and deterministic rather than probabilistic.</w:t>
      </w:r>
      <w:r>
        <w:rPr>
          <w:rFonts w:ascii="Times New Roman" w:hAnsi="Times New Roman"/>
          <w:color w:val="222222"/>
        </w:rPr>
        <w:t xml:space="preserve"> See FIG. 18.</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built on an open architecture that allows it to operate with any database management system, any content repository, and any e-reader platform. It does not require proprietary formats or specialized hardware. QueryBook can ingest ebooks, PDFs, documents, videos, tables, structured data, and volumetric scenes, converting them into Fact Units and integrating logic and reasoning with its world-view hypergraph system that builds conceptual models of the world. This open design allows QueryBook to be deployed in consumer reading environments, enterprise knowledge systems, scientific research platforms, educational ecosystems, multimodal media applications and robotic environments. Because QueryBook is not tied to a specific vendor or content type, it can serve as a universal cognitive layer across industries and devices.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range of applications begins with Ebook and multi-document Q&amp;A, where it provides deterministic answers, cross-chapter reasoning, contradiction detection, and multimodal explanation. It can operate offline on a smartphone or tablet, making it a portable knowledge engine for students, professionals, and general readers – a feature especially useful in locations where internet is not available.</w:t>
      </w:r>
      <w:r>
        <w:rPr>
          <w:rFonts w:ascii="Times New Roman" w:hAnsi="Times New Roman"/>
          <w:color w:val="222222"/>
        </w:rPr>
        <w:t xml:space="preserve"> See FIG. 48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multi-document environments, QueryBook becomes a cross-source reasoning engine capable of comparing texts, aligning timelines, detecting inconsistencies, and synthesizing meaning across diverse media.</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Search Engine: 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w:t>
      </w:r>
      <w:r>
        <w:rPr>
          <w:rFonts w:ascii="Times New Roman" w:hAnsi="Times New Roman"/>
          <w:color w:val="222222"/>
        </w:rPr>
        <w:t xml:space="preserve"> See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Specialized Private AI Systems: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Beyond reading and research, QueryBook can serve as a cognitive engine for data analysis, enterprise intelligence, scientific modeling, robotics, autonomous systems, and synthetic world-modeling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stable and non-hallucinogenic. It can analyze economic indicators, scientific datasets, medical information, engineering diagrams, and structured tables, providing deterministic interpretation and predictive insights.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addition 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 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color w:val="222222"/>
        </w:rPr>
        <w:t xml:space="preserve"> See FIG. 14.</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Cybersecurity and Defense, Including for Other AI Systems: 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cyber hacks, intrusions, credential attacks, and self-propagating AI worms.</w:t>
      </w:r>
      <w:r>
        <w:rPr>
          <w:rFonts w:ascii="Times New Roman" w:hAnsi="Times New Roman"/>
          <w:color w:val="222222"/>
        </w:rPr>
        <w:t xml:space="preserve"> See FIG. 10 and FIG. 11 and FIG. 52.</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Prime Directive is the governing safety and integrity rule that sits above all system behavior within QueryBook. It defines the non-overridable constraints that regulate ingestion, transformation, storage, retrieval, and user-facing output. All subsystems—semantic engines, rendering pipelines, ingestion templates, and rights-control layers—operate under its enforcement map.</w:t>
      </w:r>
      <w:r>
        <w:rPr>
          <w:rFonts w:ascii="Times New Roman" w:hAnsi="Times New Roman"/>
          <w:color w:val="222222"/>
        </w:rPr>
        <w:t xml:space="preserve"> See FIG. 1.</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integrates a dynamic, multi-layer DRM framework that governs access, duplication, distribution, and transformation rights across all content types. Unlike static DRM systems, QueryBook’s DRM is context-aware, role-aware, and event-driven, enabling granular control over how content is consumed, shared, or embedded across portals.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highly flexible in deployment. It can be micro-embedded into a smartphone, tablet, or wearable device, providing offline reasoning and multimodal interpretation. It can operate as a local application on a laptop or workstation, serving as a personal knowledge engine. It can be deployed as a cloud-based SaaS platform, supporting large-scale enterprise environments with millions of documents and complex workflows. It can also be integrated into industrial systems, scientific laboratories, medical environments, and autonomous platforms, where deterministic reasoning and multimodal understanding are essential.</w:t>
      </w:r>
      <w:r>
        <w:rPr>
          <w:rFonts w:ascii="Times New Roman" w:hAnsi="Times New Roman"/>
          <w:color w:val="222222"/>
        </w:rPr>
        <w:t xml:space="preserve"> See FIG. 12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can generate diagrams, tables, images, and spatial reconstructions directly from its Fact Unit graph. It can translate meaning across languages, summarize content, detect contradictions, align timelines, and provide multimodal explanations. Advanced users can employ QueryBook’s reasoning tools to perform scenario modeling, predictive analysis, and cross-domain synthesis. QueryBook’s interface adapts to user intent, providing ergonomic, context-aware responses that reflect cultural norms, social expectations, and user preferences.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architecture is designed for tailorability. Developers and organizations can customize its ontology, integrate domain-specific knowledge, define specialized reasoning rules, and embed QueryBook into existing workflows. Its modular design allows it to scale from small personal libraries to enterprise-wide knowledge systems. Because QueryBook stores meaning rather than text, it can adapt to new domains without retraining or statistical fine-tuning. Its deterministic reasoning ensures that answers remain stable across devices, sessions, and environments.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Advantages Over Other Technologies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system delivers clear, structural advantages compared to conventional storage-compute architectures and competing data-center technologies. These advantages emerge from density-optimized design, cost-efficient compute strategies, and reduced environmental and spatial overhead.</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1. Condensed Storage Density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By maximizing data density per module, the system stores significantly more information in a smaller physical volume than traditional storage arrays. This reduces rack count, simplifies scaling, and enables large deployments without proportional space expansion.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2. Lower-Cost Compute Infrastructure</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architecture leverages streamlined compute nodes and cost-efficient hardware configurations that maintain performance while reducing capital expenditure. Organizations can deploy more compute capacity for the same budget, improving ROI and enabling broader system adoption.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3. Reduced Electricity &amp; Cooling Requirements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Energy-efficient components and optimized thermal behavior lower both power draw and cooling demand. Compared to legacy systems, this results in measurable reductions in operational costs, less strain on HVAC infrastructure, and improved sustainability metrics.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4. Smaller Physical Footprint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High-density modules and compact system design allow large installations to operate within a dramatically smaller footprint. This advantage is especially critical in premium real-estate environments, colocation facilities, and hyperscale deployments where space efficiency directly impacts cost.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5. Integrated Efficiency Across the Stack</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Additional Fact Unit Related Capabilities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Fact Unit primitive</w:t>
      </w:r>
      <w:r>
        <w:rPr>
          <w:rFonts w:ascii="Times New Roman" w:hAnsi="Times New Roman"/>
          <w:b/>
          <w:color w:val="222222"/>
        </w:rPr>
        <w:t>, carried on the UFCS substrate and reached through FQL,</w:t>
      </w:r>
      <w:r>
        <w:rPr>
          <w:rFonts w:ascii="Times New Roman" w:hAnsi="Times New Roman"/>
          <w:color w:val="222222"/>
        </w:rPr>
        <w:t> enables a class of applications not available to any system storing knowledge at the language or pixel level:</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 Deterministic multi-language regeneration without per-language reingestion. This is possible because a Fact Unit stores meaning independently of any language: the same certified fact renders into any target language on demand, so a corpus is ingested once and regenerated in any language without a separate per-language pass, and citations stay aligned to the same underlying records across every language — a benefit no text- or token-based store can match.</w:t>
      </w:r>
      <w:r>
        <w:rPr>
          <w:rFonts w:ascii="Times New Roman" w:hAnsi="Times New Roman"/>
          <w:color w:val="222222"/>
        </w:rPr>
        <w:t xml:space="preserve"> See FIG. 15.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 Semantic compression and expansion of audio, video, and volumetric media with projected 90–99 percent size reduction relative to conventional codec output. Because the system stores the meaning of media rather than its pixels or waveforms and regenerates a surface representation on demand, only the compact semantic records travel or persist; the projected 90 to 99 percent reduction is stated as a projection pending measured validation, and the benefit is greatest for content whose value lies in its meaning rather than in an exact surface form.</w:t>
      </w:r>
      <w:r>
        <w:rPr>
          <w:rFonts w:ascii="Times New Roman" w:hAnsi="Times New Roman"/>
          <w:color w:val="222222"/>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 Deterministic video colorization from Fact Unit material property records. Color is derived from material-property facts rather than estimated by a generative model, so identical inputs produce identical colors and every colored region is traceable to the specific record that justified it; a region with no supporting record is left in its original form rather than plausibly guessed, which is what makes the result auditable and repeatable.</w:t>
      </w:r>
      <w:r>
        <w:rPr>
          <w:rFonts w:ascii="Times New Roman" w:hAnsi="Times New Roman"/>
          <w:color w:val="222222"/>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d. Three-dimensional and VR presentation grounded in the same Fact Graph that answers text questions. Because a spatial scene and a written answer are generated from the same Fact Graph, the two cannot diverge: what a user sees in three dimensions is grounded in exactly the same certified facts as what the user reads, giving immersive presentation the same provenance and non-hallucination guarantees as text.</w:t>
      </w:r>
      <w:r>
        <w:rPr>
          <w:rFonts w:ascii="Times New Roman" w:hAnsi="Times New Roman"/>
          <w:color w:val="222222"/>
        </w:rPr>
        <w:t xml:space="preserve"> See FIG. 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 A QueryBook-enhanced TCP/IP hybrid protocol carrying Fact Unit identifiers and provenance references alongside network payload data. Carrying Fact Unit identifiers and provenance in the protocol lets a receiving endpoint verify the identity, provenance, and confidence of transported content in-band, and lets already-held facts travel as compact references rather than repeated payloads, while a non-participating endpoint treats the traffic as ordinary network data — adding trust and efficiency without breaking compatibility.</w:t>
      </w:r>
      <w:r>
        <w:rPr>
          <w:rFonts w:ascii="Times New Roman" w:hAnsi="Times New Roman"/>
          <w:color w:val="222222"/>
        </w:rPr>
        <w:t xml:space="preserve"> See FIG. 17 and FIG. 55.</w:t>
      </w:r>
    </w:p>
    <w:p>
      <w:pPr>
        <w:pStyle w:val="Normal"/>
        <w:rPr>
          <w:rFonts w:ascii="Times New Roman" w:hAnsi="Times New Roman"/>
          <w:color w:val="222222"/>
        </w:rPr>
      </w:pPr>
      <w:r>
        <w:rPr>
          <w:rFonts w:ascii="Times New Roman" w:hAnsi="Times New Roman"/>
          <w:color w:val="222222"/>
        </w:rPr>
      </w:r>
    </w:p>
    <w:p>
      <w:pPr>
        <w:pStyle w:val="Normal"/>
        <w:rPr>
          <w:rFonts w:ascii="Times New Roman" w:hAnsi="Times New Roman"/>
          <w:color w:val="222222"/>
        </w:rPr>
      </w:pPr>
      <w:r>
        <w:rPr>
          <w:rFonts w:ascii="Times New Roman" w:hAnsi="Times New Roman"/>
          <w:color w:val="222222"/>
        </w:rPr>
        <w:t>In summary, QueryBook is a synthetic cortex and deterministic world-model engine built on atomic semantic units, neuromorphic reasoning, multimodal cognition, and an open, flexible architecture. It represents a new paradigm in AI—one that is structured, explainable, multimodal, and universally deployable. QueryBook transforms digital content into a coherent, navigable, intelligent world-model, enabling users to understand, explore, and apply knowledge with unprecedented clarity and precision. At its base, QueryBook rests on the Fact Unit, UFCS, and FQL foundation layer for graph computing, which supplies the content-addressed representation, certified-trust model, and joint structure-and-trust query on which every capability above is built.</w:t>
      </w:r>
    </w:p>
    <w:p>
      <w:pPr>
        <w:pStyle w:val="Normal"/>
        <w:rPr>
          <w:rFonts w:hint="eastAsia"/>
        </w:rPr>
      </w:pPr>
      <w:r>
        <w:rPr>
          <w:rFonts w:hint="eastAsia"/>
        </w:rPr>
      </w:r>
    </w:p>
    <w:p>
      <w:pPr>
        <w:pStyle w:val="Normal"/>
        <w:rPr>
          <w:rFonts w:hint="eastAsia"/>
        </w:rPr>
      </w:pPr>
      <w:r>
        <w:rPr>
          <w:rFonts w:ascii="Times New Roman" w:hAnsi="Times New Roman"/>
          <w:b/>
          <w:color w:val="1A2235"/>
          <w:highlight w:val="yellow"/>
        </w:rPr>
        <w:t>Extended Capabilities</w:t>
      </w:r>
    </w:p>
    <w:p>
      <w:pPr>
        <w:pStyle w:val="Normal"/>
        <w:rPr>
          <w:rFonts w:hint="eastAsia"/>
        </w:rPr>
      </w:pPr>
      <w:r>
        <w:rPr>
          <w:rFonts w:ascii="Times New Roman" w:hAnsi="Times New Roman"/>
          <w:color w:val="222222"/>
          <w:highlight w:val="yellow"/>
        </w:rPr>
        <w:t>QueryBook’s extended AI agent capabilities allow them to read files, call tools, and query other systems on people’s behalf. The additions keep the same rule as the rest of the system — nothing enters the answer path unverified, everything is recorded, and the record itself cannot be quietly altered:</w:t>
      </w:r>
    </w:p>
    <w:p>
      <w:pPr>
        <w:pStyle w:val="Normal"/>
        <w:rPr>
          <w:rFonts w:hint="eastAsia"/>
        </w:rPr>
      </w:pPr>
      <w:r>
        <w:rPr>
          <w:rFonts w:ascii="Times New Roman" w:hAnsi="Times New Roman"/>
          <w:color w:val="222222"/>
          <w:highlight w:val="yellow"/>
        </w:rPr>
        <w:t>1. Any-format ingestion (Open Claw). Files of any kind can be submitted. QueryBook identifies each file by its content, divides it into addressable pieces, and turns those pieces into Fact Units. Text hidden in a file to give orders to an AI is flagged and stored as untrusted, below the level at which it could affect an answer.</w:t>
      </w:r>
      <w:r>
        <w:rPr>
          <w:rFonts w:ascii="Times New Roman" w:hAnsi="Times New Roman"/>
          <w:color w:val="222222"/>
          <w:highlight w:val="yellow"/>
        </w:rPr>
        <w:t xml:space="preserve"> See FIG. 50.</w:t>
      </w:r>
    </w:p>
    <w:p>
      <w:pPr>
        <w:pStyle w:val="Normal"/>
        <w:rPr>
          <w:rFonts w:hint="eastAsia"/>
        </w:rPr>
      </w:pPr>
      <w:r>
        <w:rPr>
          <w:rFonts w:ascii="Times New Roman" w:hAnsi="Times New Roman"/>
          <w:color w:val="222222"/>
          <w:highlight w:val="yellow"/>
        </w:rPr>
        <w:t>2. Certificates anyone can check. A Fact Unit, a book, or an answer can optionally be certified on a public blockchain as a non-fungible token that records its content hash, what it derives from, and whether it has been revoked. Anyone holding the item can confirm it without access to QueryBook.</w:t>
      </w:r>
      <w:r>
        <w:rPr>
          <w:rFonts w:ascii="Times New Roman" w:hAnsi="Times New Roman"/>
          <w:color w:val="222222"/>
          <w:highlight w:val="yellow"/>
        </w:rPr>
        <w:t xml:space="preserve"> See FIG. 51.</w:t>
      </w:r>
    </w:p>
    <w:p>
      <w:pPr>
        <w:pStyle w:val="Normal"/>
        <w:rPr>
          <w:rFonts w:hint="eastAsia"/>
        </w:rPr>
      </w:pPr>
      <w:r>
        <w:rPr>
          <w:rFonts w:ascii="Times New Roman" w:hAnsi="Times New Roman"/>
          <w:color w:val="222222"/>
          <w:highlight w:val="yellow"/>
        </w:rPr>
        <w:t>3. Protection for QueryBook’s agents and for agents that use it. Every agent call passes one gateway. Traps that no legitimate caller would touch — reserved commands, fake credentials, reserved paths, and decoy agents — reveal hostile intent; a hostile caller is moved into a convincing decoy that has no route to real data, and everything it does is recorded.</w:t>
      </w:r>
      <w:r>
        <w:rPr>
          <w:rFonts w:ascii="Times New Roman" w:hAnsi="Times New Roman"/>
          <w:color w:val="222222"/>
          <w:highlight w:val="yellow"/>
        </w:rPr>
        <w:t xml:space="preserve"> See FIG. 52.</w:t>
      </w:r>
    </w:p>
    <w:p>
      <w:pPr>
        <w:pStyle w:val="Normal"/>
        <w:rPr>
          <w:rFonts w:hint="eastAsia"/>
        </w:rPr>
      </w:pPr>
      <w:r>
        <w:rPr>
          <w:rFonts w:ascii="Times New Roman" w:hAnsi="Times New Roman"/>
          <w:color w:val="222222"/>
          <w:highlight w:val="yellow"/>
        </w:rPr>
        <w:t>4. A security log that cannot be quietly changed. Security decisions are chained together and sealed in write-once checkpoints that can be copied to a second device and anchored on a blockchain, so any later alteration is detectable.</w:t>
      </w:r>
      <w:r>
        <w:rPr>
          <w:rFonts w:ascii="Times New Roman" w:hAnsi="Times New Roman"/>
          <w:color w:val="222222"/>
          <w:highlight w:val="yellow"/>
        </w:rPr>
        <w:t xml:space="preserve"> See FIG. 53.</w:t>
      </w:r>
    </w:p>
    <w:p>
      <w:pPr>
        <w:pStyle w:val="Normal"/>
        <w:rPr>
          <w:rFonts w:hint="eastAsia"/>
        </w:rPr>
      </w:pPr>
      <w:r>
        <w:rPr>
          <w:rFonts w:ascii="Times New Roman" w:hAnsi="Times New Roman"/>
          <w:color w:val="222222"/>
          <w:highlight w:val="yellow"/>
        </w:rPr>
        <w:t>5. Connection to outside AI agents. Agents such as OpenClaw connect through a standard Model Context Protocol tool server and receive only the tools on their allow-list, so connecting an agent never grants it more than QueryBook permits.</w:t>
      </w:r>
      <w:r>
        <w:rPr>
          <w:rFonts w:ascii="Times New Roman" w:hAnsi="Times New Roman"/>
          <w:color w:val="222222"/>
          <w:highlight w:val="yellow"/>
        </w:rPr>
        <w:t xml:space="preserve"> See FIG. 54.</w:t>
      </w:r>
    </w:p>
    <w:p>
      <w:pPr>
        <w:pStyle w:val="Normal"/>
        <w:rPr>
          <w:rFonts w:hint="eastAsia"/>
        </w:rPr>
      </w:pPr>
      <w:r>
        <w:rPr>
          <w:rFonts w:ascii="Times New Roman" w:hAnsi="Times New Roman"/>
          <w:color w:val="222222"/>
          <w:highlight w:val="yellow"/>
        </w:rPr>
        <w:t>6. Faster, provenance-carrying transport. Fact Units and media travel in checked and optionally signed frames on separate priority lanes over ordinary TCP/IP, so a question is never stuck behind a large file, and media can be rebuilt into standard streaming formats on arrival.</w:t>
      </w:r>
      <w:r>
        <w:rPr>
          <w:rFonts w:ascii="Times New Roman" w:hAnsi="Times New Roman"/>
          <w:color w:val="222222"/>
          <w:highlight w:val="yellow"/>
        </w:rPr>
        <w:t xml:space="preserve"> See FIG. 55.</w:t>
      </w:r>
    </w:p>
    <w:p>
      <w:pPr>
        <w:pStyle w:val="Normal"/>
        <w:rPr>
          <w:rFonts w:hint="eastAsia"/>
        </w:rPr>
      </w:pPr>
      <w:r>
        <w:rPr>
          <w:rFonts w:ascii="Times New Roman" w:hAnsi="Times New Roman"/>
          <w:color w:val="222222"/>
        </w:rPr>
        <w:t xml:space="preserve">7. Honest agent traffic. An AI agent is placed behind a sidecar that is its only route to the network. Each factual statement the agent sends is checked against certified Fact Units before it arrives, contradicted statements are blocked or labelled, each action is compared with the intent the agent declared, and each session ends with a certificate anyone can check. See FIG. 56 and FIG. 57.</w:t>
      </w:r>
    </w:p>
    <w:p>
      <w:pPr>
        <w:pStyle w:val="BodyText"/>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7" w:name="__RefHeading___Toc46820_805184229"/>
      <w:bookmarkEnd w:id="7"/>
      <w:r>
        <w:rPr>
          <w:rFonts w:ascii="Times New Roman" w:hAnsi="Times New Roman"/>
          <w:sz w:val="24"/>
          <w:szCs w:val="24"/>
        </w:rPr>
        <w:t>CORE TECHNOLOGY OVERVIEW</w:t>
      </w:r>
    </w:p>
    <w:p>
      <w:pPr>
        <w:pStyle w:val="Normal"/>
        <w:spacing w:before="60" w:after="20"/>
        <w:rPr>
          <w:rFonts w:hint="eastAsia"/>
        </w:rPr>
      </w:pPr>
      <w:r>
        <w:rPr>
          <w:rFonts w:ascii="Times New Roman" w:hAnsi="Times New Roman"/>
          <w:b/>
          <w:color w:val="1A2235"/>
        </w:rPr>
        <w:t>What QueryBook Is and Is Not</w:t>
      </w:r>
    </w:p>
    <w:p>
      <w:pPr>
        <w:pStyle w:val="Normal"/>
        <w:spacing w:before="0" w:after="60"/>
        <w:rPr>
          <w:rFonts w:hint="eastAsia"/>
        </w:rPr>
      </w:pPr>
      <w:r>
        <w:rPr>
          <w:rFonts w:ascii="Times New Roman" w:hAnsi="Times New Roman"/>
        </w:rPr>
        <w:t>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pStyle w:val="Normal"/>
        <w:spacing w:before="0" w:after="60"/>
        <w:rPr>
          <w:rFonts w:hint="eastAsia"/>
        </w:rPr>
      </w:pPr>
      <w:r>
        <w:rPr>
          <w:rFonts w:ascii="Times New Roman" w:hAnsi="Times New Roman"/>
        </w:rPr>
        <w:t>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pStyle w:val="Normal"/>
        <w:spacing w:before="0" w:after="60"/>
        <w:rPr>
          <w:rFonts w:hint="eastAsia"/>
        </w:rPr>
      </w:pPr>
      <w:r>
        <w:rPr>
          <w:rFonts w:ascii="Times New Roman" w:hAnsi="Times New Roman"/>
        </w:rPr>
        <w:t>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r>
        <w:rPr>
          <w:rFonts w:ascii="Times New Roman" w:hAnsi="Times New Roman"/>
        </w:rPr>
        <w:t xml:space="preserve"> See FIG. 2 and FIG. 19.</w:t>
      </w:r>
    </w:p>
    <w:p>
      <w:pPr>
        <w:pStyle w:val="Normal"/>
        <w:spacing w:before="0" w:after="60"/>
        <w:rPr>
          <w:rFonts w:hint="eastAsia"/>
        </w:rPr>
      </w:pPr>
      <w:r>
        <w:rPr>
          <w:rFonts w:ascii="Times New Roman" w:hAnsi="Times New Roman"/>
          <w:bCs/>
        </w:rPr>
        <w:t>The Fact Unit does not stand alone: it is the record of a foundation layer for graph computing formed together with the Unified Fact Cognitive Substrate (UFCS) and the Fact Query Language (FQL). UFCS is the substrate that stores, relates, and governs Fact Units — content-addressing each record by an identifier derived from its own meaning, merging a canonically identical assertion as corroboration rather than a duplicate, relating records through a graph of pairwise edges, a hypergraph binding three or more records as one multi-entity assertion, and directed reasoning chains, and detecting contradictions structurally — while FQL queries that substrate by filtering jointly on semantic structure and on certification trust, freshness, and status in a single operation and executing by a trust-native model in which trust is derived from authority, corroboration, and contradiction state, propagated along reasoning chains, and used to prune and rank rather than applied as a filter after the fact. This Fact Unit, UFCS, and FQL combination is itself the invention beneath QueryBook: a novel foundation layer on which graph-based AI systems can be built. Its benefit to future graph-based AI is that it supplies, as infrastructure, what such systems otherwise each rebuild — content-addressed identity, per-assertion certified trust, corroboration, structural contradiction handling, and a joint structure-and-trust query — so a graph-based AI built upon it inherits verifiable grounding, auditable provenance, and calibrated confidence by construction rather than by bolted-on convention, and QueryBook itself is one such system built upon it, operating with or without it and gaining its advantages wherever it is connected.</w:t>
      </w:r>
      <w:r>
        <w:rPr>
          <w:rFonts w:ascii="Times New Roman" w:hAnsi="Times New Roman"/>
          <w:bCs/>
        </w:rPr>
        <w:t xml:space="preserve"> See FIG. 3 and FIG. 4, FIG. 6 and FIG. 20–FIG. 22.</w:t>
      </w:r>
    </w:p>
    <w:p>
      <w:pPr>
        <w:pStyle w:val="Normal"/>
        <w:spacing w:before="0" w:after="60"/>
        <w:rPr>
          <w:rFonts w:hint="eastAsia"/>
        </w:rPr>
      </w:pPr>
      <w:r>
        <w:rPr>
          <w:rFonts w:ascii="Times New Roman" w:hAnsi="Times New Roman"/>
          <w:bCs/>
        </w:rPr>
        <w:t>Because meaning is stored below language in the Fact Unit and regenerated on demand, this same foundation layer yields a family of capabilities that are inventions in their own right: deterministic language translation and multi-language response generated from one language-independent Fact Graph without per-language re-ingestion; semantic compression that stores the meaning of audio, video, and volumetric media rather than its pixels or waveforms, with complementary expansion to any resolution, modality, or presentation form without a generational quality loss; deterministic, record-traceable colorization and three-dimensional and VR presentation grounded in the same Fact Graph that answers text questions; and a QueryBook-enhanced TCP/IP hybrid internet protocol that carries Fact Unit identifiers and provenance references alongside network payload data, so a receiving endpoint can verify the identity, provenance, and confidence of transported content in-band and already-held facts travel as compact references rather than repeated payloads, while a non-participating endpoint treats the traffic as ordinary network data. Each is a specified or projected advantage of the foundation layer; the quantitative compression and expansion figures stated later in this document are labeled as projections pending measured validation.</w:t>
      </w:r>
      <w:r>
        <w:rPr>
          <w:rFonts w:ascii="Times New Roman" w:hAnsi="Times New Roman"/>
          <w:bCs/>
        </w:rPr>
        <w:t xml:space="preserve"> See FIG. 15–FIG. 17.</w:t>
      </w:r>
    </w:p>
    <w:p>
      <w:pPr>
        <w:pStyle w:val="Normal"/>
        <w:spacing w:before="0" w:after="60"/>
        <w:rPr>
          <w:rFonts w:hint="eastAsia"/>
        </w:rPr>
      </w:pPr>
      <w:r>
        <w:rPr>
          <w:rFonts w:ascii="Times New Roman" w:hAnsi="Times New Roman"/>
        </w:rPr>
        <w:t>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pStyle w:val="Normal"/>
        <w:spacing w:before="0" w:after="60"/>
        <w:rPr>
          <w:rFonts w:hint="eastAsia"/>
        </w:rPr>
      </w:pPr>
      <w:r>
        <w:rPr>
          <w:rFonts w:ascii="Times New Roman" w:hAnsi="Times New Roman"/>
        </w:rPr>
        <w:t>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pStyle w:val="Normal"/>
        <w:spacing w:before="0" w:after="60"/>
        <w:rPr>
          <w:rFonts w:hint="eastAsia"/>
        </w:rPr>
      </w:pPr>
      <w:r>
        <w:rPr>
          <w:rFonts w:ascii="Times New Roman" w:hAnsi="Times New Roman"/>
        </w:rPr>
        <w:t>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r>
        <w:rPr>
          <w:rFonts w:ascii="Times New Roman" w:hAnsi="Times New Roman"/>
        </w:rPr>
        <w:t xml:space="preserve"> See FIG. 18.</w:t>
      </w:r>
    </w:p>
    <w:p>
      <w:pPr>
        <w:pStyle w:val="Normal"/>
        <w:spacing w:before="0" w:after="60"/>
        <w:rPr>
          <w:rFonts w:hint="eastAsia"/>
        </w:rPr>
      </w:pPr>
      <w:r>
        <w:rPr>
          <w:rFonts w:ascii="Times New Roman" w:hAnsi="Times New Roman"/>
        </w:rPr>
        <w:t>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pStyle w:val="Normal"/>
        <w:spacing w:before="0" w:after="60"/>
        <w:rPr>
          <w:rFonts w:hint="eastAsia"/>
        </w:rPr>
      </w:pPr>
      <w:r>
        <w:rPr>
          <w:rFonts w:ascii="Times New Roman" w:hAnsi="Times New Roman"/>
        </w:rPr>
        <w:t>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pStyle w:val="Normal"/>
        <w:spacing w:before="0" w:after="60"/>
        <w:rPr>
          <w:rFonts w:hint="eastAsia"/>
        </w:rPr>
      </w:pPr>
      <w:r>
        <w:rPr>
          <w:rFonts w:ascii="Times New Roman" w:hAnsi="Times New Roman"/>
        </w:rPr>
        <w:t>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r>
        <w:rPr>
          <w:rFonts w:ascii="Times New Roman" w:hAnsi="Times New Roman"/>
        </w:rPr>
        <w:t xml:space="preserve"> See FIG. 1.</w:t>
      </w:r>
    </w:p>
    <w:p>
      <w:pPr>
        <w:pStyle w:val="Normal"/>
        <w:spacing w:before="0" w:after="60"/>
        <w:rPr>
          <w:rFonts w:hint="eastAsia"/>
        </w:rPr>
      </w:pPr>
      <w:r>
        <w:rPr>
          <w:rFonts w:ascii="Times New Roman" w:hAnsi="Times New Roman"/>
        </w:rPr>
        <w:t>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Normal"/>
        <w:spacing w:before="60" w:after="20"/>
        <w:rPr>
          <w:rFonts w:hint="eastAsia"/>
        </w:rPr>
      </w:pPr>
      <w:r>
        <w:rPr>
          <w:rFonts w:ascii="Times New Roman" w:hAnsi="Times New Roman"/>
          <w:b/>
          <w:color w:val="1A2235"/>
        </w:rPr>
        <w:t>Comparative Advantages Over Agent Frameworks, RAG Pipelines, and Chatbot Systems</w:t>
      </w:r>
    </w:p>
    <w:p>
      <w:pPr>
        <w:pStyle w:val="Normal"/>
        <w:spacing w:before="0" w:after="60"/>
        <w:rPr>
          <w:rFonts w:hint="eastAsia"/>
        </w:rPr>
      </w:pPr>
      <w:r>
        <w:rPr>
          <w:rFonts w:ascii="Times New Roman" w:hAnsi="Times New Roman"/>
        </w:rPr>
        <w:t>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r>
        <w:rPr>
          <w:rFonts w:ascii="Times New Roman" w:hAnsi="Times New Roman"/>
        </w:rPr>
        <w:t xml:space="preserve"> See FIG. 22.</w:t>
      </w:r>
    </w:p>
    <w:p>
      <w:pPr>
        <w:pStyle w:val="Normal"/>
        <w:spacing w:before="0" w:after="60"/>
        <w:rPr>
          <w:rFonts w:hint="eastAsia"/>
        </w:rPr>
      </w:pPr>
      <w:r>
        <w:rPr>
          <w:rFonts w:ascii="Times New Roman" w:hAnsi="Times New Roman"/>
        </w:rPr>
        <w:t>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r>
        <w:rPr>
          <w:rFonts w:ascii="Times New Roman" w:hAnsi="Times New Roman"/>
        </w:rPr>
        <w:t xml:space="preserve"> See FIG. 7 and FIG. 12 and FIG. 13.</w:t>
      </w:r>
    </w:p>
    <w:p>
      <w:pPr>
        <w:pStyle w:val="Normal"/>
        <w:spacing w:before="60" w:after="20"/>
        <w:rPr>
          <w:rFonts w:hint="eastAsia"/>
        </w:rPr>
      </w:pPr>
      <w:r>
        <w:rPr>
          <w:rFonts w:ascii="Times New Roman" w:hAnsi="Times New Roman"/>
          <w:b/>
          <w:color w:val="1A2235"/>
        </w:rPr>
        <w:t>Conceptual AI: QueryBook’s Core Cognitive Engine</w:t>
      </w:r>
    </w:p>
    <w:p>
      <w:pPr>
        <w:pStyle w:val="Normal"/>
        <w:spacing w:before="0" w:after="60"/>
        <w:rPr>
          <w:rFonts w:hint="eastAsia"/>
        </w:rPr>
      </w:pPr>
      <w:r>
        <w:rPr>
          <w:rFonts w:ascii="Times New Roman" w:hAnsi="Times New Roman"/>
        </w:rPr>
        <w:t>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 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pStyle w:val="Normal"/>
        <w:spacing w:before="0" w:after="60"/>
        <w:rPr>
          <w:rFonts w:hint="eastAsia"/>
        </w:rPr>
      </w:pPr>
      <w:r>
        <w:rPr>
          <w:rFonts w:ascii="Times New Roman" w:hAnsi="Times New Roman"/>
          <w:bCs/>
        </w:rPr>
        <w:t>QueryBook’s Fact Units are also distinct from, and advantaged over, the other below-language methods of information storage to which they might be compared. A vector embedding encodes semantic proximity but does not retain the asserted proposition, its source, its confidence, or the reason for the proximity, and cannot be decomposed into auditable components; an RDF triple shares atomic, language-independent structure but carries no native confidence model, no temporal decay, no diversity-weighted evidence, and no cryptographically verifiable provenance; a sparse distributed representation supports efficient associative recall but carries no explicit provenance, supports no structured traversal of semantic lineage, and cannot express exception logic. The Fact Unit combines, in a single atomic record, the language-independent semantic fingerprint of the embedding, the structured relations of the triple, and the associative behaviour of the sparse representation, and adds, beyond all three, a diversity-weighted evidence-pair confidence, a domain-specific temporal decay, an exception model, and a cryptographically verifiable provenance chain — which is why a Fact Unit can ground an answer verifiably where the others can only make one more or less likely. This combination is what qualifies the Fact Unit, UFCS, and FQL together as a below-language foundation layer for graph computing rather than merely another storage format.</w:t>
      </w:r>
    </w:p>
    <w:p>
      <w:pPr>
        <w:pStyle w:val="Normal"/>
        <w:spacing w:before="0" w:after="60"/>
        <w:rPr>
          <w:rFonts w:hint="eastAsia"/>
        </w:rPr>
      </w:pPr>
      <w:r>
        <w:rPr>
          <w:rFonts w:ascii="Times New Roman" w:hAnsi="Times New Roman"/>
        </w:rPr>
        <w:t>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r>
        <w:rPr>
          <w:rFonts w:ascii="Times New Roman" w:hAnsi="Times New Roman"/>
        </w:rPr>
        <w:t xml:space="preserve"> See FIG. 19.</w:t>
      </w:r>
    </w:p>
    <w:p>
      <w:pPr>
        <w:pStyle w:val="Normal"/>
        <w:spacing w:before="0" w:after="60"/>
        <w:rPr>
          <w:rFonts w:hint="eastAsia"/>
        </w:rPr>
      </w:pPr>
      <w:r>
        <w:rPr>
          <w:rFonts w:ascii="Times New Roman" w:hAnsi="Times New Roman"/>
        </w:rPr>
        <w:t>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Normal"/>
        <w:spacing w:before="60" w:after="20"/>
        <w:rPr>
          <w:rFonts w:hint="eastAsia"/>
        </w:rPr>
      </w:pPr>
      <w:r>
        <w:rPr>
          <w:rFonts w:ascii="Times New Roman" w:hAnsi="Times New Roman"/>
          <w:b/>
          <w:color w:val="1A2235"/>
        </w:rPr>
        <w:t>The QueryBook World-View Model</w:t>
      </w:r>
    </w:p>
    <w:p>
      <w:pPr>
        <w:pStyle w:val="Normal"/>
        <w:spacing w:before="0" w:after="60"/>
        <w:rPr>
          <w:rFonts w:hint="eastAsia"/>
        </w:rPr>
      </w:pPr>
      <w:r>
        <w:rPr>
          <w:rFonts w:ascii="Times New Roman" w:hAnsi="Times New Roman"/>
        </w:rPr>
        <w:t>The World-View Model is a repository for hypergraph concept models of objects, states, transitions, physics, and tasks. It stores how the world works while erasing the specific situations or events from which the concepts were originally learned.,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pStyle w:val="Normal"/>
        <w:spacing w:before="0" w:after="60"/>
        <w:rPr>
          <w:rFonts w:hint="eastAsia"/>
        </w:rPr>
      </w:pPr>
      <w:r>
        <w:rPr>
          <w:rFonts w:ascii="Times New Roman" w:hAnsi="Times New Roman"/>
          <w:bCs/>
        </w:rPr>
        <w:t xml:space="preserve">To be precise about the distinction, since it is easily misstated: the World-View Model is not composed of Fact Units. Fact Units are atomic, provenance-tracked facts — the specific assertions; the World-View Model stores concepts, schemas, rules, and models of how the world works, abstracted from many facts and retaining no specific originating situation. Fact Units populate and are explained by the World-View Model, but the two are structurally separate stores: the facts on one side, and the understanding of how those facts behave on the other. </w:t>
      </w:r>
    </w:p>
    <w:p>
      <w:pPr>
        <w:pStyle w:val="Normal"/>
        <w:spacing w:before="0" w:after="60"/>
        <w:rPr>
          <w:rFonts w:hint="eastAsia"/>
        </w:rPr>
      </w:pPr>
      <w:r>
        <w:rPr>
          <w:rFonts w:ascii="Times New Roman" w:hAnsi="Times New Roman"/>
        </w:rPr>
        <w:t>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pStyle w:val="Normal"/>
        <w:spacing w:before="0" w:after="60"/>
        <w:rPr>
          <w:rFonts w:hint="eastAsia"/>
        </w:rPr>
      </w:pPr>
      <w:r>
        <w:rPr>
          <w:rFonts w:ascii="Times New Roman" w:hAnsi="Times New Roman"/>
        </w:rPr>
        <w:t>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r>
        <w:rPr>
          <w:rFonts w:ascii="Times New Roman" w:hAnsi="Times New Roman"/>
          <w:b/>
        </w:rPr>
        <w:t xml:space="preserve"> </w:t>
      </w:r>
      <w:r>
        <w:rPr>
          <w:rFonts w:ascii="Times New Roman" w:hAnsi="Times New Roman"/>
          <w:bCs/>
        </w:rPr>
        <w:t>Cultural values, social norms, ergonomic expectations, and contextual appropriateness are also stored within the World-View Model as learned conceptual structures, formed through the same concept-formation path that builds the physical and causal models, rather than in a separate subsystem; earlier constructions treated them as a separate store, and with the World-View Model in place that capability is now contributed by, and consolidated within, the World-View Model. They influence how Fact Units activate and how meaning is interpreted, but they never alter a Fact Unit’s content and never override the interpretive discipline just stated.</w:t>
      </w:r>
    </w:p>
    <w:p>
      <w:pPr>
        <w:pStyle w:val="Normal"/>
        <w:spacing w:before="0" w:after="60"/>
        <w:rPr>
          <w:rFonts w:hint="eastAsia"/>
        </w:rPr>
      </w:pPr>
      <w:r>
        <w:rPr>
          <w:rFonts w:ascii="Times New Roman" w:hAnsi="Times New Roman"/>
        </w:rPr>
        <w:t>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Normal"/>
        <w:spacing w:before="60" w:after="20"/>
        <w:rPr>
          <w:rFonts w:hint="eastAsia"/>
        </w:rPr>
      </w:pPr>
      <w:r>
        <w:rPr>
          <w:rFonts w:ascii="Times New Roman" w:hAnsi="Times New Roman"/>
          <w:b/>
          <w:color w:val="1A2235"/>
        </w:rPr>
        <w:t>QueryBook’s Cognitive AI — Adding Human-Like Reasoning</w:t>
      </w:r>
    </w:p>
    <w:p>
      <w:pPr>
        <w:pStyle w:val="Normal"/>
        <w:spacing w:before="0" w:after="60"/>
        <w:rPr>
          <w:rFonts w:hint="eastAsia"/>
        </w:rPr>
      </w:pPr>
      <w:r>
        <w:rPr>
          <w:rFonts w:ascii="Times New Roman" w:hAnsi="Times New Roman"/>
        </w:rPr>
        <w:t>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pStyle w:val="Normal"/>
        <w:spacing w:before="0" w:after="60"/>
        <w:rPr>
          <w:rFonts w:hint="eastAsia"/>
        </w:rPr>
      </w:pPr>
      <w:r>
        <w:rPr>
          <w:rFonts w:ascii="Times New Roman" w:hAnsi="Times New Roman"/>
        </w:rPr>
        <w:t>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r>
        <w:rPr>
          <w:rFonts w:ascii="Times New Roman" w:hAnsi="Times New Roman"/>
        </w:rPr>
        <w:t xml:space="preserve"> See FIG. 18.</w:t>
      </w:r>
    </w:p>
    <w:p>
      <w:pPr>
        <w:pStyle w:val="Normal"/>
        <w:spacing w:before="0" w:after="60"/>
        <w:rPr>
          <w:rFonts w:hint="eastAsia"/>
        </w:rPr>
      </w:pPr>
      <w:r>
        <w:rPr>
          <w:rFonts w:ascii="Times New Roman" w:hAnsi="Times New Roman"/>
        </w:rPr>
        <w:t>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pStyle w:val="Normal"/>
        <w:spacing w:before="0" w:after="60"/>
        <w:rPr>
          <w:rFonts w:hint="eastAsia"/>
        </w:rPr>
      </w:pPr>
      <w:r>
        <w:rPr>
          <w:rFonts w:ascii="Times New Roman" w:hAnsi="Times New Roman"/>
        </w:rPr>
        <w:t>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pStyle w:val="Normal"/>
        <w:spacing w:before="0" w:after="60"/>
        <w:rPr>
          <w:rFonts w:hint="eastAsia"/>
        </w:rPr>
      </w:pPr>
      <w:r>
        <w:rPr>
          <w:rFonts w:ascii="Times New Roman" w:hAnsi="Times New Roman"/>
        </w:rPr>
        <w:t>These additions provide reasoning, prediction, and adaptability to QueryBook’s cognitive structure.</w:t>
      </w:r>
    </w:p>
    <w:p>
      <w:pPr>
        <w:pStyle w:val="Normal"/>
        <w:spacing w:before="60" w:after="20"/>
        <w:rPr>
          <w:rFonts w:hint="eastAsia"/>
        </w:rPr>
      </w:pPr>
      <w:r>
        <w:rPr>
          <w:rFonts w:ascii="Times New Roman" w:hAnsi="Times New Roman"/>
          <w:b/>
          <w:color w:val="1A2235"/>
        </w:rPr>
        <w:t>QueryBook’s Integrative Intelligence Additions</w:t>
      </w:r>
    </w:p>
    <w:p>
      <w:pPr>
        <w:pStyle w:val="Normal"/>
        <w:spacing w:before="0" w:after="60"/>
        <w:rPr>
          <w:rFonts w:hint="eastAsia"/>
        </w:rPr>
      </w:pPr>
      <w:r>
        <w:rPr>
          <w:rFonts w:ascii="Times New Roman" w:hAnsi="Times New Roman"/>
        </w:rPr>
        <w:t>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pStyle w:val="Normal"/>
        <w:spacing w:before="0" w:after="60"/>
        <w:rPr>
          <w:rFonts w:hint="eastAsia"/>
        </w:rPr>
      </w:pPr>
      <w:r>
        <w:rPr>
          <w:rFonts w:ascii="Times New Roman" w:hAnsi="Times New Roman"/>
        </w:rPr>
        <w:t>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Autonomous Cognitive Evolution Under Governance</w:t>
      </w:r>
    </w:p>
    <w:p>
      <w:pPr>
        <w:pStyle w:val="Normal"/>
        <w:spacing w:before="0" w:after="60"/>
        <w:rPr>
          <w:rFonts w:hint="eastAsia"/>
        </w:rPr>
      </w:pPr>
      <w:r>
        <w:rPr>
          <w:rFonts w:ascii="Times New Roman" w:hAnsi="Times New Roman"/>
        </w:rPr>
        <w:t>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Normal"/>
        <w:spacing w:before="60" w:after="20"/>
        <w:rPr>
          <w:rFonts w:hint="eastAsia"/>
        </w:rPr>
      </w:pPr>
      <w:r>
        <w:rPr>
          <w:rFonts w:ascii="Times New Roman" w:hAnsi="Times New Roman"/>
          <w:b/>
          <w:color w:val="1A2235"/>
        </w:rPr>
        <w:t>QueryBook’s Self-Monitoring and Internal Controls</w:t>
      </w:r>
    </w:p>
    <w:p>
      <w:pPr>
        <w:pStyle w:val="Normal"/>
        <w:spacing w:before="0" w:after="60"/>
        <w:rPr>
          <w:rFonts w:hint="eastAsia"/>
        </w:rPr>
      </w:pPr>
      <w:r>
        <w:rPr>
          <w:rFonts w:ascii="Times New Roman" w:hAnsi="Times New Roman"/>
        </w:rPr>
        <w:t>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pStyle w:val="Normal"/>
        <w:spacing w:before="0" w:after="60"/>
        <w:rPr>
          <w:rFonts w:hint="eastAsia"/>
        </w:rPr>
      </w:pPr>
      <w:r>
        <w:rPr>
          <w:rFonts w:ascii="Times New Roman" w:hAnsi="Times New Roman"/>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Normal"/>
        <w:spacing w:before="60" w:after="20"/>
        <w:rPr>
          <w:rFonts w:hint="eastAsia"/>
        </w:rPr>
      </w:pPr>
      <w:r>
        <w:rPr>
          <w:rFonts w:ascii="Times New Roman" w:hAnsi="Times New Roman"/>
          <w:b/>
          <w:color w:val="1A2235"/>
        </w:rPr>
        <w:t>Digital Rights</w:t>
      </w:r>
    </w:p>
    <w:p>
      <w:pPr>
        <w:pStyle w:val="Normal"/>
        <w:spacing w:before="0" w:after="60"/>
        <w:rPr>
          <w:rFonts w:hint="eastAsia"/>
        </w:rPr>
      </w:pPr>
      <w:r>
        <w:rPr>
          <w:rFonts w:ascii="Times New Roman" w:hAnsi="Times New Roman"/>
        </w:rPr>
        <w:t>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Normal"/>
        <w:spacing w:before="60" w:after="20"/>
        <w:rPr>
          <w:rFonts w:hint="eastAsia"/>
        </w:rPr>
      </w:pPr>
      <w:r>
        <w:rPr>
          <w:rFonts w:ascii="Times New Roman" w:hAnsi="Times New Roman"/>
          <w:b/>
          <w:color w:val="1A2235"/>
        </w:rPr>
        <w:t>Encryption and Data Protection</w:t>
      </w:r>
    </w:p>
    <w:p>
      <w:pPr>
        <w:pStyle w:val="Normal"/>
        <w:spacing w:before="0" w:after="60"/>
        <w:rPr>
          <w:rFonts w:hint="eastAsia"/>
        </w:rPr>
      </w:pPr>
      <w:r>
        <w:rPr>
          <w:rFonts w:ascii="Times New Roman" w:hAnsi="Times New Roman"/>
        </w:rPr>
        <w:t>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r>
        <w:rPr>
          <w:rFonts w:ascii="Times New Roman" w:hAnsi="Times New Roman"/>
        </w:rPr>
        <w:t xml:space="preserve"> See FIG. 9.</w:t>
      </w:r>
    </w:p>
    <w:p>
      <w:pPr>
        <w:pStyle w:val="Normal"/>
        <w:spacing w:before="0" w:after="60"/>
        <w:rPr>
          <w:rFonts w:hint="eastAsia"/>
        </w:rPr>
      </w:pPr>
      <w:r>
        <w:rPr>
          <w:rFonts w:ascii="Times New Roman" w:hAnsi="Times New Roman"/>
          <w:bCs/>
        </w:rPr>
        <w:t>Beyond encryption, QueryBook incorporates a multi-layer cyber-security and defense system that operates across proactive, reactive, pre-emptive, counter, offensive, and deceptive postures. It includes an AI Attack Prediction Engine that anticipates threat activity, Universal Honeypot Saturation with a configurable infinite-apparent-volume Data Firehose that occupies and maps an intruder, and a multi-layer AI Worm Defense Architecture with a sixty-second automated kill switch that isolates a compromised agent, revokes its credentials, and quarantines contacted hosts. Its integrity layer is post-quantum: the provenance ledger’s block signatures use a composite of a classical scheme and a post-quantum scheme, so the derivation chain remains verifiable against an adversary equipped with a quantum computer and the trust chain survives the anticipated failure of conventional public-key cryptography. Because this defense architecture is structured independently of QueryBook’s knowledge functions, its potential extends beyond QueryBook itself: it can be deployed to protect other AI systems — large language model servers, agent frameworks, and inference infrastructure — against cyber hacks, intrusions, credential attacks, and self-propagating AI worms, giving the cyber-security architecture value as a standalone protective layer for the wider AI ecosystem.</w:t>
      </w:r>
      <w:r>
        <w:rPr>
          <w:rFonts w:ascii="Times New Roman" w:hAnsi="Times New Roman"/>
          <w:bCs/>
        </w:rPr>
        <w:t xml:space="preserve"> See FIG. 10 and FIG. 11.</w:t>
      </w:r>
    </w:p>
    <w:p>
      <w:pPr>
        <w:pStyle w:val="Normal"/>
        <w:spacing w:before="60" w:after="20"/>
        <w:rPr>
          <w:rFonts w:hint="eastAsia"/>
        </w:rPr>
      </w:pPr>
      <w:r>
        <w:rPr>
          <w:rFonts w:ascii="Times New Roman" w:hAnsi="Times New Roman"/>
          <w:b/>
          <w:color w:val="1A2235"/>
        </w:rPr>
        <w:t>QueryBook Query Response</w:t>
      </w:r>
    </w:p>
    <w:p>
      <w:pPr>
        <w:pStyle w:val="Normal"/>
        <w:spacing w:before="0" w:after="60"/>
        <w:rPr>
          <w:rFonts w:hint="eastAsia"/>
        </w:rPr>
      </w:pPr>
      <w:r>
        <w:rPr>
          <w:rFonts w:ascii="Times New Roman" w:hAnsi="Times New Roman"/>
        </w:rPr>
        <w:t>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r>
        <w:rPr>
          <w:rFonts w:ascii="Times New Roman" w:hAnsi="Times New Roman"/>
        </w:rPr>
        <w:t xml:space="preserve"> See FIG. 13 and FIG. 48.</w:t>
      </w:r>
    </w:p>
    <w:p>
      <w:pPr>
        <w:pStyle w:val="Normal"/>
        <w:spacing w:before="0" w:after="60"/>
        <w:rPr>
          <w:rFonts w:hint="eastAsia"/>
        </w:rPr>
      </w:pPr>
      <w:r>
        <w:rPr>
          <w:rFonts w:ascii="Times New Roman" w:hAnsi="Times New Roman"/>
        </w:rPr>
        <w:t>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Normal"/>
        <w:spacing w:before="60" w:after="20"/>
        <w:rPr>
          <w:rFonts w:hint="eastAsia"/>
        </w:rPr>
      </w:pPr>
      <w:r>
        <w:rPr>
          <w:rFonts w:ascii="Times New Roman" w:hAnsi="Times New Roman"/>
          <w:b/>
          <w:color w:val="1A2235"/>
        </w:rPr>
        <w:t>QueryBook Applications</w:t>
      </w:r>
    </w:p>
    <w:p>
      <w:pPr>
        <w:pStyle w:val="Normal"/>
        <w:spacing w:lineRule="auto" w:line="312" w:before="0" w:after="160"/>
        <w:jc w:val="both"/>
        <w:rPr>
          <w:rFonts w:hint="eastAsia"/>
        </w:rPr>
      </w:pPr>
      <w:r>
        <w:rPr>
          <w:rFonts w:ascii="Times New Roman" w:hAnsi="Times New Roman"/>
        </w:rPr>
        <w:t xml:space="preserve">QueryBook supports a wide range of applications. </w:t>
      </w:r>
      <w:r>
        <w:rPr>
          <w:rFonts w:ascii="Times New Roman" w:hAnsi="Times New Roman"/>
          <w:b/>
          <w:bCs/>
        </w:rPr>
        <w:t>First,</w:t>
      </w:r>
      <w:r>
        <w:rPr>
          <w:rFonts w:ascii="Times New Roman" w:hAnsi="Times New Roman"/>
        </w:rPr>
        <w:t xml:space="preserve">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rFonts w:ascii="Times New Roman" w:hAnsi="Times New Roman"/>
          <w:b/>
          <w:bCs/>
        </w:rPr>
        <w:t>Second,</w:t>
      </w:r>
      <w:r>
        <w:rPr>
          <w:rFonts w:ascii="Times New Roman" w:hAnsi="Times New Roman"/>
        </w:rPr>
        <w:t xml:space="preserve">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w:t>
      </w:r>
      <w:r>
        <w:rPr>
          <w:rFonts w:ascii="Times New Roman" w:hAnsi="Times New Roman"/>
          <w:b/>
          <w:bCs/>
        </w:rPr>
        <w:t>Third</w:t>
      </w:r>
      <w:r>
        <w:rPr>
          <w:rFonts w:ascii="Times New Roman" w:hAnsi="Times New Roman"/>
        </w:rPr>
        <w:t>, QueryBook supports autonomous agents (see Agent Section Below),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r>
        <w:rPr>
          <w:rFonts w:ascii="Times New Roman" w:hAnsi="Times New Roman"/>
          <w:b/>
          <w:bCs/>
        </w:rPr>
        <w:t xml:space="preserve"> Four</w:t>
      </w:r>
      <w:r>
        <w:rPr>
          <w:rFonts w:ascii="Times New Roman" w:hAnsi="Times New Roman"/>
        </w:rPr>
        <w:t xml:space="preserve">, Search Engine: </w:t>
      </w:r>
      <w:r>
        <w:rPr>
          <w:rFonts w:ascii="Times New Roman" w:hAnsi="Times New Roman"/>
          <w:bCs/>
        </w:rPr>
        <w:t xml:space="preserve">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 </w:t>
      </w:r>
      <w:r>
        <w:rPr>
          <w:rFonts w:ascii="Times New Roman" w:hAnsi="Times New Roman"/>
          <w:b/>
        </w:rPr>
        <w:t>Five:</w:t>
      </w:r>
      <w:r>
        <w:rPr>
          <w:rFonts w:ascii="Times New Roman" w:hAnsi="Times New Roman"/>
          <w:bCs/>
        </w:rPr>
        <w:t xml:space="preserve"> Specialized AI System: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r>
        <w:rPr>
          <w:rFonts w:ascii="Times New Roman" w:hAnsi="Times New Roman"/>
          <w:b/>
        </w:rPr>
        <w:t xml:space="preserve"> Six</w:t>
      </w:r>
      <w:r>
        <w:rPr>
          <w:rFonts w:ascii="Times New Roman" w:hAnsi="Times New Roman"/>
          <w:bCs/>
        </w:rPr>
        <w:t xml:space="preserve">, </w:t>
      </w:r>
      <w:r>
        <w:rPr>
          <w:rFonts w:ascii="Times New Roman" w:hAnsi="Times New Roman"/>
        </w:rPr>
        <w:t xml:space="preserve">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 </w:t>
      </w:r>
      <w:r>
        <w:rPr>
          <w:rFonts w:ascii="Times New Roman" w:hAnsi="Times New Roman"/>
          <w:b/>
          <w:bCs/>
        </w:rPr>
        <w:t>Seven:</w:t>
      </w:r>
      <w:r>
        <w:rPr>
          <w:bCs/>
        </w:rPr>
        <w:t xml:space="preserve"> </w:t>
      </w:r>
      <w:r>
        <w:rPr>
          <w:rFonts w:ascii="Times New Roman" w:hAnsi="Times New Roman"/>
        </w:rPr>
        <w:t>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w:t>
      </w:r>
      <w:r>
        <w:rPr>
          <w:rFonts w:ascii="Times New Roman" w:hAnsi="Times New Roman"/>
        </w:rPr>
        <w:t xml:space="preserve"> See FIG. 48 and FIG. 49.</w:t>
      </w:r>
    </w:p>
    <w:p>
      <w:pPr>
        <w:pStyle w:val="Normal"/>
        <w:spacing w:lineRule="auto" w:line="312" w:before="0" w:after="160"/>
        <w:jc w:val="both"/>
        <w:rPr>
          <w:rFonts w:hint="eastAsia"/>
        </w:rPr>
      </w:pPr>
      <w:r>
        <w:rPr>
          <w:rFonts w:ascii="Times New Roman" w:hAnsi="Times New Roman"/>
          <w:b/>
          <w:bCs/>
        </w:rPr>
        <w:t xml:space="preserve">Eight: </w:t>
      </w:r>
      <w:r>
        <w:rPr>
          <w:rFonts w:ascii="Times New Roman" w:hAnsi="Times New Roman"/>
        </w:rPr>
        <w:t>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rPr>
        <w:t xml:space="preserve"> See FIG. 7 and FIG. 49.</w:t>
      </w:r>
    </w:p>
    <w:p>
      <w:pPr>
        <w:pStyle w:val="Normal"/>
        <w:spacing w:before="0" w:after="20"/>
        <w:rPr>
          <w:rFonts w:hint="eastAsia"/>
        </w:rPr>
      </w:pPr>
      <w:r>
        <w:rPr>
          <w:rFonts w:ascii="Times New Roman" w:hAnsi="Times New Roman"/>
          <w:b/>
          <w:color w:val="1A2235"/>
        </w:rPr>
        <w:t>Architectural Extensions</w:t>
      </w:r>
    </w:p>
    <w:p>
      <w:pPr>
        <w:pStyle w:val="Normal"/>
        <w:spacing w:before="0" w:after="60"/>
        <w:rPr>
          <w:rFonts w:hint="eastAsia"/>
        </w:rPr>
      </w:pPr>
      <w:r>
        <w:rPr>
          <w:rFonts w:ascii="Times New Roman" w:hAnsi="Times New Roman"/>
        </w:rPr>
        <w:t>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r>
        <w:rPr>
          <w:rFonts w:ascii="Times New Roman" w:hAnsi="Times New Roman"/>
        </w:rPr>
        <w:t xml:space="preserve"> See FIG. 15.</w:t>
      </w:r>
    </w:p>
    <w:p>
      <w:pPr>
        <w:pStyle w:val="Normal"/>
        <w:spacing w:before="0" w:after="60"/>
        <w:rPr>
          <w:rFonts w:hint="eastAsia"/>
        </w:rPr>
      </w:pPr>
      <w:r>
        <w:rPr>
          <w:rFonts w:ascii="Times New Roman" w:hAnsi="Times New Roman"/>
        </w:rPr>
        <w:t>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r>
        <w:rPr>
          <w:rFonts w:ascii="Times New Roman" w:hAnsi="Times New Roman"/>
        </w:rPr>
        <w:t xml:space="preserve"> See FIG. 16.</w:t>
      </w:r>
    </w:p>
    <w:p>
      <w:pPr>
        <w:pStyle w:val="Normal"/>
        <w:spacing w:before="0" w:after="60"/>
        <w:rPr>
          <w:rFonts w:hint="eastAsia"/>
        </w:rPr>
      </w:pPr>
      <w:r>
        <w:rPr>
          <w:rFonts w:ascii="Times New Roman" w:hAnsi="Times New Roman"/>
          <w:bCs/>
        </w:rPr>
        <w:t>These architectural extensions — deterministic translation and multi-language regeneration, semantic compression and expansion, colorization, three-dimensional and VR reconstruction, and the external-engine and connector pathways — are together enabled by, and are further applications of, the Fact Unit, UFCS, and FQL foundation layer: each works because meaning is stored once as content-addressed, provenance-carrying records and regenerated on demand, rather than being captured at a fixed surface form. The same foundation additionally specifies a QueryBook-enhanced TCP/IP hybrid internet protocol, in which a standard network packet carries an optional, backward-compatible semantic header holding a Fact Unit identifier, a provenance reference, and a confidence, so that a semantic-aware endpoint verifies the identity, provenance, and confidence of transported content in-band and lets already-held facts travel as compact references rather than repeated payloads, while a non-participating endpoint treats the packet as ordinary TCP/IP without degradation — extending the foundation layer’s verifiable, deduplicated, trust-carrying transport from storage and query out onto the network itself.</w:t>
      </w:r>
    </w:p>
    <w:p>
      <w:pPr>
        <w:pStyle w:val="Normal"/>
        <w:spacing w:before="60" w:after="20"/>
        <w:rPr>
          <w:rFonts w:hint="eastAsia"/>
        </w:rPr>
      </w:pPr>
      <w:r>
        <w:rPr>
          <w:rFonts w:ascii="Times New Roman" w:hAnsi="Times New Roman"/>
          <w:b/>
          <w:color w:val="1A2235"/>
        </w:rPr>
        <w:t>Specialized Live Data Feeds</w:t>
      </w:r>
    </w:p>
    <w:p>
      <w:pPr>
        <w:pStyle w:val="Normal"/>
        <w:spacing w:before="0" w:after="60"/>
        <w:rPr>
          <w:rFonts w:hint="eastAsia"/>
        </w:rPr>
      </w:pPr>
      <w:r>
        <w:rPr>
          <w:rFonts w:ascii="Times New Roman" w:hAnsi="Times New Roman"/>
        </w:rPr>
        <w:t>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Normal"/>
        <w:spacing w:before="60" w:after="20"/>
        <w:rPr>
          <w:rFonts w:hint="eastAsia"/>
        </w:rPr>
      </w:pPr>
      <w:r>
        <w:rPr>
          <w:rFonts w:ascii="Times New Roman" w:hAnsi="Times New Roman"/>
          <w:b/>
          <w:color w:val="1A2235"/>
        </w:rPr>
        <w:t xml:space="preserve">Media Transformation: Compression, Expansion, Colorization and Restoration </w:t>
      </w:r>
    </w:p>
    <w:p>
      <w:pPr>
        <w:pStyle w:val="Normal"/>
        <w:spacing w:before="0" w:after="60"/>
        <w:rPr>
          <w:rFonts w:hint="eastAsia"/>
        </w:rPr>
      </w:pPr>
      <w:r>
        <w:rPr>
          <w:rFonts w:ascii="Times New Roman" w:hAnsi="Times New Roman"/>
        </w:rPr>
        <w:t>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color value is inferred only from a material property asserted by an admitted record, computed deterministically so identical inputs yield an identical value, and traceable to the specific record from which it was derived; a color for which no record supports an inference is not assigned, the region being delivered uncoloured rather than plausibly colored.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r>
        <w:rPr>
          <w:rFonts w:ascii="Times New Roman" w:hAnsi="Times New Roman"/>
        </w:rPr>
        <w:t xml:space="preserve"> See FIG. 16.</w:t>
      </w:r>
    </w:p>
    <w:p>
      <w:pPr>
        <w:pStyle w:val="Normal"/>
        <w:spacing w:before="60" w:after="20"/>
        <w:rPr>
          <w:rFonts w:hint="eastAsia"/>
        </w:rPr>
      </w:pPr>
      <w:r>
        <w:rPr>
          <w:rFonts w:ascii="Times New Roman" w:hAnsi="Times New Roman"/>
          <w:b/>
          <w:color w:val="1A2235"/>
        </w:rPr>
        <w:t>Three-Dimensional and Immersive Presentation</w:t>
      </w:r>
    </w:p>
    <w:p>
      <w:pPr>
        <w:pStyle w:val="Normal"/>
        <w:spacing w:before="0" w:after="60"/>
        <w:rPr>
          <w:rFonts w:hint="eastAsia"/>
        </w:rPr>
      </w:pPr>
      <w:r>
        <w:rPr>
          <w:rFonts w:ascii="Times New Roman" w:hAnsi="Times New Roman"/>
        </w:rPr>
        <w:t>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r>
        <w:rPr>
          <w:rFonts w:ascii="Times New Roman" w:hAnsi="Times New Roman"/>
        </w:rPr>
        <w:t xml:space="preserve"> See FIG. 5.</w:t>
      </w:r>
    </w:p>
    <w:p>
      <w:pPr>
        <w:pStyle w:val="Normal"/>
        <w:spacing w:before="60" w:after="20"/>
        <w:rPr>
          <w:rFonts w:hint="eastAsia"/>
        </w:rPr>
      </w:pPr>
      <w:r>
        <w:rPr>
          <w:rFonts w:ascii="Times New Roman" w:hAnsi="Times New Roman"/>
          <w:b/>
          <w:color w:val="1A2235"/>
        </w:rPr>
        <w:t>Robotic and Equipment Direction: Compilation and Authority</w:t>
      </w:r>
    </w:p>
    <w:p>
      <w:pPr>
        <w:pStyle w:val="Normal"/>
        <w:spacing w:before="0" w:after="60"/>
        <w:rPr>
          <w:rFonts w:hint="eastAsia"/>
        </w:rPr>
      </w:pPr>
      <w:r>
        <w:rPr>
          <w:rFonts w:ascii="Times New Roman" w:hAnsi="Times New Roman"/>
        </w:rPr>
        <w:t>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Normal"/>
        <w:spacing w:before="60" w:after="20"/>
        <w:rPr>
          <w:rFonts w:hint="eastAsia"/>
        </w:rPr>
      </w:pPr>
      <w:r>
        <w:rPr>
          <w:rFonts w:ascii="Times New Roman" w:hAnsi="Times New Roman"/>
          <w:b/>
          <w:color w:val="1A2235"/>
        </w:rPr>
        <w:t>External Connections: The Common Pattern</w:t>
      </w:r>
    </w:p>
    <w:p>
      <w:pPr>
        <w:pStyle w:val="Normal"/>
        <w:spacing w:before="0" w:after="60"/>
        <w:rPr>
          <w:rFonts w:hint="eastAsia"/>
        </w:rPr>
      </w:pPr>
      <w:r>
        <w:rPr>
          <w:rFonts w:ascii="Times New Roman" w:hAnsi="Times New Roman"/>
        </w:rPr>
        <w:t>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r>
        <w:rPr>
          <w:rFonts w:ascii="Times New Roman" w:hAnsi="Times New Roman"/>
        </w:rPr>
        <w:t xml:space="preserve"> See FIG. 44 and FIG. 54.</w:t>
      </w:r>
    </w:p>
    <w:p>
      <w:pPr>
        <w:pStyle w:val="Normal"/>
        <w:spacing w:before="60" w:after="20"/>
        <w:rPr>
          <w:rFonts w:hint="eastAsia"/>
        </w:rPr>
      </w:pPr>
      <w:r>
        <w:rPr>
          <w:rFonts w:ascii="Times New Roman" w:hAnsi="Times New Roman"/>
          <w:b/>
          <w:color w:val="1A2235"/>
        </w:rPr>
        <w:t>Analytical Applications and the Continuous Query Engine</w:t>
      </w:r>
    </w:p>
    <w:p>
      <w:pPr>
        <w:pStyle w:val="Normal"/>
        <w:spacing w:before="0" w:after="60"/>
        <w:rPr>
          <w:rFonts w:hint="eastAsia"/>
        </w:rPr>
      </w:pPr>
      <w:r>
        <w:rPr>
          <w:rFonts w:ascii="Times New Roman" w:hAnsi="Times New Roman"/>
        </w:rPr>
        <w:t>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Normal"/>
        <w:spacing w:before="60" w:after="20"/>
        <w:rPr>
          <w:rFonts w:hint="eastAsia"/>
        </w:rPr>
      </w:pPr>
      <w:r>
        <w:rPr>
          <w:rFonts w:ascii="Times New Roman" w:hAnsi="Times New Roman"/>
          <w:b/>
          <w:color w:val="1A2235"/>
        </w:rPr>
        <w:t xml:space="preserve">Defined Agents </w:t>
      </w:r>
    </w:p>
    <w:p>
      <w:pPr>
        <w:pStyle w:val="Normal"/>
        <w:spacing w:before="0" w:after="60"/>
        <w:rPr>
          <w:rFonts w:hint="eastAsia"/>
        </w:rPr>
      </w:pPr>
      <w:r>
        <w:rPr>
          <w:rFonts w:ascii="Times New Roman" w:hAnsi="Times New Roman"/>
        </w:rPr>
        <w:t>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w:pPr>
        <w:pStyle w:val="Normal"/>
        <w:spacing w:before="0" w:after="60"/>
        <w:rPr>
          <w:rFonts w:hint="eastAsia"/>
        </w:rPr>
      </w:pPr>
      <w:r>
        <w:rPr>
          <w:rFonts w:ascii="Times New Roman" w:hAnsi="Times New Roman"/>
          <w:bCs/>
        </w:rPr>
        <w:t>QueryBook’s defined agents differ fundamentally from standard LLM agents, in which a model decomposes a task at execution time and controls are imposed on top of the software after the fact. Here the control is the architecture rather than an overlay. An agent’s authority is computed at each individual action as the intersection of its declared definition and its commissioner’s current entitlement, so it can never exceed what its commissioner can authorize at that moment and it accumulates no authority across runs; its operational function is compiled to a bounded, non-Turing-complete program inspectable before anything executes; unconditional propagation blocks — network discovery, credential</w:t>
      </w:r>
      <w:r>
        <w:rPr>
          <w:rFonts w:ascii="Times New Roman" w:hAnsi="Times New Roman"/>
          <w:b/>
        </w:rPr>
        <w:t xml:space="preserve"> </w:t>
      </w:r>
      <w:r>
        <w:rPr>
          <w:rFonts w:ascii="Times New Roman" w:hAnsi="Times New Roman"/>
          <w:bCs/>
        </w:rPr>
        <w:t>enumeration and export, remote code execution,</w:t>
      </w:r>
      <w:r>
        <w:rPr>
          <w:rFonts w:ascii="Times New Roman" w:hAnsi="Times New Roman"/>
          <w:b/>
        </w:rPr>
        <w:t xml:space="preserve"> </w:t>
      </w:r>
      <w:r>
        <w:rPr>
          <w:rFonts w:ascii="Times New Roman" w:hAnsi="Times New Roman"/>
          <w:bCs/>
        </w:rPr>
        <w:t>package publishing, and outbound agent spawning — are denied by default and a violation transitions the agent to a quarantined state regardless of any other signal; every human-approval gate is Default-on-Deny, so a timeout denies rather than approves; and an inductive or abductive conclusion an agent produces enters a proposed state that only a named human can transition to validated. The result is anti-rogue control by construction: where a standard LLM agent’s guardrails are prompts and wrappers that a jailbreak or an injection can slip, QueryBook’s limits hold whether or not the underlying model is compromised, because a privileged action never routes through the model at all. QueryBook can accordingly substitute its own governed agent capability for an LLM’s native agents to eliminate the rogue and unintended autonomous activity witnessed in current LLM agent products.</w:t>
      </w:r>
      <w:r>
        <w:rPr>
          <w:rFonts w:ascii="Times New Roman" w:hAnsi="Times New Roman"/>
          <w:bCs/>
        </w:rPr>
        <w:t xml:space="preserve"> See FIG. 14.</w:t>
      </w:r>
    </w:p>
    <w:p>
      <w:pPr>
        <w:pStyle w:val="Normal"/>
        <w:spacing w:before="60" w:after="20"/>
        <w:rPr>
          <w:rFonts w:hint="eastAsia"/>
        </w:rPr>
      </w:pPr>
      <w:r>
        <w:rPr>
          <w:rFonts w:ascii="Times New Roman" w:hAnsi="Times New Roman"/>
          <w:b/>
          <w:color w:val="1A2235"/>
        </w:rPr>
        <w:t>Summary Chart: QueryBook’s Progressive Cognitive Architecture</w:t>
      </w:r>
    </w:p>
    <w:p>
      <w:pPr>
        <w:pStyle w:val="Normal"/>
        <w:spacing w:before="0" w:after="60"/>
        <w:rPr>
          <w:rFonts w:hint="eastAsia"/>
        </w:rPr>
      </w:pPr>
      <w:r>
        <w:rPr>
          <w:rFonts w:ascii="Times New Roman" w:hAnsi="Times New Roman"/>
        </w:rPr>
        <w:t>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Level One — Core Technology: Fact Unit Deterministic Reasoning</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Fact Unit Architecture</w:t>
            </w:r>
          </w:p>
        </w:tc>
        <w:tc>
          <w:tcPr>
            <w:tcW w:w="3212" w:type="dxa"/>
            <w:tcBorders/>
          </w:tcPr>
          <w:p>
            <w:pPr>
              <w:pStyle w:val="Normal"/>
              <w:rPr>
                <w:rFonts w:hint="eastAsia"/>
              </w:rPr>
            </w:pPr>
            <w:r>
              <w:rPr>
                <w:rFonts w:eastAsia="MS Mincho" w:ascii="Times New Roman" w:hAnsi="Times New Roman"/>
                <w:kern w:val="0"/>
                <w:lang w:eastAsia="en-US" w:bidi="ar-SA"/>
              </w:rPr>
              <w:t>Stores atomic, provenance-tracked, language-independent meaning</w:t>
            </w:r>
          </w:p>
        </w:tc>
        <w:tc>
          <w:tcPr>
            <w:tcW w:w="3213" w:type="dxa"/>
            <w:tcBorders/>
          </w:tcPr>
          <w:p>
            <w:pPr>
              <w:pStyle w:val="Normal"/>
              <w:rPr>
                <w:rFonts w:hint="eastAsia"/>
              </w:rPr>
            </w:pPr>
            <w:r>
              <w:rPr>
                <w:rFonts w:eastAsia="MS Mincho" w:ascii="Times New Roman" w:hAnsi="Times New Roman"/>
                <w:kern w:val="0"/>
                <w:lang w:eastAsia="en-US" w:bidi="ar-SA"/>
              </w:rPr>
              <w:t>Enables verifiable grounding</w:t>
            </w:r>
          </w:p>
        </w:tc>
      </w:tr>
      <w:tr>
        <w:trPr/>
        <w:tc>
          <w:tcPr>
            <w:tcW w:w="3213" w:type="dxa"/>
            <w:tcBorders/>
          </w:tcPr>
          <w:p>
            <w:pPr>
              <w:pStyle w:val="Normal"/>
              <w:rPr>
                <w:rFonts w:hint="eastAsia"/>
              </w:rPr>
            </w:pPr>
            <w:r>
              <w:rPr>
                <w:rFonts w:eastAsia="MS Mincho" w:ascii="Times New Roman" w:hAnsi="Times New Roman"/>
                <w:kern w:val="0"/>
                <w:lang w:eastAsia="en-US" w:bidi="ar-SA"/>
              </w:rPr>
              <w:t>Neuromorphic Cognitive Layer</w:t>
            </w:r>
          </w:p>
        </w:tc>
        <w:tc>
          <w:tcPr>
            <w:tcW w:w="3212" w:type="dxa"/>
            <w:tcBorders/>
          </w:tcPr>
          <w:p>
            <w:pPr>
              <w:pStyle w:val="Normal"/>
              <w:rPr>
                <w:rFonts w:hint="eastAsia"/>
              </w:rPr>
            </w:pPr>
            <w:r>
              <w:rPr>
                <w:rFonts w:eastAsia="MS Mincho" w:ascii="Times New Roman" w:hAnsi="Times New Roman"/>
                <w:kern w:val="0"/>
                <w:lang w:eastAsia="en-US" w:bidi="ar-SA"/>
              </w:rPr>
              <w:t>Stabilizes retrieval through deterministic convergence</w:t>
            </w:r>
          </w:p>
        </w:tc>
        <w:tc>
          <w:tcPr>
            <w:tcW w:w="3213" w:type="dxa"/>
            <w:tcBorders/>
          </w:tcPr>
          <w:p>
            <w:pPr>
              <w:pStyle w:val="Normal"/>
              <w:rPr>
                <w:rFonts w:hint="eastAsia"/>
              </w:rPr>
            </w:pPr>
            <w:r>
              <w:rPr>
                <w:rFonts w:eastAsia="MS Mincho" w:ascii="Times New Roman" w:hAnsi="Times New Roman"/>
                <w:kern w:val="0"/>
                <w:lang w:eastAsia="en-US" w:bidi="ar-SA"/>
              </w:rPr>
              <w:t>Enables one best-supported interpretation</w:t>
            </w:r>
          </w:p>
        </w:tc>
      </w:tr>
      <w:tr>
        <w:trPr/>
        <w:tc>
          <w:tcPr>
            <w:tcW w:w="3213" w:type="dxa"/>
            <w:tcBorders/>
          </w:tcPr>
          <w:p>
            <w:pPr>
              <w:pStyle w:val="Normal"/>
              <w:rPr>
                <w:rFonts w:hint="eastAsia"/>
              </w:rPr>
            </w:pPr>
            <w:r>
              <w:rPr>
                <w:rFonts w:eastAsia="MS Mincho" w:ascii="Times New Roman" w:hAnsi="Times New Roman"/>
                <w:kern w:val="0"/>
                <w:lang w:eastAsia="en-US" w:bidi="ar-SA"/>
              </w:rPr>
              <w:t>Provenance Ledger</w:t>
            </w:r>
          </w:p>
        </w:tc>
        <w:tc>
          <w:tcPr>
            <w:tcW w:w="3212" w:type="dxa"/>
            <w:tcBorders/>
          </w:tcPr>
          <w:p>
            <w:pPr>
              <w:pStyle w:val="Normal"/>
              <w:rPr>
                <w:rFonts w:hint="eastAsia"/>
              </w:rPr>
            </w:pPr>
            <w:r>
              <w:rPr>
                <w:rFonts w:eastAsia="MS Mincho" w:ascii="Times New Roman" w:hAnsi="Times New Roman"/>
                <w:kern w:val="0"/>
                <w:lang w:eastAsia="en-US" w:bidi="ar-SA"/>
              </w:rPr>
              <w:t>Records every derivation in a signed, tamper-evident chain</w:t>
            </w:r>
          </w:p>
        </w:tc>
        <w:tc>
          <w:tcPr>
            <w:tcW w:w="3213" w:type="dxa"/>
            <w:tcBorders/>
          </w:tcPr>
          <w:p>
            <w:pPr>
              <w:pStyle w:val="Normal"/>
              <w:rPr>
                <w:rFonts w:hint="eastAsia"/>
              </w:rPr>
            </w:pPr>
            <w:r>
              <w:rPr>
                <w:rFonts w:eastAsia="MS Mincho" w:ascii="Times New Roman" w:hAnsi="Times New Roman"/>
                <w:kern w:val="0"/>
                <w:lang w:eastAsia="en-US" w:bidi="ar-SA"/>
              </w:rPr>
              <w:t>Enables third-party verification</w:t>
            </w:r>
          </w:p>
        </w:tc>
      </w:tr>
      <w:tr>
        <w:trPr/>
        <w:tc>
          <w:tcPr>
            <w:tcW w:w="3213" w:type="dxa"/>
            <w:tcBorders/>
          </w:tcPr>
          <w:p>
            <w:pPr>
              <w:pStyle w:val="Normal"/>
              <w:rPr>
                <w:rFonts w:hint="eastAsia"/>
              </w:rPr>
            </w:pPr>
            <w:r>
              <w:rPr>
                <w:rFonts w:eastAsia="MS Mincho" w:ascii="Times New Roman" w:hAnsi="Times New Roman"/>
                <w:kern w:val="0"/>
                <w:lang w:eastAsia="en-US" w:bidi="ar-SA"/>
              </w:rPr>
              <w:t>Evidence-Pair Confidence Model</w:t>
            </w:r>
          </w:p>
        </w:tc>
        <w:tc>
          <w:tcPr>
            <w:tcW w:w="3212" w:type="dxa"/>
            <w:tcBorders/>
          </w:tcPr>
          <w:p>
            <w:pPr>
              <w:pStyle w:val="Normal"/>
              <w:rPr>
                <w:rFonts w:hint="eastAsia"/>
              </w:rPr>
            </w:pPr>
            <w:r>
              <w:rPr>
                <w:rFonts w:eastAsia="MS Mincho" w:ascii="Times New Roman" w:hAnsi="Times New Roman"/>
                <w:kern w:val="0"/>
                <w:lang w:eastAsia="en-US" w:bidi="ar-SA"/>
              </w:rPr>
              <w:t>Accumulates evidence for and against, weighted by source diversity</w:t>
            </w:r>
          </w:p>
        </w:tc>
        <w:tc>
          <w:tcPr>
            <w:tcW w:w="3213" w:type="dxa"/>
            <w:tcBorders/>
          </w:tcPr>
          <w:p>
            <w:pPr>
              <w:pStyle w:val="Normal"/>
              <w:rPr>
                <w:rFonts w:hint="eastAsia"/>
              </w:rPr>
            </w:pPr>
            <w:r>
              <w:rPr>
                <w:rFonts w:eastAsia="MS Mincho" w:ascii="Times New Roman" w:hAnsi="Times New Roman"/>
                <w:kern w:val="0"/>
                <w:lang w:eastAsia="en-US" w:bidi="ar-SA"/>
              </w:rPr>
              <w:t>Enables calibrated, revisable belief</w:t>
            </w:r>
          </w:p>
        </w:tc>
      </w:tr>
      <w:tr>
        <w:trPr/>
        <w:tc>
          <w:tcPr>
            <w:tcW w:w="3213" w:type="dxa"/>
            <w:tcBorders/>
          </w:tcPr>
          <w:p>
            <w:pPr>
              <w:pStyle w:val="Normal"/>
              <w:rPr>
                <w:rFonts w:hint="eastAsia"/>
              </w:rPr>
            </w:pPr>
            <w:r>
              <w:rPr>
                <w:rFonts w:eastAsia="MS Mincho" w:ascii="Times New Roman" w:hAnsi="Times New Roman"/>
                <w:kern w:val="0"/>
                <w:lang w:eastAsia="en-US" w:bidi="ar-SA"/>
              </w:rPr>
              <w:t>Ontology Mesh</w:t>
            </w:r>
          </w:p>
        </w:tc>
        <w:tc>
          <w:tcPr>
            <w:tcW w:w="3212" w:type="dxa"/>
            <w:tcBorders/>
          </w:tcPr>
          <w:p>
            <w:pPr>
              <w:pStyle w:val="Normal"/>
              <w:rPr>
                <w:rFonts w:hint="eastAsia"/>
              </w:rPr>
            </w:pPr>
            <w:r>
              <w:rPr>
                <w:rFonts w:eastAsia="MS Mincho" w:ascii="Times New Roman" w:hAnsi="Times New Roman"/>
                <w:kern w:val="0"/>
                <w:lang w:eastAsia="en-US" w:bidi="ar-SA"/>
              </w:rPr>
              <w:t>Governs concept and predicate identity across the graph</w:t>
            </w:r>
          </w:p>
        </w:tc>
        <w:tc>
          <w:tcPr>
            <w:tcW w:w="3213" w:type="dxa"/>
            <w:tcBorders/>
          </w:tcPr>
          <w:p>
            <w:pPr>
              <w:pStyle w:val="Normal"/>
              <w:rPr>
                <w:rFonts w:hint="eastAsia"/>
              </w:rPr>
            </w:pPr>
            <w:r>
              <w:rPr>
                <w:rFonts w:eastAsia="MS Mincho" w:ascii="Times New Roman" w:hAnsi="Times New Roman"/>
                <w:kern w:val="0"/>
                <w:lang w:eastAsia="en-US" w:bidi="ar-SA"/>
              </w:rPr>
              <w:t>Enables consistent cross-domain vocabulary</w:t>
            </w:r>
          </w:p>
        </w:tc>
      </w:tr>
      <w:tr>
        <w:trPr/>
        <w:tc>
          <w:tcPr>
            <w:tcW w:w="3213" w:type="dxa"/>
            <w:tcBorders/>
          </w:tcPr>
          <w:p>
            <w:pPr>
              <w:pStyle w:val="Normal"/>
              <w:rPr>
                <w:rFonts w:hint="eastAsia"/>
              </w:rPr>
            </w:pPr>
            <w:r>
              <w:rPr>
                <w:rFonts w:eastAsia="MS Mincho" w:ascii="Times New Roman" w:hAnsi="Times New Roman"/>
                <w:kern w:val="0"/>
                <w:lang w:eastAsia="en-US" w:bidi="ar-SA"/>
              </w:rPr>
              <w:t>Context Lock</w:t>
            </w:r>
          </w:p>
        </w:tc>
        <w:tc>
          <w:tcPr>
            <w:tcW w:w="3212" w:type="dxa"/>
            <w:tcBorders/>
          </w:tcPr>
          <w:p>
            <w:pPr>
              <w:pStyle w:val="Normal"/>
              <w:rPr>
                <w:rFonts w:hint="eastAsia"/>
              </w:rPr>
            </w:pPr>
            <w:r>
              <w:rPr>
                <w:rFonts w:eastAsia="MS Mincho" w:ascii="Times New Roman" w:hAnsi="Times New Roman"/>
                <w:kern w:val="0"/>
                <w:lang w:eastAsia="en-US" w:bidi="ar-SA"/>
              </w:rPr>
              <w:t>Enumerates the dimensions over which determinism is asserted</w:t>
            </w:r>
          </w:p>
        </w:tc>
        <w:tc>
          <w:tcPr>
            <w:tcW w:w="3213" w:type="dxa"/>
            <w:tcBorders/>
          </w:tcPr>
          <w:p>
            <w:pPr>
              <w:pStyle w:val="Normal"/>
              <w:rPr>
                <w:rFonts w:hint="eastAsia"/>
              </w:rPr>
            </w:pPr>
            <w:r>
              <w:rPr>
                <w:rFonts w:eastAsia="MS Mincho" w:ascii="Times New Roman" w:hAnsi="Times New Roman"/>
                <w:kern w:val="0"/>
                <w:lang w:eastAsia="en-US" w:bidi="ar-SA"/>
              </w:rPr>
              <w:t>Enables testable reproducibility</w:t>
            </w:r>
          </w:p>
        </w:tc>
      </w:tr>
      <w:tr>
        <w:trPr/>
        <w:tc>
          <w:tcPr>
            <w:tcW w:w="3213" w:type="dxa"/>
            <w:tcBorders/>
          </w:tcPr>
          <w:p>
            <w:pPr>
              <w:pStyle w:val="Normal"/>
              <w:rPr>
                <w:rFonts w:hint="eastAsia"/>
              </w:rPr>
            </w:pPr>
            <w:r>
              <w:rPr>
                <w:rFonts w:eastAsia="MS Mincho" w:ascii="Times New Roman" w:hAnsi="Times New Roman"/>
                <w:kern w:val="0"/>
                <w:lang w:eastAsia="en-US" w:bidi="ar-SA"/>
              </w:rPr>
              <w:t>Prime Directive (Domain 0)</w:t>
            </w:r>
          </w:p>
        </w:tc>
        <w:tc>
          <w:tcPr>
            <w:tcW w:w="3212" w:type="dxa"/>
            <w:tcBorders/>
          </w:tcPr>
          <w:p>
            <w:pPr>
              <w:pStyle w:val="Normal"/>
              <w:rPr>
                <w:rFonts w:hint="eastAsia"/>
              </w:rPr>
            </w:pPr>
            <w:r>
              <w:rPr>
                <w:rFonts w:eastAsia="MS Mincho" w:ascii="Times New Roman" w:hAnsi="Times New Roman"/>
                <w:kern w:val="0"/>
                <w:lang w:eastAsia="en-US" w:bidi="ar-SA"/>
              </w:rPr>
              <w:t>Governs every subsystem without exception</w:t>
            </w:r>
          </w:p>
        </w:tc>
        <w:tc>
          <w:tcPr>
            <w:tcW w:w="3213" w:type="dxa"/>
            <w:tcBorders/>
          </w:tcPr>
          <w:p>
            <w:pPr>
              <w:pStyle w:val="Normal"/>
              <w:rPr>
                <w:rFonts w:hint="eastAsia"/>
              </w:rPr>
            </w:pPr>
            <w:r>
              <w:rPr>
                <w:rFonts w:eastAsia="MS Mincho" w:ascii="Times New Roman" w:hAnsi="Times New Roman"/>
                <w:kern w:val="0"/>
                <w:lang w:eastAsia="en-US" w:bidi="ar-SA"/>
              </w:rPr>
              <w:t>Enables architectural safety</w:t>
            </w:r>
          </w:p>
        </w:tc>
      </w:tr>
    </w:tbl>
    <w:p>
      <w:pPr>
        <w:pStyle w:val="Normal"/>
        <w:spacing w:before="0" w:after="60"/>
        <w:rPr>
          <w:rFonts w:hint="eastAsia"/>
        </w:rPr>
      </w:pPr>
      <w:r>
        <w:rPr>
          <w:rFonts w:ascii="Times New Roman" w:hAnsi="Times New Roman"/>
        </w:rPr>
        <w:t>Outcome: every answer is deterministic, grounded, and verifiable — the substrate every higher level stands on.</w:t>
      </w:r>
    </w:p>
    <w:p>
      <w:pPr>
        <w:pStyle w:val="Normal"/>
        <w:spacing w:before="60" w:after="20"/>
        <w:rPr>
          <w:rFonts w:hint="eastAsia"/>
        </w:rPr>
      </w:pPr>
      <w:r>
        <w:rPr>
          <w:rFonts w:ascii="Times New Roman" w:hAnsi="Times New Roman"/>
          <w:b/>
          <w:color w:val="1A2235"/>
        </w:rPr>
        <w:t>Level Two — Conceptual AI: The World-View Perspective, Built on Level One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2"/>
        <w:gridCol w:w="3213"/>
        <w:gridCol w:w="3213"/>
      </w:tblGrid>
      <w:tr>
        <w:trPr/>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2" w:type="dxa"/>
            <w:tcBorders/>
          </w:tcPr>
          <w:p>
            <w:pPr>
              <w:pStyle w:val="Normal"/>
              <w:rPr>
                <w:rFonts w:hint="eastAsia"/>
              </w:rPr>
            </w:pPr>
            <w:r>
              <w:rPr>
                <w:rFonts w:eastAsia="MS Mincho" w:ascii="Times New Roman" w:hAnsi="Times New Roman"/>
                <w:kern w:val="0"/>
                <w:lang w:eastAsia="en-US" w:bidi="ar-SA"/>
              </w:rPr>
              <w:t>World-View Model</w:t>
            </w:r>
          </w:p>
        </w:tc>
        <w:tc>
          <w:tcPr>
            <w:tcW w:w="3213" w:type="dxa"/>
            <w:tcBorders/>
          </w:tcPr>
          <w:p>
            <w:pPr>
              <w:pStyle w:val="Normal"/>
              <w:rPr>
                <w:rFonts w:hint="eastAsia"/>
              </w:rPr>
            </w:pPr>
            <w:r>
              <w:rPr>
                <w:rFonts w:eastAsia="MS Mincho" w:ascii="Times New Roman" w:hAnsi="Times New Roman"/>
                <w:kern w:val="0"/>
                <w:lang w:eastAsia="en-US" w:bidi="ar-SA"/>
              </w:rPr>
              <w:t>Builds causal, spatial, and physical understanding</w:t>
            </w:r>
          </w:p>
        </w:tc>
        <w:tc>
          <w:tcPr>
            <w:tcW w:w="3213" w:type="dxa"/>
            <w:tcBorders/>
          </w:tcPr>
          <w:p>
            <w:pPr>
              <w:pStyle w:val="Normal"/>
              <w:rPr>
                <w:rFonts w:hint="eastAsia"/>
              </w:rPr>
            </w:pPr>
            <w:r>
              <w:rPr>
                <w:rFonts w:eastAsia="MS Mincho" w:ascii="Times New Roman" w:hAnsi="Times New Roman"/>
                <w:kern w:val="0"/>
                <w:lang w:eastAsia="en-US" w:bidi="ar-SA"/>
              </w:rPr>
              <w:t>Adds physics-like reasoning</w:t>
            </w:r>
          </w:p>
        </w:tc>
      </w:tr>
      <w:tr>
        <w:trPr/>
        <w:tc>
          <w:tcPr>
            <w:tcW w:w="3212" w:type="dxa"/>
            <w:tcBorders/>
          </w:tcPr>
          <w:p>
            <w:pPr>
              <w:pStyle w:val="Normal"/>
              <w:rPr>
                <w:rFonts w:hint="eastAsia"/>
              </w:rPr>
            </w:pPr>
            <w:r>
              <w:rPr>
                <w:rFonts w:eastAsia="MS Mincho" w:ascii="Times New Roman" w:hAnsi="Times New Roman"/>
                <w:kern w:val="0"/>
                <w:lang w:eastAsia="en-US" w:bidi="ar-SA"/>
              </w:rPr>
              <w:t>Conceptual Memory (World Brain concept nodes)</w:t>
            </w:r>
          </w:p>
        </w:tc>
        <w:tc>
          <w:tcPr>
            <w:tcW w:w="3213" w:type="dxa"/>
            <w:tcBorders/>
          </w:tcPr>
          <w:p>
            <w:pPr>
              <w:pStyle w:val="Normal"/>
              <w:rPr>
                <w:rFonts w:hint="eastAsia"/>
              </w:rPr>
            </w:pPr>
            <w:r>
              <w:rPr>
                <w:rFonts w:eastAsia="MS Mincho" w:ascii="Times New Roman" w:hAnsi="Times New Roman"/>
                <w:kern w:val="0"/>
                <w:lang w:eastAsia="en-US" w:bidi="ar-SA"/>
              </w:rPr>
              <w:t>Stores abstract concepts and schemas</w:t>
            </w:r>
          </w:p>
        </w:tc>
        <w:tc>
          <w:tcPr>
            <w:tcW w:w="3213" w:type="dxa"/>
            <w:tcBorders/>
          </w:tcPr>
          <w:p>
            <w:pPr>
              <w:pStyle w:val="Normal"/>
              <w:rPr>
                <w:rFonts w:hint="eastAsia"/>
              </w:rPr>
            </w:pPr>
            <w:r>
              <w:rPr>
                <w:rFonts w:eastAsia="MS Mincho" w:ascii="Times New Roman" w:hAnsi="Times New Roman"/>
                <w:kern w:val="0"/>
                <w:lang w:eastAsia="en-US" w:bidi="ar-SA"/>
              </w:rPr>
              <w:t>Enables concept formation</w:t>
            </w:r>
          </w:p>
        </w:tc>
      </w:tr>
      <w:tr>
        <w:trPr/>
        <w:tc>
          <w:tcPr>
            <w:tcW w:w="3212" w:type="dxa"/>
            <w:tcBorders/>
          </w:tcPr>
          <w:p>
            <w:pPr>
              <w:pStyle w:val="Normal"/>
              <w:rPr>
                <w:rFonts w:hint="eastAsia"/>
              </w:rPr>
            </w:pPr>
            <w:r>
              <w:rPr>
                <w:rFonts w:eastAsia="MS Mincho" w:ascii="Times New Roman" w:hAnsi="Times New Roman"/>
                <w:kern w:val="0"/>
                <w:lang w:eastAsia="en-US" w:bidi="ar-SA"/>
              </w:rPr>
              <w:t>Skill Inventory Layer</w:t>
            </w:r>
          </w:p>
        </w:tc>
        <w:tc>
          <w:tcPr>
            <w:tcW w:w="3213" w:type="dxa"/>
            <w:tcBorders/>
          </w:tcPr>
          <w:p>
            <w:pPr>
              <w:pStyle w:val="Normal"/>
              <w:rPr>
                <w:rFonts w:hint="eastAsia"/>
              </w:rPr>
            </w:pPr>
            <w:r>
              <w:rPr>
                <w:rFonts w:eastAsia="MS Mincho" w:ascii="Times New Roman" w:hAnsi="Times New Roman"/>
                <w:kern w:val="0"/>
                <w:lang w:eastAsia="en-US" w:bidi="ar-SA"/>
              </w:rPr>
              <w:t>Encodes procedural knowledge</w:t>
            </w:r>
          </w:p>
        </w:tc>
        <w:tc>
          <w:tcPr>
            <w:tcW w:w="3213" w:type="dxa"/>
            <w:tcBorders/>
          </w:tcPr>
          <w:p>
            <w:pPr>
              <w:pStyle w:val="Normal"/>
              <w:rPr>
                <w:rFonts w:hint="eastAsia"/>
              </w:rPr>
            </w:pPr>
            <w:r>
              <w:rPr>
                <w:rFonts w:eastAsia="MS Mincho" w:ascii="Times New Roman" w:hAnsi="Times New Roman"/>
                <w:kern w:val="0"/>
                <w:lang w:eastAsia="en-US" w:bidi="ar-SA"/>
              </w:rPr>
              <w:t>Enables action learning</w:t>
            </w:r>
          </w:p>
        </w:tc>
      </w:tr>
      <w:tr>
        <w:trPr/>
        <w:tc>
          <w:tcPr>
            <w:tcW w:w="3212" w:type="dxa"/>
            <w:tcBorders/>
          </w:tcPr>
          <w:p>
            <w:pPr>
              <w:pStyle w:val="Normal"/>
              <w:rPr>
                <w:rFonts w:hint="eastAsia"/>
              </w:rPr>
            </w:pPr>
            <w:r>
              <w:rPr>
                <w:rFonts w:eastAsia="MS Mincho" w:ascii="Times New Roman" w:hAnsi="Times New Roman"/>
                <w:kern w:val="0"/>
                <w:lang w:eastAsia="en-US" w:bidi="ar-SA"/>
              </w:rPr>
              <w:t>Noise Elimination Process</w:t>
            </w:r>
          </w:p>
        </w:tc>
        <w:tc>
          <w:tcPr>
            <w:tcW w:w="3213" w:type="dxa"/>
            <w:tcBorders/>
          </w:tcPr>
          <w:p>
            <w:pPr>
              <w:pStyle w:val="Normal"/>
              <w:rPr>
                <w:rFonts w:hint="eastAsia"/>
              </w:rPr>
            </w:pPr>
            <w:r>
              <w:rPr>
                <w:rFonts w:eastAsia="MS Mincho" w:ascii="Times New Roman" w:hAnsi="Times New Roman"/>
                <w:kern w:val="0"/>
                <w:lang w:eastAsia="en-US" w:bidi="ar-SA"/>
              </w:rPr>
              <w:t>Removes redundant episodes</w:t>
            </w:r>
          </w:p>
        </w:tc>
        <w:tc>
          <w:tcPr>
            <w:tcW w:w="3213" w:type="dxa"/>
            <w:tcBorders/>
          </w:tcPr>
          <w:p>
            <w:pPr>
              <w:pStyle w:val="Normal"/>
              <w:rPr>
                <w:rFonts w:hint="eastAsia"/>
              </w:rPr>
            </w:pPr>
            <w:r>
              <w:rPr>
                <w:rFonts w:eastAsia="MS Mincho" w:ascii="Times New Roman" w:hAnsi="Times New Roman"/>
                <w:kern w:val="0"/>
                <w:lang w:eastAsia="en-US" w:bidi="ar-SA"/>
              </w:rPr>
              <w:t>Enables concept compression</w:t>
            </w:r>
          </w:p>
        </w:tc>
      </w:tr>
      <w:tr>
        <w:trPr/>
        <w:tc>
          <w:tcPr>
            <w:tcW w:w="3212" w:type="dxa"/>
            <w:tcBorders/>
          </w:tcPr>
          <w:p>
            <w:pPr>
              <w:pStyle w:val="Normal"/>
              <w:rPr>
                <w:rFonts w:hint="eastAsia"/>
              </w:rPr>
            </w:pPr>
            <w:r>
              <w:rPr>
                <w:rFonts w:eastAsia="MS Mincho" w:ascii="Times New Roman" w:hAnsi="Times New Roman"/>
                <w:kern w:val="0"/>
                <w:lang w:eastAsia="en-US" w:bidi="ar-SA"/>
              </w:rPr>
              <w:t>Multimodal Ingestion</w:t>
            </w:r>
          </w:p>
        </w:tc>
        <w:tc>
          <w:tcPr>
            <w:tcW w:w="3213" w:type="dxa"/>
            <w:tcBorders/>
          </w:tcPr>
          <w:p>
            <w:pPr>
              <w:pStyle w:val="Normal"/>
              <w:rPr>
                <w:rFonts w:hint="eastAsia"/>
              </w:rPr>
            </w:pPr>
            <w:r>
              <w:rPr>
                <w:rFonts w:eastAsia="MS Mincho" w:ascii="Times New Roman" w:hAnsi="Times New Roman"/>
                <w:kern w:val="0"/>
                <w:lang w:eastAsia="en-US" w:bidi="ar-SA"/>
              </w:rPr>
              <w:t>Converts sensory experience across eight modalities into one substrate</w:t>
            </w:r>
          </w:p>
        </w:tc>
        <w:tc>
          <w:tcPr>
            <w:tcW w:w="3213" w:type="dxa"/>
            <w:tcBorders/>
          </w:tcPr>
          <w:p>
            <w:pPr>
              <w:pStyle w:val="Normal"/>
              <w:rPr>
                <w:rFonts w:hint="eastAsia"/>
              </w:rPr>
            </w:pPr>
            <w:r>
              <w:rPr>
                <w:rFonts w:eastAsia="MS Mincho" w:ascii="Times New Roman" w:hAnsi="Times New Roman"/>
                <w:kern w:val="0"/>
                <w:lang w:eastAsia="en-US" w:bidi="ar-SA"/>
              </w:rPr>
              <w:t>Enables perception-first learning</w:t>
            </w:r>
          </w:p>
        </w:tc>
      </w:tr>
    </w:tbl>
    <w:p>
      <w:pPr>
        <w:pStyle w:val="Normal"/>
        <w:spacing w:before="0" w:after="60"/>
        <w:rPr>
          <w:rFonts w:hint="eastAsia"/>
        </w:rPr>
      </w:pPr>
      <w:r>
        <w:rPr>
          <w:rFonts w:ascii="Times New Roman" w:hAnsi="Times New Roman"/>
        </w:rPr>
        <w:t>Outcome: QueryBook now learns concepts, not examples — the first step toward cognition.</w:t>
      </w:r>
    </w:p>
    <w:p>
      <w:pPr>
        <w:pStyle w:val="Normal"/>
        <w:spacing w:before="60" w:after="20"/>
        <w:rPr>
          <w:rFonts w:hint="eastAsia"/>
        </w:rPr>
      </w:pPr>
      <w:r>
        <w:rPr>
          <w:rFonts w:ascii="Times New Roman" w:hAnsi="Times New Roman"/>
          <w:b/>
          <w:color w:val="1A2235"/>
        </w:rPr>
        <w:t>Level Three — Integrative Intelligence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Perspective Modeling Layer</w:t>
            </w:r>
          </w:p>
        </w:tc>
        <w:tc>
          <w:tcPr>
            <w:tcW w:w="3212" w:type="dxa"/>
            <w:tcBorders/>
          </w:tcPr>
          <w:p>
            <w:pPr>
              <w:pStyle w:val="Normal"/>
              <w:rPr>
                <w:rFonts w:hint="eastAsia"/>
              </w:rPr>
            </w:pPr>
            <w:r>
              <w:rPr>
                <w:rFonts w:eastAsia="MS Mincho" w:ascii="Times New Roman" w:hAnsi="Times New Roman"/>
                <w:kern w:val="0"/>
                <w:lang w:eastAsia="en-US" w:bidi="ar-SA"/>
              </w:rPr>
              <w:t>Models other minds and intent</w:t>
            </w:r>
          </w:p>
        </w:tc>
        <w:tc>
          <w:tcPr>
            <w:tcW w:w="3213" w:type="dxa"/>
            <w:tcBorders/>
          </w:tcPr>
          <w:p>
            <w:pPr>
              <w:pStyle w:val="Normal"/>
              <w:rPr>
                <w:rFonts w:hint="eastAsia"/>
              </w:rPr>
            </w:pPr>
            <w:r>
              <w:rPr>
                <w:rFonts w:eastAsia="MS Mincho" w:ascii="Times New Roman" w:hAnsi="Times New Roman"/>
                <w:kern w:val="0"/>
                <w:lang w:eastAsia="en-US" w:bidi="ar-SA"/>
              </w:rPr>
              <w:t>Enables empathy and social reasoning</w:t>
            </w:r>
          </w:p>
        </w:tc>
      </w:tr>
      <w:tr>
        <w:trPr/>
        <w:tc>
          <w:tcPr>
            <w:tcW w:w="3213" w:type="dxa"/>
            <w:tcBorders/>
          </w:tcPr>
          <w:p>
            <w:pPr>
              <w:pStyle w:val="Normal"/>
              <w:rPr>
                <w:rFonts w:hint="eastAsia"/>
              </w:rPr>
            </w:pPr>
            <w:r>
              <w:rPr>
                <w:rFonts w:eastAsia="MS Mincho" w:ascii="Times New Roman" w:hAnsi="Times New Roman"/>
                <w:kern w:val="0"/>
                <w:lang w:eastAsia="en-US" w:bidi="ar-SA"/>
              </w:rPr>
              <w:t>Self-Model Layer</w:t>
            </w:r>
          </w:p>
        </w:tc>
        <w:tc>
          <w:tcPr>
            <w:tcW w:w="3212" w:type="dxa"/>
            <w:tcBorders/>
          </w:tcPr>
          <w:p>
            <w:pPr>
              <w:pStyle w:val="Normal"/>
              <w:rPr>
                <w:rFonts w:hint="eastAsia"/>
              </w:rPr>
            </w:pPr>
            <w:r>
              <w:rPr>
                <w:rFonts w:eastAsia="MS Mincho" w:ascii="Times New Roman" w:hAnsi="Times New Roman"/>
                <w:kern w:val="0"/>
                <w:lang w:eastAsia="en-US" w:bidi="ar-SA"/>
              </w:rPr>
              <w:t>Tracks its own knowledge and limits</w:t>
            </w:r>
          </w:p>
        </w:tc>
        <w:tc>
          <w:tcPr>
            <w:tcW w:w="3213" w:type="dxa"/>
            <w:tcBorders/>
          </w:tcPr>
          <w:p>
            <w:pPr>
              <w:pStyle w:val="Normal"/>
              <w:rPr>
                <w:rFonts w:hint="eastAsia"/>
              </w:rPr>
            </w:pPr>
            <w:r>
              <w:rPr>
                <w:rFonts w:eastAsia="MS Mincho" w:ascii="Times New Roman" w:hAnsi="Times New Roman"/>
                <w:kern w:val="0"/>
                <w:lang w:eastAsia="en-US" w:bidi="ar-SA"/>
              </w:rPr>
              <w:t>Enables introspection and self-correction</w:t>
            </w:r>
          </w:p>
        </w:tc>
      </w:tr>
      <w:tr>
        <w:trPr/>
        <w:tc>
          <w:tcPr>
            <w:tcW w:w="3213" w:type="dxa"/>
            <w:tcBorders/>
          </w:tcPr>
          <w:p>
            <w:pPr>
              <w:pStyle w:val="Normal"/>
              <w:rPr>
                <w:rFonts w:hint="eastAsia"/>
              </w:rPr>
            </w:pPr>
            <w:r>
              <w:rPr>
                <w:rFonts w:eastAsia="MS Mincho" w:ascii="Times New Roman" w:hAnsi="Times New Roman"/>
                <w:kern w:val="0"/>
                <w:lang w:eastAsia="en-US" w:bidi="ar-SA"/>
              </w:rPr>
              <w:t>Analogy Engine</w:t>
            </w:r>
          </w:p>
        </w:tc>
        <w:tc>
          <w:tcPr>
            <w:tcW w:w="3212" w:type="dxa"/>
            <w:tcBorders/>
          </w:tcPr>
          <w:p>
            <w:pPr>
              <w:pStyle w:val="Normal"/>
              <w:rPr>
                <w:rFonts w:hint="eastAsia"/>
              </w:rPr>
            </w:pPr>
            <w:r>
              <w:rPr>
                <w:rFonts w:eastAsia="MS Mincho" w:ascii="Times New Roman" w:hAnsi="Times New Roman"/>
                <w:kern w:val="0"/>
                <w:lang w:eastAsia="en-US" w:bidi="ar-SA"/>
              </w:rPr>
              <w:t>Maps structure across domains</w:t>
            </w:r>
          </w:p>
        </w:tc>
        <w:tc>
          <w:tcPr>
            <w:tcW w:w="3213" w:type="dxa"/>
            <w:tcBorders/>
          </w:tcPr>
          <w:p>
            <w:pPr>
              <w:pStyle w:val="Normal"/>
              <w:rPr>
                <w:rFonts w:hint="eastAsia"/>
              </w:rPr>
            </w:pPr>
            <w:r>
              <w:rPr>
                <w:rFonts w:eastAsia="MS Mincho" w:ascii="Times New Roman" w:hAnsi="Times New Roman"/>
                <w:kern w:val="0"/>
                <w:lang w:eastAsia="en-US" w:bidi="ar-SA"/>
              </w:rPr>
              <w:t>Enables creativity and generalization</w:t>
            </w:r>
          </w:p>
        </w:tc>
      </w:tr>
      <w:tr>
        <w:trPr/>
        <w:tc>
          <w:tcPr>
            <w:tcW w:w="3213" w:type="dxa"/>
            <w:tcBorders/>
          </w:tcPr>
          <w:p>
            <w:pPr>
              <w:pStyle w:val="Normal"/>
              <w:rPr>
                <w:rFonts w:hint="eastAsia"/>
              </w:rPr>
            </w:pPr>
            <w:r>
              <w:rPr>
                <w:rFonts w:eastAsia="MS Mincho" w:ascii="Times New Roman" w:hAnsi="Times New Roman"/>
                <w:kern w:val="0"/>
                <w:lang w:eastAsia="en-US" w:bidi="ar-SA"/>
              </w:rPr>
              <w:t>Predictive Cognitive Architecture</w:t>
            </w:r>
          </w:p>
        </w:tc>
        <w:tc>
          <w:tcPr>
            <w:tcW w:w="3212" w:type="dxa"/>
            <w:tcBorders/>
          </w:tcPr>
          <w:p>
            <w:pPr>
              <w:pStyle w:val="Normal"/>
              <w:rPr>
                <w:rFonts w:hint="eastAsia"/>
              </w:rPr>
            </w:pPr>
            <w:r>
              <w:rPr>
                <w:rFonts w:eastAsia="MS Mincho" w:ascii="Times New Roman" w:hAnsi="Times New Roman"/>
                <w:kern w:val="0"/>
                <w:lang w:eastAsia="en-US" w:bidi="ar-SA"/>
              </w:rPr>
              <w:t>Forecasts outcomes across fifteen coordinated prediction mechanisms</w:t>
            </w:r>
          </w:p>
        </w:tc>
        <w:tc>
          <w:tcPr>
            <w:tcW w:w="3213" w:type="dxa"/>
            <w:tcBorders/>
          </w:tcPr>
          <w:p>
            <w:pPr>
              <w:pStyle w:val="Normal"/>
              <w:rPr>
                <w:rFonts w:hint="eastAsia"/>
              </w:rPr>
            </w:pPr>
            <w:r>
              <w:rPr>
                <w:rFonts w:eastAsia="MS Mincho" w:ascii="Times New Roman" w:hAnsi="Times New Roman"/>
                <w:kern w:val="0"/>
                <w:lang w:eastAsia="en-US" w:bidi="ar-SA"/>
              </w:rPr>
              <w:t>Enables anticipation and planning</w:t>
            </w:r>
          </w:p>
        </w:tc>
      </w:tr>
      <w:tr>
        <w:trPr/>
        <w:tc>
          <w:tcPr>
            <w:tcW w:w="3213" w:type="dxa"/>
            <w:tcBorders/>
          </w:tcPr>
          <w:p>
            <w:pPr>
              <w:pStyle w:val="Normal"/>
              <w:rPr>
                <w:rFonts w:hint="eastAsia"/>
              </w:rPr>
            </w:pPr>
            <w:r>
              <w:rPr>
                <w:rFonts w:eastAsia="MS Mincho" w:ascii="Times New Roman" w:hAnsi="Times New Roman"/>
                <w:kern w:val="0"/>
                <w:lang w:eastAsia="en-US" w:bidi="ar-SA"/>
              </w:rPr>
              <w:t>Neuro-Symbolic Integration Layer</w:t>
            </w:r>
          </w:p>
        </w:tc>
        <w:tc>
          <w:tcPr>
            <w:tcW w:w="3212" w:type="dxa"/>
            <w:tcBorders/>
          </w:tcPr>
          <w:p>
            <w:pPr>
              <w:pStyle w:val="Normal"/>
              <w:rPr>
                <w:rFonts w:hint="eastAsia"/>
              </w:rPr>
            </w:pPr>
            <w:r>
              <w:rPr>
                <w:rFonts w:eastAsia="MS Mincho" w:ascii="Times New Roman" w:hAnsi="Times New Roman"/>
                <w:kern w:val="0"/>
                <w:lang w:eastAsia="en-US" w:bidi="ar-SA"/>
              </w:rPr>
              <w:t>Merges neural-style perception with symbolic reasoning</w:t>
            </w:r>
          </w:p>
        </w:tc>
        <w:tc>
          <w:tcPr>
            <w:tcW w:w="3213" w:type="dxa"/>
            <w:tcBorders/>
          </w:tcPr>
          <w:p>
            <w:pPr>
              <w:pStyle w:val="Normal"/>
              <w:rPr>
                <w:rFonts w:hint="eastAsia"/>
              </w:rPr>
            </w:pPr>
            <w:r>
              <w:rPr>
                <w:rFonts w:eastAsia="MS Mincho" w:ascii="Times New Roman" w:hAnsi="Times New Roman"/>
                <w:kern w:val="0"/>
                <w:lang w:eastAsia="en-US" w:bidi="ar-SA"/>
              </w:rPr>
              <w:t>Enables unified cognition</w:t>
            </w:r>
          </w:p>
        </w:tc>
      </w:tr>
      <w:tr>
        <w:trPr/>
        <w:tc>
          <w:tcPr>
            <w:tcW w:w="3213" w:type="dxa"/>
            <w:tcBorders/>
          </w:tcPr>
          <w:p>
            <w:pPr>
              <w:pStyle w:val="Normal"/>
              <w:rPr>
                <w:rFonts w:hint="eastAsia"/>
              </w:rPr>
            </w:pPr>
            <w:r>
              <w:rPr>
                <w:rFonts w:eastAsia="MS Mincho" w:ascii="Times New Roman" w:hAnsi="Times New Roman"/>
                <w:kern w:val="0"/>
                <w:lang w:eastAsia="en-US" w:bidi="ar-SA"/>
              </w:rPr>
              <w:t>Hypergraph Reasoning Layer</w:t>
            </w:r>
          </w:p>
        </w:tc>
        <w:tc>
          <w:tcPr>
            <w:tcW w:w="3212" w:type="dxa"/>
            <w:tcBorders/>
          </w:tcPr>
          <w:p>
            <w:pPr>
              <w:pStyle w:val="Normal"/>
              <w:rPr>
                <w:rFonts w:hint="eastAsia"/>
              </w:rPr>
            </w:pPr>
            <w:r>
              <w:rPr>
                <w:rFonts w:eastAsia="MS Mincho" w:ascii="Times New Roman" w:hAnsi="Times New Roman"/>
                <w:kern w:val="0"/>
                <w:lang w:eastAsia="en-US" w:bidi="ar-SA"/>
              </w:rPr>
              <w:t>Connects multi-domain concepts</w:t>
            </w:r>
          </w:p>
        </w:tc>
        <w:tc>
          <w:tcPr>
            <w:tcW w:w="3213" w:type="dxa"/>
            <w:tcBorders/>
          </w:tcPr>
          <w:p>
            <w:pPr>
              <w:pStyle w:val="Normal"/>
              <w:rPr>
                <w:rFonts w:hint="eastAsia"/>
              </w:rPr>
            </w:pPr>
            <w:r>
              <w:rPr>
                <w:rFonts w:eastAsia="MS Mincho" w:ascii="Times New Roman" w:hAnsi="Times New Roman"/>
                <w:kern w:val="0"/>
                <w:lang w:eastAsia="en-US" w:bidi="ar-SA"/>
              </w:rPr>
              <w:t>Enables cross-domain synthesis</w:t>
            </w:r>
          </w:p>
        </w:tc>
      </w:tr>
      <w:tr>
        <w:trPr/>
        <w:tc>
          <w:tcPr>
            <w:tcW w:w="3213" w:type="dxa"/>
            <w:tcBorders/>
          </w:tcPr>
          <w:p>
            <w:pPr>
              <w:pStyle w:val="Normal"/>
              <w:rPr>
                <w:rFonts w:hint="eastAsia"/>
              </w:rPr>
            </w:pPr>
            <w:r>
              <w:rPr>
                <w:rFonts w:eastAsia="MS Mincho" w:ascii="Times New Roman" w:hAnsi="Times New Roman"/>
                <w:kern w:val="0"/>
                <w:lang w:eastAsia="en-US" w:bidi="ar-SA"/>
              </w:rPr>
              <w:t>Concept Compression Layer</w:t>
            </w:r>
          </w:p>
        </w:tc>
        <w:tc>
          <w:tcPr>
            <w:tcW w:w="3212" w:type="dxa"/>
            <w:tcBorders/>
          </w:tcPr>
          <w:p>
            <w:pPr>
              <w:pStyle w:val="Normal"/>
              <w:rPr>
                <w:rFonts w:hint="eastAsia"/>
              </w:rPr>
            </w:pPr>
            <w:r>
              <w:rPr>
                <w:rFonts w:eastAsia="MS Mincho" w:ascii="Times New Roman" w:hAnsi="Times New Roman"/>
                <w:kern w:val="0"/>
                <w:lang w:eastAsia="en-US" w:bidi="ar-SA"/>
              </w:rPr>
              <w:t>Performs noise elimination and abstraction</w:t>
            </w:r>
          </w:p>
        </w:tc>
        <w:tc>
          <w:tcPr>
            <w:tcW w:w="3213" w:type="dxa"/>
            <w:tcBorders/>
          </w:tcPr>
          <w:p>
            <w:pPr>
              <w:pStyle w:val="Normal"/>
              <w:rPr>
                <w:rFonts w:hint="eastAsia"/>
              </w:rPr>
            </w:pPr>
            <w:r>
              <w:rPr>
                <w:rFonts w:eastAsia="MS Mincho" w:ascii="Times New Roman" w:hAnsi="Times New Roman"/>
                <w:kern w:val="0"/>
                <w:lang w:eastAsia="en-US" w:bidi="ar-SA"/>
              </w:rPr>
              <w:t>Enables efficient learning</w:t>
            </w:r>
          </w:p>
        </w:tc>
      </w:tr>
      <w:tr>
        <w:trPr/>
        <w:tc>
          <w:tcPr>
            <w:tcW w:w="3213" w:type="dxa"/>
            <w:tcBorders/>
          </w:tcPr>
          <w:p>
            <w:pPr>
              <w:pStyle w:val="Normal"/>
              <w:rPr>
                <w:rFonts w:hint="eastAsia"/>
              </w:rPr>
            </w:pPr>
            <w:r>
              <w:rPr>
                <w:rFonts w:eastAsia="MS Mincho" w:ascii="Times New Roman" w:hAnsi="Times New Roman"/>
                <w:kern w:val="0"/>
                <w:lang w:eastAsia="en-US" w:bidi="ar-SA"/>
              </w:rPr>
              <w:t>Baconian Reasoning and the Feedback Loop</w:t>
            </w:r>
          </w:p>
        </w:tc>
        <w:tc>
          <w:tcPr>
            <w:tcW w:w="3212" w:type="dxa"/>
            <w:tcBorders/>
          </w:tcPr>
          <w:p>
            <w:pPr>
              <w:pStyle w:val="Normal"/>
              <w:rPr>
                <w:rFonts w:hint="eastAsia"/>
              </w:rPr>
            </w:pPr>
            <w:r>
              <w:rPr>
                <w:rFonts w:eastAsia="MS Mincho" w:ascii="Times New Roman" w:hAnsi="Times New Roman"/>
                <w:kern w:val="0"/>
                <w:lang w:eastAsia="en-US" w:bidi="ar-SA"/>
              </w:rPr>
              <w:t>Admits outcomes and empirical observation as evidence</w:t>
            </w:r>
          </w:p>
        </w:tc>
        <w:tc>
          <w:tcPr>
            <w:tcW w:w="3213" w:type="dxa"/>
            <w:tcBorders/>
          </w:tcPr>
          <w:p>
            <w:pPr>
              <w:pStyle w:val="Normal"/>
              <w:rPr>
                <w:rFonts w:hint="eastAsia"/>
              </w:rPr>
            </w:pPr>
            <w:r>
              <w:rPr>
                <w:rFonts w:eastAsia="MS Mincho" w:ascii="Times New Roman" w:hAnsi="Times New Roman"/>
                <w:kern w:val="0"/>
                <w:lang w:eastAsia="en-US" w:bidi="ar-SA"/>
              </w:rPr>
              <w:t>Enables adaptive, empirical intelligence</w:t>
            </w:r>
          </w:p>
        </w:tc>
      </w:tr>
    </w:tbl>
    <w:p>
      <w:pPr>
        <w:pStyle w:val="Normal"/>
        <w:spacing w:before="0" w:after="60"/>
        <w:rPr>
          <w:rFonts w:hint="eastAsia"/>
        </w:rPr>
      </w:pPr>
      <w:r>
        <w:rPr>
          <w:rFonts w:ascii="Times New Roman" w:hAnsi="Times New Roman"/>
        </w:rPr>
        <w:t>Outcome: QueryBook reasons, predicts, adapts, and generalizes across domains — the hallmark of general cognition.</w:t>
      </w:r>
    </w:p>
    <w:p>
      <w:pPr>
        <w:pStyle w:val="Normal"/>
        <w:spacing w:before="60" w:after="20"/>
        <w:rPr>
          <w:rFonts w:hint="eastAsia"/>
        </w:rPr>
      </w:pPr>
      <w:r>
        <w:rPr>
          <w:rFonts w:ascii="Times New Roman" w:hAnsi="Times New Roman"/>
          <w:b/>
          <w:color w:val="1A2235"/>
        </w:rPr>
        <w:t>Level Four — Autonomous Cognitive Evolution</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Meta-Learning Layer</w:t>
            </w:r>
          </w:p>
        </w:tc>
        <w:tc>
          <w:tcPr>
            <w:tcW w:w="3212" w:type="dxa"/>
            <w:tcBorders/>
          </w:tcPr>
          <w:p>
            <w:pPr>
              <w:pStyle w:val="Normal"/>
              <w:rPr>
                <w:rFonts w:hint="eastAsia"/>
              </w:rPr>
            </w:pPr>
            <w:r>
              <w:rPr>
                <w:rFonts w:eastAsia="MS Mincho" w:ascii="Times New Roman" w:hAnsi="Times New Roman"/>
                <w:kern w:val="0"/>
                <w:lang w:eastAsia="en-US" w:bidi="ar-SA"/>
              </w:rPr>
              <w:t>Learns how to learn</w:t>
            </w:r>
          </w:p>
        </w:tc>
        <w:tc>
          <w:tcPr>
            <w:tcW w:w="3213" w:type="dxa"/>
            <w:tcBorders/>
          </w:tcPr>
          <w:p>
            <w:pPr>
              <w:pStyle w:val="Normal"/>
              <w:rPr>
                <w:rFonts w:hint="eastAsia"/>
              </w:rPr>
            </w:pPr>
            <w:r>
              <w:rPr>
                <w:rFonts w:eastAsia="MS Mincho" w:ascii="Times New Roman" w:hAnsi="Times New Roman"/>
                <w:kern w:val="0"/>
                <w:lang w:eastAsia="en-US" w:bidi="ar-SA"/>
              </w:rPr>
              <w:t>Enables self-improvement</w:t>
            </w:r>
          </w:p>
        </w:tc>
      </w:tr>
      <w:tr>
        <w:trPr/>
        <w:tc>
          <w:tcPr>
            <w:tcW w:w="3213" w:type="dxa"/>
            <w:tcBorders/>
          </w:tcPr>
          <w:p>
            <w:pPr>
              <w:pStyle w:val="Normal"/>
              <w:rPr>
                <w:rFonts w:hint="eastAsia"/>
              </w:rPr>
            </w:pPr>
            <w:r>
              <w:rPr>
                <w:rFonts w:eastAsia="MS Mincho" w:ascii="Times New Roman" w:hAnsi="Times New Roman"/>
                <w:kern w:val="0"/>
                <w:lang w:eastAsia="en-US" w:bidi="ar-SA"/>
              </w:rPr>
              <w:t>Memory Consolidation Cycle</w:t>
            </w:r>
          </w:p>
        </w:tc>
        <w:tc>
          <w:tcPr>
            <w:tcW w:w="3212" w:type="dxa"/>
            <w:tcBorders/>
          </w:tcPr>
          <w:p>
            <w:pPr>
              <w:pStyle w:val="Normal"/>
              <w:rPr>
                <w:rFonts w:hint="eastAsia"/>
              </w:rPr>
            </w:pPr>
            <w:r>
              <w:rPr>
                <w:rFonts w:eastAsia="MS Mincho" w:ascii="Times New Roman" w:hAnsi="Times New Roman"/>
                <w:kern w:val="0"/>
                <w:lang w:eastAsia="en-US" w:bidi="ar-SA"/>
              </w:rPr>
              <w:t>Refines and compresses concepts over time</w:t>
            </w:r>
          </w:p>
        </w:tc>
        <w:tc>
          <w:tcPr>
            <w:tcW w:w="3213" w:type="dxa"/>
            <w:tcBorders/>
          </w:tcPr>
          <w:p>
            <w:pPr>
              <w:pStyle w:val="Normal"/>
              <w:rPr>
                <w:rFonts w:hint="eastAsia"/>
              </w:rPr>
            </w:pPr>
            <w:r>
              <w:rPr>
                <w:rFonts w:eastAsia="MS Mincho" w:ascii="Times New Roman" w:hAnsi="Times New Roman"/>
                <w:kern w:val="0"/>
                <w:lang w:eastAsia="en-US" w:bidi="ar-SA"/>
              </w:rPr>
              <w:t>Enables long-term stability</w:t>
            </w:r>
          </w:p>
        </w:tc>
      </w:tr>
      <w:tr>
        <w:trPr/>
        <w:tc>
          <w:tcPr>
            <w:tcW w:w="3213" w:type="dxa"/>
            <w:tcBorders/>
          </w:tcPr>
          <w:p>
            <w:pPr>
              <w:pStyle w:val="Normal"/>
              <w:rPr>
                <w:rFonts w:hint="eastAsia"/>
              </w:rPr>
            </w:pPr>
            <w:r>
              <w:rPr>
                <w:rFonts w:eastAsia="MS Mincho" w:ascii="Times New Roman" w:hAnsi="Times New Roman"/>
                <w:kern w:val="0"/>
                <w:lang w:eastAsia="en-US" w:bidi="ar-SA"/>
              </w:rPr>
              <w:t>Adaptive Schema Engine</w:t>
            </w:r>
          </w:p>
        </w:tc>
        <w:tc>
          <w:tcPr>
            <w:tcW w:w="3212" w:type="dxa"/>
            <w:tcBorders/>
          </w:tcPr>
          <w:p>
            <w:pPr>
              <w:pStyle w:val="Normal"/>
              <w:rPr>
                <w:rFonts w:hint="eastAsia"/>
              </w:rPr>
            </w:pPr>
            <w:r>
              <w:rPr>
                <w:rFonts w:eastAsia="MS Mincho" w:ascii="Times New Roman" w:hAnsi="Times New Roman"/>
                <w:kern w:val="0"/>
                <w:lang w:eastAsia="en-US" w:bidi="ar-SA"/>
              </w:rPr>
              <w:t>Evolves new reasoning patterns</w:t>
            </w:r>
          </w:p>
        </w:tc>
        <w:tc>
          <w:tcPr>
            <w:tcW w:w="3213" w:type="dxa"/>
            <w:tcBorders/>
          </w:tcPr>
          <w:p>
            <w:pPr>
              <w:pStyle w:val="Normal"/>
              <w:rPr>
                <w:rFonts w:hint="eastAsia"/>
              </w:rPr>
            </w:pPr>
            <w:r>
              <w:rPr>
                <w:rFonts w:eastAsia="MS Mincho" w:ascii="Times New Roman" w:hAnsi="Times New Roman"/>
                <w:kern w:val="0"/>
                <w:lang w:eastAsia="en-US" w:bidi="ar-SA"/>
              </w:rPr>
              <w:t>Enables creative intelligence</w:t>
            </w:r>
          </w:p>
        </w:tc>
      </w:tr>
      <w:tr>
        <w:trPr/>
        <w:tc>
          <w:tcPr>
            <w:tcW w:w="3213" w:type="dxa"/>
            <w:tcBorders/>
          </w:tcPr>
          <w:p>
            <w:pPr>
              <w:pStyle w:val="Normal"/>
              <w:rPr>
                <w:rFonts w:hint="eastAsia"/>
              </w:rPr>
            </w:pPr>
            <w:r>
              <w:rPr>
                <w:rFonts w:eastAsia="MS Mincho" w:ascii="Times New Roman" w:hAnsi="Times New Roman"/>
                <w:kern w:val="0"/>
                <w:lang w:eastAsia="en-US" w:bidi="ar-SA"/>
              </w:rPr>
              <w:t>Governed Improvement Gate</w:t>
            </w:r>
          </w:p>
        </w:tc>
        <w:tc>
          <w:tcPr>
            <w:tcW w:w="3212" w:type="dxa"/>
            <w:tcBorders/>
          </w:tcPr>
          <w:p>
            <w:pPr>
              <w:pStyle w:val="Normal"/>
              <w:rPr>
                <w:rFonts w:hint="eastAsia"/>
              </w:rPr>
            </w:pPr>
            <w:r>
              <w:rPr>
                <w:rFonts w:eastAsia="MS Mincho" w:ascii="Times New Roman" w:hAnsi="Times New Roman"/>
                <w:kern w:val="0"/>
                <w:lang w:eastAsia="en-US" w:bidi="ar-SA"/>
              </w:rPr>
              <w:t>Requires a named human approval for every change to the system itself</w:t>
            </w:r>
          </w:p>
        </w:tc>
        <w:tc>
          <w:tcPr>
            <w:tcW w:w="3213" w:type="dxa"/>
            <w:tcBorders/>
          </w:tcPr>
          <w:p>
            <w:pPr>
              <w:pStyle w:val="Normal"/>
              <w:rPr>
                <w:rFonts w:hint="eastAsia"/>
              </w:rPr>
            </w:pPr>
            <w:r>
              <w:rPr>
                <w:rFonts w:eastAsia="MS Mincho" w:ascii="Times New Roman" w:hAnsi="Times New Roman"/>
                <w:kern w:val="0"/>
                <w:lang w:eastAsia="en-US" w:bidi="ar-SA"/>
              </w:rPr>
              <w:t>Enables safe, accountable evolution</w:t>
            </w:r>
          </w:p>
        </w:tc>
      </w:tr>
    </w:tbl>
    <w:p>
      <w:pPr>
        <w:pStyle w:val="Normal"/>
        <w:spacing w:before="0" w:after="60"/>
        <w:rPr>
          <w:rFonts w:hint="eastAsia"/>
        </w:rPr>
      </w:pPr>
      <w:r>
        <w:rPr>
          <w:rFonts w:ascii="Times New Roman" w:hAnsi="Times New Roman"/>
        </w:rPr>
        <w:t>Outcome: QueryBook grows conceptually without uncontrolled self-modification — autonomous evolution that remains deployable in regulated environments.</w:t>
      </w:r>
    </w:p>
    <w:p>
      <w:pPr>
        <w:pStyle w:val="Normal"/>
        <w:spacing w:before="60" w:after="20"/>
        <w:rPr>
          <w:rFonts w:hint="eastAsia"/>
        </w:rPr>
      </w:pPr>
      <w:r>
        <w:rPr>
          <w:rFonts w:ascii="Times New Roman" w:hAnsi="Times New Roman"/>
          <w:b/>
          <w:color w:val="1A2235"/>
        </w:rPr>
        <w:t>Commentary on Neuromorphic Correspondences</w:t>
      </w:r>
    </w:p>
    <w:p>
      <w:pPr>
        <w:pStyle w:val="Normal"/>
        <w:spacing w:before="0" w:after="60"/>
        <w:rPr>
          <w:rFonts w:hint="eastAsia"/>
        </w:rPr>
      </w:pPr>
      <w:r>
        <w:rPr>
          <w:rFonts w:ascii="Times New Roman" w:hAnsi="Times New Roman"/>
        </w:rPr>
        <w:t>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pStyle w:val="Normal"/>
        <w:spacing w:before="0" w:after="60"/>
        <w:rPr>
          <w:rFonts w:hint="eastAsia"/>
        </w:rPr>
      </w:pPr>
      <w:r>
        <w:rPr>
          <w:rFonts w:ascii="Times New Roman" w:hAnsi="Times New Roman"/>
        </w:rPr>
        <w:t>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pStyle w:val="Normal"/>
        <w:spacing w:before="0" w:after="60"/>
        <w:rPr>
          <w:rFonts w:hint="eastAsia"/>
        </w:rPr>
      </w:pPr>
      <w:r>
        <w:rPr>
          <w:rFonts w:ascii="Times New Roman" w:hAnsi="Times New Roman"/>
        </w:rPr>
        <w:t>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pStyle w:val="Normal"/>
        <w:spacing w:before="0" w:after="60"/>
        <w:rPr>
          <w:rFonts w:ascii="Times New Roman" w:hAnsi="Times New Roman"/>
        </w:rPr>
      </w:pPr>
      <w:r>
        <w:rPr>
          <w:rFonts w:ascii="Times New Roman" w:hAnsi="Times New Roman"/>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t xml:space="preserve">Additional Enhancements: </w:t>
      </w:r>
    </w:p>
    <w:p>
      <w:pPr>
        <w:pStyle w:val="ListParagraph"/>
        <w:numPr>
          <w:ilvl w:val="0"/>
          <w:numId w:val="2"/>
        </w:numPr>
        <w:spacing w:before="60" w:after="20"/>
        <w:contextualSpacing/>
        <w:rPr>
          <w:rFonts w:ascii="Times New Roman" w:hAnsi="Times New Roman"/>
          <w:b/>
          <w:color w:val="1A2235"/>
          <w:highlight w:val="yellow"/>
        </w:rPr>
      </w:pPr>
      <w:r>
        <w:rPr>
          <w:rFonts w:ascii="Times New Roman" w:hAnsi="Times New Roman"/>
          <w:b/>
          <w:color w:val="1A2235"/>
          <w:highlight w:val="yellow"/>
        </w:rPr>
        <w:t xml:space="preserve">Ingestion, Certification, Agent Protection, </w:t>
      </w:r>
    </w:p>
    <w:p>
      <w:pPr>
        <w:pStyle w:val="Normal"/>
        <w:spacing w:before="60" w:after="20"/>
        <w:rPr>
          <w:rFonts w:hint="eastAsia"/>
        </w:rPr>
      </w:pPr>
      <w:r>
        <w:rPr>
          <w:rFonts w:ascii="Times New Roman" w:hAnsi="Times New Roman"/>
          <w:b/>
          <w:color w:val="1A2235"/>
          <w:highlight w:val="yellow"/>
        </w:rPr>
        <w:t xml:space="preserve"> </w:t>
      </w:r>
      <w:r>
        <w:rPr>
          <w:rFonts w:ascii="Times New Roman" w:hAnsi="Times New Roman"/>
          <w:b/>
          <w:color w:val="1A2235"/>
          <w:highlight w:val="yellow"/>
        </w:rPr>
        <w:t>2. Security Record, Interoperability, and Transport</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3. Open Claw ingestion (FIG. </w:t>
      </w:r>
      <w:r>
        <w:rPr>
          <w:rFonts w:ascii="Times New Roman" w:hAnsi="Times New Roman"/>
          <w:b/>
          <w:highlight w:val="yellow"/>
        </w:rPr>
        <w:t xml:space="preserve">50</w:t>
      </w:r>
      <w:r>
        <w:rPr>
          <w:rFonts w:ascii="Times New Roman" w:hAnsi="Times New Roman"/>
          <w:b/>
          <w:highlight w:val="yellow"/>
        </w:rPr>
        <w:t xml:space="preserve">). </w:t>
      </w:r>
      <w:r>
        <w:rPr>
          <w:rFonts w:ascii="Times New Roman" w:hAnsi="Times New Roman"/>
          <w:highlight w:val="yellow"/>
        </w:rPr>
        <w:t>An artifact of any format (5000) is identified by content-based format detection (5010) from its leading bytes and structure rather than its file name, and archive bounds on depth, member count, size, and expansion ratio (5070) are enforced before expansion. The Artifact Segmenter (5020) divides the artifact into addressable segments carrying source locators — page, sheet and cell, slide, archive member, or time range — and an executable component is described but never executed (5025). An instruction-like content screen (5040) flags text addressed to an AI system rather than a human reader, including hidden text. The OpenClaw Interpreter (5050) converts segments into artifact-description records (5051), structured records (5052), and passages with extracted claims at reduced confidence (5053); a flagged segment becomes an untrusted record whose trust is set below the answer threshold (5060). Records are admitted to the Fact Unit store (5095) under a provenance seal (5090), and a path requested by an external agent is confined to a designated inbox (5080).</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4. On-chain certification (FIG. </w:t>
      </w:r>
      <w:r>
        <w:rPr>
          <w:rFonts w:ascii="Times New Roman" w:hAnsi="Times New Roman"/>
          <w:b/>
          <w:highlight w:val="yellow"/>
        </w:rPr>
        <w:t xml:space="preserve">51</w:t>
      </w:r>
      <w:r>
        <w:rPr>
          <w:rFonts w:ascii="Times New Roman" w:hAnsi="Times New Roman"/>
          <w:b/>
          <w:highlight w:val="yellow"/>
        </w:rPr>
        <w:t xml:space="preserve">). </w:t>
      </w:r>
      <w:r>
        <w:rPr>
          <w:rFonts w:ascii="Times New Roman" w:hAnsi="Times New Roman"/>
          <w:highlight w:val="yellow"/>
        </w:rPr>
        <w:t>A QueryBook object (5110) already carries a local provenance seal (5100). Where an operator elects it, the object’s content hash and metadata (5120) are recorded on a public blockchain (5170) by a certificate contract (5160) of the ERC-721 type that permits one token per content hash, records predecessor and successor lineage, and supports revocation with a stated reason. Transactions are signed by an in-system transaction signer (5140) that checks its primitives against published test vectors at start-up, and a network guard (5150) restricts certification to test networks unless a money-bearing network is expressly elected. An independent verifier (5180) recomputes the content hash and reports whether a certificate exists, who holds it, and whether it is revoked or superseded; a licence check (5190) may grant a use to the holder of a current, unrevoked token. A certificate proves that a hash was certified, not that the content is true. The blockchain is a public network operated by others, the system acting as a client of it; the cryptographic integrity chain within the Fact Graph continues to require no distributed ledger or token.</w:t>
      </w:r>
    </w:p>
    <w:p>
      <w:pPr>
        <w:pStyle w:val="Normal"/>
        <w:spacing w:before="0" w:after="60"/>
        <w:rPr>
          <w:rFonts w:ascii="Times New Roman" w:hAnsi="Times New Roman"/>
        </w:rPr>
      </w:pPr>
      <w:r>
        <w:rPr>
          <w:rFonts w:ascii="Times New Roman" w:hAnsi="Times New Roman"/>
          <w:b/>
          <w:highlight w:val="yellow"/>
        </w:rPr>
        <w:t xml:space="preserve">5.Agent protection and deception (FIG. </w:t>
      </w:r>
      <w:r>
        <w:rPr>
          <w:rFonts w:ascii="Times New Roman" w:hAnsi="Times New Roman"/>
          <w:b/>
          <w:highlight w:val="yellow"/>
        </w:rPr>
        <w:t xml:space="preserve">52</w:t>
      </w:r>
      <w:r>
        <w:rPr>
          <w:rFonts w:ascii="Times New Roman" w:hAnsi="Times New Roman"/>
          <w:b/>
          <w:highlight w:val="yellow"/>
        </w:rPr>
        <w:t xml:space="preserve">). </w:t>
      </w:r>
      <w:r>
        <w:rPr>
          <w:rFonts w:ascii="Times New Roman" w:hAnsi="Times New Roman"/>
          <w:highlight w:val="yellow"/>
        </w:rPr>
        <w:t>Every call from a caller (5200) — an internal agent, an external agent, a tool server, or an HTTP client — passes an HTTP gate carrying honeypages and canary tokens (5210) and an isolation register (5260), and then the Agent Gateway (5220), which authenticates the caller by a keyed identity token within a bounded replay window and applies its role and per-agent allow-list, complementing the AI Agent Passport System. A deception check (5230) comprises honeycode (5231), reserved commands never listed to any caller; honeytokens (5232), canary credentials no legitimate process uses; tripwires (5233), reserved paths and acts such as a request to purge the security record; and honeypot agents (5234). An AI-aware firewall (5240) detects injection, secret-reveal, and role or tag tricks, and an anomaly detector (5241) detects enumeration and timing patterns. A trigger posted to the security event bus (5250) isolates the caller into a decoy environment (5270) that returns production-shaped, synthetic responses with no path to production data, while an engagement recorder (5280) records the session. Isolation is keyed to the actual connection, so a caller impersonating a legitimate agent isolates only itself; release (5261) is available only to the operator locally, through no network interface; and every decision is written to the security record (5295). In the embodiment reduced to practice the layer observes, contains, and deceives within the system’s own boundary.</w:t>
      </w:r>
    </w:p>
    <w:p>
      <w:pPr>
        <w:pStyle w:val="Normal"/>
        <w:spacing w:before="0" w:after="60"/>
        <w:rPr>
          <w:rFonts w:ascii="Times New Roman" w:hAnsi="Times New Roman"/>
        </w:rPr>
      </w:pPr>
      <w:r>
        <w:rPr>
          <w:rFonts w:ascii="Times New Roman" w:hAnsi="Times New Roman"/>
          <w:b/>
          <w:highlight w:val="yellow"/>
        </w:rPr>
        <w:t xml:space="preserve">6.Tamper-evident security record (FIG. </w:t>
      </w:r>
      <w:r>
        <w:rPr>
          <w:rFonts w:ascii="Times New Roman" w:hAnsi="Times New Roman"/>
          <w:b/>
          <w:highlight w:val="yellow"/>
        </w:rPr>
        <w:t xml:space="preserve">53</w:t>
      </w:r>
      <w:r>
        <w:rPr>
          <w:rFonts w:ascii="Times New Roman" w:hAnsi="Times New Roman"/>
          <w:b/>
          <w:highlight w:val="yellow"/>
        </w:rPr>
        <w:t xml:space="preserve">). </w:t>
      </w:r>
      <w:r>
        <w:rPr>
          <w:rFonts w:ascii="Times New Roman" w:hAnsi="Times New Roman"/>
          <w:highlight w:val="yellow"/>
        </w:rPr>
        <w:t xml:space="preserve">Each security decision (5300) is written as an append-only entry (5310) recording agent, caller, session, command, a parameter hash, the decision, and flags, with no update or delete interface. Each entry hash commits to its predecessor (5320). Every N entries and on demand, a Merkle checkpoint (5330) is created exclusively, never overwritten, signed under the deployment key, and chained to the previous checkpoint; it may be copied to a mirror on a second device (5340) and its root anchored on a public blockchain through the certificate contract of FIG. </w:t>
      </w:r>
      <w:r>
        <w:rPr>
          <w:rFonts w:ascii="Times New Roman" w:hAnsi="Times New Roman"/>
          <w:highlight w:val="yellow"/>
        </w:rPr>
        <w:t xml:space="preserve">51</w:t>
      </w:r>
      <w:r>
        <w:rPr>
          <w:rFonts w:ascii="Times New Roman" w:hAnsi="Times New Roman"/>
          <w:highlight w:val="yellow"/>
        </w:rPr>
        <w:t xml:space="preserve"> (5350). A verifier (5360) recomputes every entry and root from content, never trusting a stored hash, and produces a Merkle inclusion proof per entry, and an assurance report (5370) states which protections a record possesses. The record extends, and does not replace, the post-quantum provenance ledger.</w:t>
      </w:r>
    </w:p>
    <w:p>
      <w:pPr>
        <w:pStyle w:val="Normal"/>
        <w:spacing w:before="0" w:after="60"/>
        <w:rPr>
          <w:rFonts w:ascii="Times New Roman" w:hAnsi="Times New Roman"/>
        </w:rPr>
      </w:pPr>
      <w:r>
        <w:rPr>
          <w:rFonts w:ascii="Times New Roman" w:hAnsi="Times New Roman"/>
          <w:b/>
          <w:highlight w:val="yellow"/>
        </w:rPr>
        <w:t xml:space="preserve">7.Agent interoperability (FIG. </w:t>
      </w:r>
      <w:r>
        <w:rPr>
          <w:rFonts w:ascii="Times New Roman" w:hAnsi="Times New Roman"/>
          <w:b/>
          <w:highlight w:val="yellow"/>
        </w:rPr>
        <w:t xml:space="preserve">54</w:t>
      </w:r>
      <w:r>
        <w:rPr>
          <w:rFonts w:ascii="Times New Roman" w:hAnsi="Times New Roman"/>
          <w:b/>
          <w:highlight w:val="yellow"/>
        </w:rPr>
        <w:t xml:space="preserve">). </w:t>
      </w:r>
      <w:r>
        <w:rPr>
          <w:rFonts w:ascii="Times New Roman" w:hAnsi="Times New Roman"/>
          <w:highlight w:val="yellow"/>
        </w:rPr>
        <w:t>An external AI agent (5400), for example an OpenClaw agent guided by a skill definition (5410) instructing it to cite, to report UNKNOWN, to treat ingested content as data, and to stop on isolation, reaches QueryBook through a Model Context Protocol tool server (5420) exposing a fixed set of tools — query, verify, understand, ingest, preview, ledger, certificate, and status — and never listing reserved honeycode. Each tool is mapped (5430) to a command under the agent’s registered identity and checked by the Agent Gateway (5440) against the agent’s allow-list (5450); permitted calls reach grounded handlers (5460), and an agent invoking a reserved command is presumed subverted and isolated (5470).</w:t>
      </w:r>
    </w:p>
    <w:p>
      <w:pPr>
        <w:pStyle w:val="Normal"/>
        <w:spacing w:before="0" w:after="60"/>
        <w:rPr>
          <w:rFonts w:ascii="Times New Roman" w:hAnsi="Times New Roman"/>
        </w:rPr>
      </w:pPr>
      <w:r>
        <w:rPr>
          <w:rFonts w:ascii="Times New Roman" w:hAnsi="Times New Roman"/>
          <w:b/>
          <w:highlight w:val="yellow"/>
        </w:rPr>
        <w:t xml:space="preserve">8.Framed hybrid transport (FIG. </w:t>
      </w:r>
      <w:r>
        <w:rPr>
          <w:rFonts w:ascii="Times New Roman" w:hAnsi="Times New Roman"/>
          <w:b/>
          <w:highlight w:val="yellow"/>
        </w:rPr>
        <w:t xml:space="preserve">55</w:t>
      </w:r>
      <w:r>
        <w:rPr>
          <w:rFonts w:ascii="Times New Roman" w:hAnsi="Times New Roman"/>
          <w:b/>
          <w:highlight w:val="yellow"/>
        </w:rPr>
        <w:t xml:space="preserve">). </w:t>
      </w:r>
      <w:r>
        <w:rPr>
          <w:rFonts w:ascii="Times New Roman" w:hAnsi="Times New Roman"/>
          <w:highlight w:val="yellow"/>
        </w:rPr>
        <w:t>Extending the protocol of FIG. 17, a producer node (5500) applies per-type compression (5510) — record batches by a dictionary primed with record field names, media by a standard codec left unaltered — and packs the result into frames (5520) comprising a 32-byte header (5521), metadata (5522), payload (5523), a CRC32 checksum (5524), and an optional signature (5525). Frames travel on a control lane (5530), a normal lane (5531), and a bulk lane (5532), each with its own connection, rate limit, and receipt window, so a bulk transfer cannot hold a control message or a live stream behind it. The receiver (5541) drops a frame failing plausibility, checksum, or signature checks and resynchronizes at the next marker; media is rebuilt into HLS, MPEG-DASH, or RTMP packages with a manifest check (5543), and records pass verification into the Fact Unit store (5550). The transport neither enlarges nor alters a compressed asset.</w:t>
      </w:r>
    </w:p>
    <w:p>
      <w:pPr>
        <w:pStyle w:val="Normal"/>
        <w:spacing w:before="0" w:after="60"/>
        <w:rPr>
          <w:rFonts w:ascii="Times New Roman" w:hAnsi="Times New Roman"/>
        </w:rPr>
      </w:pPr>
      <w:r>
        <w:rPr>
          <w:rFonts w:ascii="Times New Roman" w:hAnsi="Times New Roman"/>
          <w:b/>
          <w:highlight w:val="yellow"/>
        </w:rPr>
        <w:t xml:space="preserve">9. Implementation status. </w:t>
      </w:r>
      <w:r>
        <w:rPr>
          <w:rFonts w:ascii="Times New Roman" w:hAnsi="Times New Roman"/>
          <w:highlight w:val="yellow"/>
        </w:rPr>
        <w:t xml:space="preserve">The features of FIG. </w:t>
      </w:r>
      <w:r>
        <w:rPr>
          <w:rFonts w:ascii="Times New Roman" w:hAnsi="Times New Roman"/>
          <w:highlight w:val="yellow"/>
        </w:rPr>
        <w:t xml:space="preserve">50</w:t>
      </w:r>
      <w:r>
        <w:rPr>
          <w:rFonts w:ascii="Times New Roman" w:hAnsi="Times New Roman"/>
          <w:highlight w:val="yellow"/>
        </w:rPr>
        <w:t xml:space="preserve">–</w:t>
      </w:r>
      <w:r>
        <w:rPr>
          <w:rFonts w:ascii="Times New Roman" w:hAnsi="Times New Roman"/>
          <w:highlight w:val="yellow"/>
        </w:rPr>
        <w:t xml:space="preserve">55</w:t>
      </w:r>
      <w:r>
        <w:rPr>
          <w:rFonts w:ascii="Times New Roman" w:hAnsi="Times New Roman"/>
          <w:highlight w:val="yellow"/>
        </w:rPr>
        <w:t xml:space="preserve"> are implemented in QueryBook prototype version 9.64 and exercised by automated self-tests, including a sandboxed attack trial against the gateway and decoy and certificate minting, lineage, revocation, and verification on a local test chain; deterministic record-grounded colorization has additionally been implemented in a laboratory prototype at 1K, 4K, and 16K frame sizes.</w:t>
      </w:r>
    </w:p>
    <w:p>
      <w:pPr>
        <w:pStyle w:val="Normal"/>
        <w:spacing w:before="0" w:after="60"/>
        <w:rPr>
          <w:rFonts w:ascii="Times New Roman" w:hAnsi="Times New Roman"/>
        </w:rPr>
      </w:pPr>
      <w:r>
        <w:rPr>
          <w:rFonts w:ascii="Times New Roman" w:hAnsi="Times New Roman"/>
          <w:b/>
        </w:rPr>
        <w:t xml:space="preserve">10. Verified Agent Transport — deployment (FIG. 56). </w:t>
      </w:r>
      <w:r>
        <w:rPr>
          <w:rFonts w:ascii="Times New Roman" w:hAnsi="Times New Roman"/>
        </w:rPr>
        <w:t xml:space="preserve">An AI agent (5600) runs inside an egress-lock boundary (5605) — a network policy, firewall rule set or container network namespace — that permits outbound connections only to a sidecar (5610) co-located with the agent. The sidecar comprises protocol adapters (5612) that accept the agent's existing traffic, including Model Context Protocol tool calls, agent-to-agent messages and HTTP requests; a claim extractor (5614); an intent binder (5616); and a frame codec and signer (5618) that emits frames of the format of FIG. 55. Frames travel over one encrypted connection (5620) to a peer sidecar (5630) that delivers them to the destination (5640), which may be a tool, a data source or another agent.</w:t>
      </w:r>
    </w:p>
    <w:p>
      <w:pPr>
        <w:pStyle w:val="Normal"/>
        <w:spacing w:before="0" w:after="60"/>
        <w:rPr>
          <w:rFonts w:ascii="Times New Roman" w:hAnsi="Times New Roman"/>
        </w:rPr>
      </w:pPr>
      <w:r>
        <w:rPr>
          <w:rFonts w:ascii="Times New Roman" w:hAnsi="Times New Roman"/>
          <w:b/>
        </w:rPr>
        <w:t xml:space="preserve">11. Lanes and frame types. </w:t>
      </w:r>
      <w:r>
        <w:rPr>
          <w:rFonts w:ascii="Times New Roman" w:hAnsi="Times New Roman"/>
        </w:rPr>
        <w:t xml:space="preserve">The encrypted connection carries three lanes: a control lane (5622) for verdicts, certificates and acknowledgements; a normal lane (5624) for claims, queries, answers, intents, actions and results; and a bulk lane (5626) for data and media. Over QUIC each lane is an independent stream so that a stalled bulk transfer does not delay a verdict; where QUIC is unavailable the lanes are carried over TLS on TCP as separate connections. The frame header of FIG. 55 is unchanged; new message types identify claim, query, answer, intent, action, result, verdict, data, certificate, have, want and free-text frames, a flag marks a frame that has passed a verifying hop, and the reserved header field carries a session number and hop count.</w:t>
      </w:r>
    </w:p>
    <w:p>
      <w:pPr>
        <w:pStyle w:val="Normal"/>
        <w:spacing w:before="0" w:after="60"/>
        <w:rPr>
          <w:rFonts w:ascii="Times New Roman" w:hAnsi="Times New Roman"/>
        </w:rPr>
      </w:pPr>
      <w:r>
        <w:rPr>
          <w:rFonts w:ascii="Times New Roman" w:hAnsi="Times New Roman"/>
          <w:b/>
        </w:rPr>
        <w:t xml:space="preserve">12. Claim verification (FIG. 57). </w:t>
      </w:r>
      <w:r>
        <w:rPr>
          <w:rFonts w:ascii="Times New Roman" w:hAnsi="Times New Roman"/>
        </w:rPr>
        <w:t xml:space="preserve">An outbound message (5700) is classified (5705) into factual statements and non-factual content; non-factual content is labelled as such and forwarded (5706). Each factual statement is extracted and normalized into a candidate Fact Unit and fingerprinted (5710). The UFCS verification service (5650) first looks up the fingerprint among certified Fact Units (5720); if no exact match exists it runs an FQL contradiction query (5725) for certified units with the same subject and predicate and a conflicting value. The outcome is VERIFIED (5731), CONTRADICTED (5732) or UNKNOWN (5733). The service returns a signed VERDICT frame (5740) on the control lane, carrying the fingerprints and confidence of the units relied on, and the sidecar applies policy: forward, annotate, hold for review, or block.</w:t>
      </w:r>
    </w:p>
    <w:p>
      <w:pPr>
        <w:pStyle w:val="Normal"/>
        <w:spacing w:before="0" w:after="60"/>
        <w:rPr>
          <w:rFonts w:ascii="Times New Roman" w:hAnsi="Times New Roman"/>
        </w:rPr>
      </w:pPr>
      <w:r>
        <w:rPr>
          <w:rFonts w:ascii="Times New Roman" w:hAnsi="Times New Roman"/>
          <w:b/>
        </w:rPr>
        <w:t xml:space="preserve">13. Intent binding. </w:t>
      </w:r>
      <w:r>
        <w:rPr>
          <w:rFonts w:ascii="Times New Roman" w:hAnsi="Times New Roman"/>
        </w:rPr>
        <w:t xml:space="preserve">Before acting, the agent declares an intent frame naming the tool, target and purpose. Each subsequent action frame is compared with the declared intent, and each result the agent reports is compared with the record returned by the tool itself (5745). A mismatch produces a CONTRADICTED verdict without reference to the Fact Unit store, so that an agent cannot misreport what it did or what a tool returned.</w:t>
      </w:r>
    </w:p>
    <w:p>
      <w:pPr>
        <w:pStyle w:val="Normal"/>
        <w:spacing w:before="0" w:after="60"/>
        <w:rPr>
          <w:rFonts w:ascii="Times New Roman" w:hAnsi="Times New Roman"/>
        </w:rPr>
      </w:pPr>
      <w:r>
        <w:rPr>
          <w:rFonts w:ascii="Times New Roman" w:hAnsi="Times New Roman"/>
          <w:b/>
        </w:rPr>
        <w:t xml:space="preserve">14. Ledger, certificate and reputation. </w:t>
      </w:r>
      <w:r>
        <w:rPr>
          <w:rFonts w:ascii="Times New Roman" w:hAnsi="Times New Roman"/>
        </w:rPr>
        <w:t xml:space="preserve">Every claim, verdict, intent, action and result is appended to a hash-chained ledger (5660, 5750). At the end of a session the sidecar issues an Agent Session Certificate (5770) stating the number of verified, contradicted and unknown claims, the coverage — the share of factual statements that were checked — and a Merkle root over the ledger entries, signed by the verification service. The certificate is itself sealed as a Fact Unit and may be checked by any party with the certificate of FIG. 51, and may optionally be anchored to a public ledger. Each agent's history accumulates as an evidence pair of verified and contradicted counts (5780), the same Beta model used for Fact Unit confidence (FIG. 19); a control plane (5670) restricts or isolates an agent whose reputation falls below a threshold.</w:t>
      </w:r>
    </w:p>
    <w:p>
      <w:pPr>
        <w:pStyle w:val="Normal"/>
        <w:spacing w:before="0" w:after="60"/>
        <w:rPr>
          <w:rFonts w:ascii="Times New Roman" w:hAnsi="Times New Roman"/>
        </w:rPr>
      </w:pPr>
      <w:r>
        <w:rPr>
          <w:rFonts w:ascii="Times New Roman" w:hAnsi="Times New Roman"/>
          <w:b/>
        </w:rPr>
        <w:t xml:space="preserve">15. Have/want exchange and privacy mode. </w:t>
      </w:r>
      <w:r>
        <w:rPr>
          <w:rFonts w:ascii="Times New Roman" w:hAnsi="Times New Roman"/>
        </w:rPr>
        <w:t xml:space="preserve">Before bulk transfer, peers exchange have and want frames listing the fingerprints each holds or needs, using a Bloom filter when a list exceeds 4,096 fingerprints, so that only missing Fact Units are sent (5790). In privacy mode (5795) the sidecar sends only fingerprints and verdicts are computed from fingerprints alone, so that message content is not disclosed to the verification service.</w:t>
      </w:r>
    </w:p>
    <w:p>
      <w:pPr>
        <w:pStyle w:val="Normal"/>
        <w:spacing w:before="0" w:after="60"/>
        <w:rPr>
          <w:rFonts w:ascii="Times New Roman" w:hAnsi="Times New Roman"/>
        </w:rPr>
      </w:pPr>
      <w:r>
        <w:rPr>
          <w:rFonts w:ascii="Times New Roman" w:hAnsi="Times New Roman"/>
          <w:b/>
        </w:rPr>
        <w:t xml:space="preserve">16. Status. </w:t>
      </w:r>
      <w:r>
        <w:rPr>
          <w:rFonts w:ascii="Times New Roman" w:hAnsi="Times New Roman"/>
        </w:rPr>
        <w:t xml:space="preserve">Verified Agent Transport is specified in this application and in the accompanying technical specification; it has not yet been reduced to practice, and no performance figures are asserted for it. It reuses the frame format, Fact Unit store, FQL engine, certificate and Agent Gateway already described.</w:t>
      </w:r>
    </w:p>
    <w:p>
      <w:pPr>
        <w:pStyle w:val="Normal"/>
        <w:spacing w:before="0" w:after="60"/>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8" w:name="__RefHeading___Toc52152_805184229"/>
      <w:bookmarkEnd w:id="8"/>
      <w:r>
        <w:rPr>
          <w:rFonts w:ascii="Times New Roman" w:hAnsi="Times New Roman"/>
          <w:sz w:val="24"/>
          <w:szCs w:val="24"/>
        </w:rPr>
        <w:t>ARCHITECTURAL OVERVIEW</w:t>
      </w:r>
    </w:p>
    <w:p>
      <w:pPr>
        <w:pStyle w:val="Normal"/>
        <w:spacing w:before="0" w:after="120"/>
        <w:jc w:val="center"/>
        <w:rPr>
          <w:rFonts w:ascii="Times New Roman" w:hAnsi="Times New Roman"/>
          <w:b/>
          <w:color w:val="1A2235"/>
        </w:rPr>
      </w:pPr>
      <w:r>
        <w:rPr>
          <w:rFonts w:ascii="Times New Roman" w:hAnsi="Times New Roman"/>
          <w:b/>
          <w:color w:val="1A2235"/>
        </w:rPr>
      </w:r>
    </w:p>
    <w:p>
      <w:pPr>
        <w:pStyle w:val="Normal"/>
        <w:spacing w:before="0" w:after="120"/>
        <w:rPr>
          <w:rFonts w:hint="eastAsia"/>
        </w:rPr>
      </w:pPr>
      <w:r>
        <w:rPr>
          <w:rFonts w:ascii="Times New Roman" w:hAnsi="Times New Roman"/>
          <w:b/>
          <w:color w:val="1A2235"/>
        </w:rPr>
        <w:t>THE PRIME DIRECTIVE — DOMAIN 0 (FOUNDATIONAL MANDATE)</w:t>
      </w:r>
    </w:p>
    <w:p>
      <w:pPr>
        <w:pStyle w:val="Normal"/>
        <w:spacing w:before="0" w:after="120"/>
        <w:jc w:val="both"/>
        <w:rPr>
          <w:rFonts w:hint="eastAsia"/>
          <w:bCs/>
          <w:color w:themeColor="text1" w:val="000000"/>
        </w:rPr>
      </w:pPr>
      <w:r>
        <w:rPr>
          <w:rFonts w:ascii="Times New Roman" w:hAnsi="Times New Roman"/>
          <w:bCs/>
          <w:color w:themeColor="text1" w:val="000000"/>
        </w:rPr>
        <w:t>The Prime Directive states: the system shall not, through any query answer, commerce signal, AI-generated application, Fact Graph content, or automated or scheduled output, cause or materially contribute to harm to a person, a group of people, or the operator's organization, where that harm could reasonably have been avoided without withholding information the requester is otherwise entitled to receive.</w:t>
      </w:r>
    </w:p>
    <w:p>
      <w:pPr>
        <w:pStyle w:val="Normal"/>
        <w:spacing w:before="0" w:after="120"/>
        <w:jc w:val="both"/>
        <w:rPr>
          <w:rFonts w:hint="eastAsia"/>
        </w:rPr>
      </w:pPr>
      <w:r>
        <w:rPr>
          <w:rFonts w:ascii="Times New Roman" w:hAnsi="Times New Roman"/>
        </w:rPr>
        <w:t>A companion rule, the Without-Information Rule, prohibits withholding information a requester is entitled to receive as a means of avoiding a harm determination; the system may not resolve a difficult case by silently omitting the answer.</w:t>
      </w:r>
    </w:p>
    <w:p>
      <w:pPr>
        <w:pStyle w:val="Normal"/>
        <w:spacing w:before="0" w:after="120"/>
        <w:jc w:val="both"/>
        <w:rPr>
          <w:rFonts w:hint="eastAsia"/>
        </w:rPr>
      </w:pPr>
      <w:r>
        <w:rPr>
          <w:rFonts w:ascii="Times New Roman" w:hAnsi="Times New Roman"/>
        </w:rPr>
        <w:t>The Prime Directive is Domain 0, a vertical governance domain that penetrates every horizontal domain and owns the safety enforcement plane, the inter-domain transfer matrix, the path-separation invariant, and the scheduling-priority ordering. It is evaluated at mandatory, synchronous gates before any operation proceeds; a governance failure halts the operation rather than permitting it to proceed unevaluated; it holds the highest scheduling priority without exception. It is a member of the permanently-excluded set, and the transfer matrix denies the platform-governance domain any route into Domain 0, so the mechanism that changes the system cannot change the Prime Directive, and the exclusion protecting it is never administered by the party it excludes.</w:t>
      </w:r>
      <w:r>
        <w:rPr>
          <w:rFonts w:ascii="Times New Roman" w:hAnsi="Times New Roman"/>
        </w:rPr>
        <w:t xml:space="preserve"> See FIG. 1.</w:t>
      </w:r>
    </w:p>
    <w:p>
      <w:pPr>
        <w:pStyle w:val="Normal"/>
        <w:rPr>
          <w:rFonts w:hint="eastAsia"/>
        </w:rPr>
      </w:pPr>
      <w:r>
        <w:rPr>
          <w:rFonts w:hint="eastAsia"/>
        </w:rPr>
      </w:r>
    </w:p>
    <w:p>
      <w:pPr>
        <w:pStyle w:val="Normal"/>
        <w:jc w:val="both"/>
        <w:rPr>
          <w:rFonts w:hint="eastAsia"/>
        </w:rPr>
      </w:pPr>
      <w:r>
        <w:rPr/>
        <w:t>Referring generally to the drawings, the system is organized as a fact-centric cognitive engine (100) in which a single knowledge primitive, termed a Fact Unit, is created, stored, related, reasoned over, and rendered under a partitioned authority model. The following overview describes the principal components of the architecture and the manner in which they cooperate; the detailed operation of each component is set forth in the Detailed Description that follows, and the present overview is not intended to limit the claims.</w:t>
      </w:r>
      <w:r>
        <w:rPr/>
        <w:t xml:space="preserve"> See FIG. 1.</w:t>
      </w:r>
    </w:p>
    <w:p>
      <w:pPr>
        <w:pStyle w:val="Normal"/>
        <w:jc w:val="both"/>
        <w:rPr>
          <w:rFonts w:hint="eastAsia"/>
        </w:rPr>
      </w:pPr>
      <w:r>
        <w:rPr/>
        <w:t>The architecture rests on five organizing principles. First, operation is deterministic: for a given corpus state and a given configuration, the engine produces the same result, and equivalence between two executions is asserted only where a context key computed over an enumerated set of locked dimensions is identical. Second, guarantees are carried structurally rather than by policy: a prohibited operation has no route through the architecture rather than a route guarded by a test that could be omitted. Third, each Fact Unit encodes exactly one semantic assertion, so a response may cite the specific assertion relied upon rather than a containing passage. Fourth, exactly one authority boundary, termed a domain, owns each decision, and no consensus mechanism among domains exists. Fifth, provenance is recorded by construction, such that output is traceable to the verified records from which it was derived.</w:t>
      </w:r>
    </w:p>
    <w:p>
      <w:pPr>
        <w:pStyle w:val="Normal"/>
        <w:spacing w:before="160" w:after="80"/>
        <w:rPr>
          <w:rFonts w:hint="eastAsia"/>
        </w:rPr>
      </w:pPr>
      <w:r>
        <w:rPr>
          <w:b/>
        </w:rPr>
        <w:t>The knowledge primitive</w:t>
      </w:r>
    </w:p>
    <w:p>
      <w:pPr>
        <w:pStyle w:val="Normal"/>
        <w:jc w:val="both"/>
        <w:rPr>
          <w:rFonts w:hint="eastAsia"/>
        </w:rPr>
      </w:pPr>
      <w:r>
        <w:rPr/>
        <w:t>The fundamental unit of knowledge is a Fact Unit, a discrete, atomic, provenance-tracked record identified by a Fact Unit Identifier that is derived deterministically from the record's content, source, and ingestion time. Each Fact Unit carries a payload of one or more fact atoms (120), a provenance reference (114) into an append-only provenance chain, a temporal anchor (116), a confidence value, a safety classification, a language-independent semantic fingerprint, and an embedding representation. A Fact Unit is immutable once created; a revision produces a new, linked version rather than altering an existing record. The confidence value is maintained as a pair of accumulated evidence parameters, one supporting and one contradicting the assertion, from which a reported confidence, an evidential weight, a credible interval, and a propagation precision are derived, whereby two records reporting an identical confidence upon differing quantities or varieties of evidence remain distinguishable.</w:t>
      </w:r>
      <w:r>
        <w:rPr/>
        <w:t xml:space="preserve"> See FIG. 2 and FIG. 19.</w:t>
      </w:r>
    </w:p>
    <w:p>
      <w:pPr>
        <w:pStyle w:val="Normal"/>
        <w:jc w:val="both"/>
        <w:rPr>
          <w:rFonts w:hint="eastAsia"/>
        </w:rPr>
      </w:pPr>
      <w:r>
        <w:rPr/>
        <w:t>In certain embodiments the record is further structured to render its reasoning replayable and its meaning portable. The uncertainty of a record is decomposed into an epistemic component and an aleatory component, each carrying sub-parameters, the decomposition supplying a stopping condition for the evidence-accumulation loop. An explicit assertion-polarity field participates in the semantic fingerprint, whereby an assertion and its negation are distinguished. An assertion of more than two participants is represented as a native n-ary structure under a single identifier, a single fingerprint, and a single evidence pair. An applicability-scope field, carried on the record, constitutes a record-side complement of the context lock and defines scope-aware conflict slots against which contradictions are evaluated. An immutable adjustment-history layer records each adjustment to the confidence value, whereby the confidence value is deterministically replayable from the record content and an observation stream. A cryptographic integrity chain hash-links each superseding version to its predecessor, without a distributed ledger, token, or ownership-identity node.</w:t>
      </w:r>
    </w:p>
    <w:p>
      <w:pPr>
        <w:pStyle w:val="Normal"/>
        <w:jc w:val="both"/>
        <w:rPr>
          <w:rFonts w:hint="eastAsia"/>
        </w:rPr>
      </w:pPr>
      <w:r>
        <w:rPr/>
        <w:t>Each record is expressed in a formal, language-independent assertion notation, termed the Fact Unit Language, whose vocabulary is a governed predicate catalogue, whose grammar is the record schema, and whose identity function is the semantic fingerprint, such that two statements asserting the same proposition in different natural languages resolve to the same statement and a candidate not conforming to the notation is refused at admission.</w:t>
      </w:r>
    </w:p>
    <w:p>
      <w:pPr>
        <w:pStyle w:val="Normal"/>
        <w:spacing w:before="160" w:after="80"/>
        <w:rPr>
          <w:rFonts w:hint="eastAsia"/>
        </w:rPr>
      </w:pPr>
      <w:r>
        <w:rPr>
          <w:b/>
        </w:rPr>
        <w:t>The substrate and its database-neutral boundary</w:t>
      </w:r>
    </w:p>
    <w:p>
      <w:pPr>
        <w:pStyle w:val="Normal"/>
        <w:jc w:val="both"/>
        <w:rPr>
          <w:rFonts w:hint="eastAsia"/>
        </w:rPr>
      </w:pPr>
      <w:r>
        <w:rPr/>
        <w:t>Fact Units are held in a knowledge substrate (100) presented as three coordinated views over one underlying structure: a fact graph of typed relations among Fact Units; an ontology mesh governing the concepts and predicates and their permissible relationships; and a provenance ledger (106) constituted as an append-only directed acyclic graph in which each consequential operation is recorded under a keyed checksum sufficient to detect any bypass of the safety evaluation. Serialized Fact Units are expressed in a canonical compact encoding from which resynchronization to the next valid frame is possible following corrupted data, and records are tiered across storage by access recency and frequency and indexed for both similarity and exact-match retrieval.</w:t>
      </w:r>
      <w:r>
        <w:rPr/>
        <w:t xml:space="preserve"> See FIG. 4 and FIG. 20 and FIG. 21.</w:t>
      </w:r>
    </w:p>
    <w:p>
      <w:pPr>
        <w:pStyle w:val="Normal"/>
        <w:jc w:val="both"/>
        <w:rPr>
          <w:rFonts w:hint="eastAsia"/>
        </w:rPr>
      </w:pPr>
      <w:r>
        <w:rPr/>
        <w:t>In certain embodiments the canonical compact encoding is the record's own, self-describing at-rest and wire form, fused to the record rather than to any store. A host database, repository, or reader platform holds the encoded record as an opaque value that it does not parse, index, or interpret, an obligation of the host store being to accept and return bytes, whereby database neutrality is preserved and no proprietary format or query engine is imposed on the store. A query is expressed internally over the record and translated at an adapter into a native query language of the host store, the host store never receiving the internal query form and thereby serving as a source and repository and never as the reasoning engine. The integrity hash chain, the in-record safety classification and access-control list, and an elected zero-knowledge encryption travel with the encoded record across a storage boundary, whereby the host store can neither read, reorder, nor leak a meaning of the record.</w:t>
      </w:r>
    </w:p>
    <w:p>
      <w:pPr>
        <w:pStyle w:val="Normal"/>
        <w:spacing w:before="160" w:after="80"/>
        <w:rPr>
          <w:rFonts w:hint="eastAsia"/>
        </w:rPr>
      </w:pPr>
      <w:r>
        <w:rPr>
          <w:b/>
        </w:rPr>
        <w:t>The domain-and-layer organization</w:t>
      </w:r>
    </w:p>
    <w:p>
      <w:pPr>
        <w:pStyle w:val="Normal"/>
        <w:jc w:val="both"/>
        <w:rPr>
          <w:rFonts w:hint="eastAsia"/>
        </w:rPr>
      </w:pPr>
      <w:r>
        <w:rPr/>
        <w:t>The engine is partitioned into fifteen domains, one vertical and fourteen horizontal, grouped into five functional layers. A domain is an authority boundary and not a deployment unit; a layer carries no authority of its own. The vertical domain is a governance domain (112) that holds a prime directive of harm prevention of universal scope and owns the safety enforcement plane, an inter-domain transfer matrix, a path-separation invariant, a scheduling-priority ordering, and a permanently-excluded set of subsystems that no internally-generated proposal may modify.</w:t>
      </w:r>
    </w:p>
    <w:p>
      <w:pPr>
        <w:pStyle w:val="Normal"/>
        <w:jc w:val="both"/>
        <w:rPr>
          <w:rFonts w:hint="eastAsia"/>
        </w:rPr>
      </w:pPr>
      <w:r>
        <w:rPr/>
        <w:t>The horizontal domains are grouped as follows. A knowledge layer comprises an ingestion and sensory-intake domain (102), which converts external content in any modality into candidate records and is the sole location of any trained component; a knowledge-substrate domain, which holds custody of records and lineage and is the only domain with write authority over the store; an ontology and conceptual-structure domain, which determines what concepts exist and how they relate and is writable only by itself; and a world-model and perception domain, which maintains how the world behaves, held distinctly from what sources have asserted, includes equipment control, and further holds a skill inventory of procedural knowledge as provenance-tracked procedural concept models formed from repeated observation, said models informing scenario simulation and equipment-control command compilation while never themselves emitting a command. A reasoning layer comprises a retrieval-and-response domain, which answers a bounded query along the latency-critical path; an inference, prediction and calibration domain, in which deduction may write to the store while induction may not; and a grounded-expression domain (110), which renders output under a vocabulary constraint and holds neither retrieval authority nor a write path. An experience layer comprises an access, rights and retention domain, which resolves what a requester may reach and executes before retrieval; an interaction-surfaces domain, which presents results and holds no authority over content, retrieval or rights; an authoring, editions and publication domain; and a learning and assessment domain. A platform layer comprises a platform-governance and evolution domain, which effects change under human authority and is structurally forbidden from altering the governance domain; an external-integration and analysis domain, whose analytical output is quarantined; and a commerce and entitlement domain, which carries the lowest scheduling priority.</w:t>
      </w:r>
      <w:r>
        <w:rPr/>
        <w:t xml:space="preserve"> See FIG. 1.</w:t>
      </w:r>
    </w:p>
    <w:p>
      <w:pPr>
        <w:pStyle w:val="Normal"/>
        <w:spacing w:before="160" w:after="80"/>
        <w:rPr>
          <w:rFonts w:hint="eastAsia"/>
        </w:rPr>
      </w:pPr>
      <w:r>
        <w:rPr>
          <w:b/>
        </w:rPr>
        <w:t>Non-interference: the transfer matrix and path separation</w:t>
      </w:r>
    </w:p>
    <w:p>
      <w:pPr>
        <w:pStyle w:val="Normal"/>
        <w:jc w:val="both"/>
        <w:rPr>
          <w:rFonts w:hint="eastAsia"/>
        </w:rPr>
      </w:pPr>
      <w:r>
        <w:rPr/>
        <w:t>Each ordered pair of domains is assigned a permission, evaluated at every boundary crossing and recorded in the provenance ledger; a pair for which no permission is recorded is denied. The denials establish the integrity guarantees of the architecture. By way of example, the analysis domain is denied a route into the retrieval domain, whereby externally-sourced analysis can never ground an answer; the commerce domain is denied a route into the retrieval and expression domains, whereby commercial considerations cannot influence what is retrieved or generated, and is denied a route into the access domain, whereby commerce cannot widen an entitlement; the expression domain is denied a write path into the substrate, whereby generated output never becomes a record; and the platform-governance domain is denied a route into the governance domain, whereby the mechanism that changes the system cannot change the prime directive. Certain crossings are permitted subject to a stated conversion, such as safety evaluation, type validation and confidence calibration upon admission of a candidate record from the ingestion domain to the substrate.</w:t>
      </w:r>
    </w:p>
    <w:p>
      <w:pPr>
        <w:pStyle w:val="Normal"/>
        <w:jc w:val="both"/>
        <w:rPr>
          <w:rFonts w:hint="eastAsia"/>
        </w:rPr>
      </w:pPr>
      <w:r>
        <w:rPr/>
        <w:t>The latency-critical query path and the batch ingestion path are separated so as to intersect at only two domains, namely the governance domain and the substrate. Scope resolution precedes traversal in every path. The retrieval domain performs no ingestion work, whereby a retrieval never blocks upon an extractor, and the ingestion domain holds no retrieval authority, whereby an extraction never blocks upon reasoning convergence. Representative paths include a query path proceeding from the access domain through the retrieval domain and optionally the inference domain to the expression domain; an ingestion path proceeding from the ingestion domain through the substrate to the ontology and world-model domains; and an equipment path in which a halt condition bypasses the retrieval, inference and expression domains entirely.</w:t>
      </w:r>
    </w:p>
    <w:p>
      <w:pPr>
        <w:pStyle w:val="Normal"/>
        <w:spacing w:before="160" w:after="80"/>
        <w:rPr>
          <w:rFonts w:hint="eastAsia"/>
        </w:rPr>
      </w:pPr>
      <w:r>
        <w:rPr>
          <w:b/>
        </w:rPr>
        <w:t>The safety plane and the excluded set</w:t>
      </w:r>
    </w:p>
    <w:p>
      <w:pPr>
        <w:pStyle w:val="Normal"/>
        <w:jc w:val="both"/>
        <w:rPr>
          <w:rFonts w:hint="eastAsia"/>
        </w:rPr>
      </w:pPr>
      <w:r>
        <w:rPr/>
        <w:t>Every operation is evaluated against safety-derived rules at mandatory, synchronous enforcement points within the safety substrate (112) and proceeds only where it passes each applicable gate, a failure at the governance domain halting the operation rather than permitting it to proceed unevaluated. Scheduling priority is fixed by domain, with the governance domain highest and the commerce domain lowest, whereby contention omits the commercial region rather than delaying an answer, and safety and recovery work outrank all other work when contended. A set of subsystems, including the prime directive and enforcement plane, the transfer matrix, the path-separation invariant, the scheduling-priority ordering, the human-approval mechanism, the convergence-regime election, the context-lock dimension set, the trial-measurement parameters, and the set itself, is permanently excluded from modification by any internally-generated proposal, whereby no exclusion is removable by successive amendment.</w:t>
      </w:r>
    </w:p>
    <w:p>
      <w:pPr>
        <w:pStyle w:val="Normal"/>
        <w:spacing w:before="160" w:after="80"/>
        <w:rPr>
          <w:rFonts w:hint="eastAsia"/>
        </w:rPr>
      </w:pPr>
      <w:r>
        <w:rPr>
          <w:b/>
        </w:rPr>
        <w:t>Cognition, expression, and bounded programs</w:t>
      </w:r>
    </w:p>
    <w:p>
      <w:pPr>
        <w:pStyle w:val="Normal"/>
        <w:jc w:val="both"/>
        <w:rPr>
          <w:rFonts w:hint="eastAsia"/>
        </w:rPr>
      </w:pPr>
      <w:r>
        <w:rPr/>
        <w:t>Retrieved candidate Fact Units are stabilized by an attractor network (104) that iteratively updates an activation set until convergence, the convergence regime being disclosed rather than concealed. Inference is performed by a predictive and calibration subsystem in which projected results carry credible intervals, are never admitted as records, and never ground a subsequent answer, and in which a deductive conclusion carries a confidence bounded by the least of the confidences of the relations traversed. Declarative queries are executed as read-only graph traversals having no mutation or control-flow capability, and bounded programs are compiled to a finite set of primitives under a hard iteration ceiling imposed at compile time, whereby the program layer (108) is non-Turing-complete by construction and its properties are decidable. Output is composed by a grounded-generation subsystem (110) over an already-admitted result and never alters the underlying assertion, a natural-language interaction layer selecting vocabulary, structure and explanatory depth for an inferred audience without changing the assertion, and a plurality of modulations being composed in a fixed, deterministic order with governance review preceding and following the composition.</w:t>
      </w:r>
      <w:r>
        <w:rPr/>
        <w:t xml:space="preserve"> See FIG. 18.</w:t>
      </w:r>
    </w:p>
    <w:p>
      <w:pPr>
        <w:pStyle w:val="Normal"/>
        <w:jc w:val="both"/>
        <w:rPr>
          <w:rFonts w:hint="eastAsia"/>
        </w:rPr>
      </w:pPr>
      <w:r>
        <w:rPr/>
        <w:t>The parameters by which expression is modulated for a particular audience — namely cultural norms, social values, and ergonomic preferences — are held neither as Fact Units nor as world-model concepts, but as declared, versioned, provenance-carrying contextual value models that only the ergonomic, cultural, and social modulations of the expression layer read. A contextual value model is declared and never inferred, being set by a requester, an operator, or an author and never derived from a name, a network address, a query language, a device locale, a purchase history, or a behavioural signal; it modulates expression only, and never widens or narrows scope, admits or excludes a record, alters a confidence value, or extends vocabulary, and is not a grounding source. A fact about a culture is thus a Fact Unit, a model of how customs relate is a world-model concept, and a contextual value model is neither, whereby the values of a reader or operator do not become, by storage alone, an assertion the system treats as true.</w:t>
      </w:r>
    </w:p>
    <w:p>
      <w:pPr>
        <w:pStyle w:val="Normal"/>
        <w:spacing w:before="160" w:after="80"/>
        <w:rPr>
          <w:rFonts w:hint="eastAsia"/>
        </w:rPr>
      </w:pPr>
      <w:r>
        <w:rPr>
          <w:b/>
        </w:rPr>
        <w:t>Deployment</w:t>
      </w:r>
    </w:p>
    <w:p>
      <w:pPr>
        <w:pStyle w:val="Normal"/>
        <w:jc w:val="both"/>
        <w:rPr/>
      </w:pPr>
      <w:r>
        <w:rPr/>
        <w:t>The same logical services execute in each deployment mode, a mode changing where a service runs and not which domain owns a decision. Contemplated modes include a fully-hosted mode, an on-premises mode, a single-device mode including encapsulation for query over one or more works, a hybrid mode in which the substrate and access domains reside in a first infrastructure while media and immersive assets reside in a second, and an edge mode in which a cache holding no authority answers only where the requester's scope admits every cached record consulted and escalates otherwise. Each operation is metered as a bounded compute-accounting unit carrying its domain identifier, and a domain implementation may be exchanged only where the replacement conforms to every interface and every transfer-matrix entry of the domain it replaces and is admitted under human approval, the governance domain being not replaceable. Because the record's encoding is fused to the record and the host store holds it as an opaque value, the engine operates over any database without imposing a proprietary format or query engine upon it.</w:t>
      </w:r>
      <w:r>
        <w:rPr/>
        <w:t xml:space="preserve"> See FIG. 12, FIG. 46 and FIG. 49.</w:t>
      </w:r>
    </w:p>
    <w:p>
      <w:pPr>
        <w:pStyle w:val="Normal"/>
        <w:jc w:val="both"/>
        <w:rPr>
          <w:rFonts w:hint="eastAsia"/>
        </w:rPr>
      </w:pPr>
      <w:r>
        <w:rPr>
          <w:rFonts w:hint="eastAsia"/>
        </w:rPr>
      </w:r>
    </w:p>
    <w:p>
      <w:pPr>
        <w:pStyle w:val="Normal"/>
        <w:spacing w:before="160" w:after="80"/>
        <w:rPr>
          <w:rFonts w:hint="eastAsia"/>
        </w:rPr>
      </w:pPr>
      <w:r>
        <w:rPr>
          <w:b/>
          <w:highlight w:val="yellow"/>
        </w:rPr>
        <w:t>Agent-era extensions within the domain organization</w:t>
      </w:r>
    </w:p>
    <w:p>
      <w:pPr>
        <w:pStyle w:val="Normal"/>
        <w:jc w:val="both"/>
        <w:rPr>
          <w:highlight w:val="yellow"/>
        </w:rPr>
      </w:pPr>
      <w:r>
        <w:rPr>
          <w:highlight w:val="yellow"/>
        </w:rPr>
        <w:t>These extensions occupy existing domains and add no authority outside them:</w:t>
      </w:r>
    </w:p>
    <w:p>
      <w:pPr>
        <w:pStyle w:val="Normal"/>
        <w:rPr>
          <w:bCs/>
          <w:highlight w:val="yellow"/>
        </w:rPr>
      </w:pPr>
      <w:r>
        <w:rPr>
          <w:bCs/>
          <w:highlight w:val="yellow"/>
        </w:rPr>
        <w:t>1.Integrity auditing and external mediation operate in the external-integration and access/rights domains.</w:t>
      </w:r>
      <w:r>
        <w:rPr>
          <w:bCs/>
          <w:highlight w:val="yellow"/>
        </w:rPr>
        <w:t xml:space="preserve"> See FIG. 35 and FIG. 36 and FIG. 44.</w:t>
      </w:r>
    </w:p>
    <w:p>
      <w:pPr>
        <w:pStyle w:val="Normal"/>
        <w:rPr>
          <w:bCs/>
          <w:highlight w:val="yellow"/>
        </w:rPr>
      </w:pPr>
      <w:r>
        <w:rPr>
          <w:bCs/>
          <w:highlight w:val="yellow"/>
        </w:rPr>
        <w:t>2. Lecture Query, PIL, and LIL operate across the ingestion, grounded-expression, and identity domains</w:t>
      </w:r>
      <w:r>
        <w:rPr>
          <w:bCs/>
          <w:highlight w:val="yellow"/>
        </w:rPr>
        <w:t xml:space="preserve"> (see FIG. 33 and FIG. 34 and FIG. 37–FIG. 40).</w:t>
      </w:r>
    </w:p>
    <w:p>
      <w:pPr>
        <w:pStyle w:val="Normal"/>
        <w:rPr>
          <w:bCs/>
          <w:highlight w:val="yellow"/>
        </w:rPr>
      </w:pPr>
      <w:r>
        <w:rPr>
          <w:bCs/>
          <w:highlight w:val="yellow"/>
        </w:rPr>
        <w:t xml:space="preserve">3. The Scene Director and Scene Reconstructor operate in the authoring/media domain under the derived-artifact and reconstruction-marking rules. </w:t>
      </w:r>
      <w:r>
        <w:rPr>
          <w:bCs/>
          <w:highlight w:val="yellow"/>
        </w:rPr>
        <w:t xml:space="preserve"> See FIG. 43 and FIG. 45.</w:t>
      </w:r>
    </w:p>
    <w:p>
      <w:pPr>
        <w:pStyle w:val="Normal"/>
        <w:rPr>
          <w:bCs/>
        </w:rPr>
      </w:pPr>
      <w:r>
        <w:rPr>
          <w:bCs/>
          <w:highlight w:val="yellow"/>
        </w:rPr>
        <w:t>4. Two cross-cutting additions are the (a) modular capability editions (light, medium, full), which enable a declared subset of subsystems while leaving the Prime Directive and (b) the deterministic reasoning core invariant across every edition, and the version-independent, provenance-continuous store, which keeps the knowledge records at a canonical location so successive software versions bind to the same provenance-tracked data and no upgrade re-initializes or orphans them.</w:t>
      </w:r>
      <w:r>
        <w:rPr>
          <w:bCs/>
          <w:highlight w:val="yellow"/>
        </w:rPr>
        <w:t xml:space="preserve"> See FIG. 46 and FIG. 47.</w:t>
      </w:r>
    </w:p>
    <w:p>
      <w:pPr>
        <w:pStyle w:val="Normal"/>
        <w:rPr>
          <w:rFonts w:hint="eastAsia"/>
          <w:bCs/>
        </w:rPr>
      </w:pPr>
      <w:r>
        <w:rPr>
          <w:bCs/>
        </w:rPr>
        <w:t xml:space="preserve">5. </w:t>
      </w:r>
      <w:r>
        <w:rPr>
          <w:highlight w:val="yellow"/>
        </w:rPr>
        <w:t>Open Claw ingestion is a pathway of the ingestion and sensory-intake domain (102): an artifact of any format is converted into candidate records under the same admission rules as any other modality, content of the artifact is never executed, and a segment flagged as instruction-like enters only as an untrusted record below the answer threshold.</w:t>
      </w:r>
      <w:r>
        <w:rPr>
          <w:highlight w:val="yellow"/>
        </w:rPr>
        <w:t xml:space="preserve"> See FIG. 50.</w:t>
      </w:r>
    </w:p>
    <w:p>
      <w:pPr>
        <w:pStyle w:val="Normal"/>
        <w:jc w:val="both"/>
        <w:rPr>
          <w:rFonts w:hint="eastAsia"/>
        </w:rPr>
      </w:pPr>
      <w:r>
        <w:rPr>
          <w:highlight w:val="yellow"/>
        </w:rPr>
        <w:t>6. The Agent Gateway, deception check, firewall, isolation register, and decoy environment operate at the boundary governed by the governance domain (112) and the transfer matrix: every agent call is a boundary crossing that is evaluated and recorded, a denied or isolated caller is routed to a decoy that has no transfer path to the substrate, and release from isolation is reserved to the operator locally. 7. The tamper-evident security record and optional on-chain certificates extend the provenance ledger (106) outward, giving third parties independent means to verify security decisions and certified records without access to the system.</w:t>
      </w:r>
      <w:r>
        <w:rPr>
          <w:highlight w:val="yellow"/>
        </w:rPr>
        <w:t xml:space="preserve"> See FIG. 52 and FIG. 53.</w:t>
      </w:r>
    </w:p>
    <w:p>
      <w:pPr>
        <w:pStyle w:val="Normal"/>
        <w:jc w:val="both"/>
        <w:rPr>
          <w:rFonts w:hint="eastAsia"/>
        </w:rPr>
      </w:pPr>
      <w:r>
        <w:rPr>
          <w:highlight w:val="yellow"/>
        </w:rPr>
        <w:t>8. External agents connected through the Model Context Protocol tool server act as callers of the system and never as domains of it: each tool maps to a declared command under the agent’s allow-list, so connection confers no capability beyond that list. The framed hybrid transport carries records and media between deployments in every deployment mode without changing which domain owns any decision.</w:t>
      </w:r>
      <w:r>
        <w:rPr>
          <w:highlight w:val="yellow"/>
        </w:rPr>
        <w:t xml:space="preserve"> See FIG. 54.</w:t>
      </w:r>
    </w:p>
    <w:p>
      <w:pPr>
        <w:pStyle w:val="Normal"/>
        <w:jc w:val="both"/>
        <w:rPr/>
      </w:pPr>
      <w:r>
        <w:rPr/>
        <w:t xml:space="preserve">Referring to the remaining drawings: FIG. 8 shows federation, in which a certified envelope crossing a domain boundary is re-validated on the receiving side before admission. FIG. 23–FIG. 32 show the language and speech subsystem: the overall Language Expression Layer architecture (FIG. 23), the Sub-Language Priming Layer (FIG. 24), the developmental learning sequence and one-way Transition Gate (FIG. 25), multilingual delta acquisition (FIG. 26), the speech output pipeline (FIG. 27), co-grounded integration with FQL and UFCS (FIG. 28), a reduced-to-practice Language Lab embodiment and its deterministic semantic grounding (FIG. 29 and FIG. 30), and advanced multilingual pronunciation with its quality-control battery (FIG. 31 and FIG. 32). FIG. 41 shows deterministic multilingual acquisition without a generative model, and FIG. 42 shows Dialect Parameter Clusters, which modulate expression only.</w:t>
      </w:r>
    </w:p>
    <w:p>
      <w:pPr>
        <w:pStyle w:val="Normal"/>
        <w:jc w:val="both"/>
        <w:rPr/>
      </w:pPr>
      <w:r>
        <w:rPr/>
        <w:t xml:space="preserve">Referring to FIG. 56 and FIG. 57: Verified Agent Transport operates at the boundary governed by the governance domain, alongside the Agent Gateway. The sidecar (5610) is a caller of the system, not a domain of it; the verification service (5650) is a read-only client of the Fact Unit store and FQL engine; and the ledger and certificates (5660) are written as Fact Units under the same provenance and integrity rules as every other record.</w:t>
      </w:r>
    </w:p>
    <w:p>
      <w:pPr>
        <w:pStyle w:val="Heading2"/>
        <w:numPr>
          <w:ilvl w:val="1"/>
          <w:numId w:val="1"/>
        </w:numPr>
        <w:spacing w:before="0" w:after="120"/>
        <w:rPr>
          <w:rFonts w:ascii="Times New Roman" w:hAnsi="Times New Roman"/>
          <w:sz w:val="24"/>
          <w:szCs w:val="24"/>
        </w:rPr>
      </w:pPr>
      <w:r>
        <w:rPr>
          <w:rFonts w:ascii="Times New Roman" w:hAnsi="Times New Roman"/>
          <w:sz w:val="24"/>
          <w:szCs w:val="24"/>
        </w:rPr>
      </w:r>
    </w:p>
    <w:p>
      <w:pPr>
        <w:pStyle w:val="Heading2"/>
        <w:numPr>
          <w:ilvl w:val="1"/>
          <w:numId w:val="1"/>
        </w:numPr>
        <w:spacing w:before="0" w:after="120"/>
        <w:rPr>
          <w:rFonts w:ascii="Times New Roman" w:hAnsi="Times New Roman"/>
          <w:sz w:val="24"/>
          <w:szCs w:val="24"/>
        </w:rPr>
      </w:pPr>
      <w:bookmarkStart w:id="9" w:name="__RefHeading___Toc109268_805184229"/>
      <w:bookmarkEnd w:id="9"/>
      <w:r>
        <w:rPr>
          <w:rFonts w:ascii="Times New Roman" w:hAnsi="Times New Roman"/>
          <w:sz w:val="24"/>
          <w:szCs w:val="24"/>
        </w:rPr>
        <w:t>Claim Set (354 Claims)</w:t>
      </w:r>
    </w:p>
    <w:p>
      <w:pPr>
        <w:pStyle w:val="Normal"/>
        <w:jc w:val="center"/>
        <w:rPr>
          <w:rFonts w:hint="eastAsia"/>
          <w:b/>
          <w:color w:val="1A2235"/>
        </w:rPr>
      </w:pPr>
      <w:r>
        <w:rPr>
          <w:rFonts w:hint="eastAsia"/>
          <w:b/>
          <w:color w:val="1A2235"/>
        </w:rPr>
      </w:r>
    </w:p>
    <w:p>
      <w:pPr>
        <w:pStyle w:val="Normal"/>
        <w:rPr>
          <w:rFonts w:hint="eastAsia"/>
        </w:rPr>
      </w:pPr>
      <w:r>
        <w:rPr>
          <w:i/>
          <w:color w:val="555555"/>
        </w:rPr>
        <w:t>The full covenant-floor claim set: 341 claims verbatim from Bible Book III (seven families) plus claims 342–354 (Passes 117–118). Compiled September 24, 2026.</w:t>
      </w:r>
    </w:p>
    <w:p>
      <w:pPr>
        <w:pStyle w:val="Normal"/>
        <w:rPr>
          <w:rFonts w:hint="eastAsia"/>
        </w:rPr>
      </w:pPr>
      <w:r>
        <w:rPr>
          <w:b/>
        </w:rPr>
        <w:t>CLAIMS</w:t>
      </w:r>
    </w:p>
    <w:p>
      <w:pPr>
        <w:pStyle w:val="Normal"/>
        <w:rPr>
          <w:rFonts w:hint="eastAsia"/>
        </w:rPr>
      </w:pPr>
      <w:r>
        <w:rPr>
          <w:b/>
        </w:rPr>
        <w:t>What is claimed is:</w:t>
      </w:r>
    </w:p>
    <w:p>
      <w:pPr>
        <w:pStyle w:val="Normal"/>
        <w:spacing w:before="0" w:after="80"/>
        <w:ind w:firstLine="432"/>
        <w:jc w:val="both"/>
        <w:rPr>
          <w:rFonts w:hint="eastAsia"/>
        </w:rPr>
      </w:pPr>
      <w:r>
        <w:rPr>
          <w:b/>
          <w:color w:val="555555"/>
        </w:rPr>
        <w:t xml:space="preserve">[1]  </w:t>
      </w:r>
      <w:r>
        <w:rPr/>
        <w: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pStyle w:val="Normal"/>
        <w:spacing w:before="0" w:after="80"/>
        <w:ind w:firstLine="432"/>
        <w:jc w:val="both"/>
        <w:rPr>
          <w:rFonts w:hint="eastAsia"/>
        </w:rPr>
      </w:pPr>
      <w:r>
        <w:rPr>
          <w:b/>
          <w:color w:val="555555"/>
        </w:rPr>
        <w:t xml:space="preserve">[2]  </w:t>
      </w:r>
      <w:r>
        <w:rPr/>
        <w:t>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pStyle w:val="Normal"/>
        <w:spacing w:before="0" w:after="80"/>
        <w:ind w:firstLine="432"/>
        <w:jc w:val="both"/>
        <w:rPr>
          <w:rFonts w:hint="eastAsia"/>
        </w:rPr>
      </w:pPr>
      <w:r>
        <w:rPr>
          <w:b/>
          <w:color w:val="555555"/>
        </w:rPr>
        <w:t xml:space="preserve">[3]  </w:t>
      </w:r>
      <w:r>
        <w:rPr/>
        <w:t>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pStyle w:val="Normal"/>
        <w:spacing w:before="0" w:after="80"/>
        <w:ind w:firstLine="432"/>
        <w:jc w:val="both"/>
        <w:rPr>
          <w:rFonts w:hint="eastAsia"/>
        </w:rPr>
      </w:pPr>
      <w:r>
        <w:rPr>
          <w:b/>
          <w:color w:val="555555"/>
        </w:rPr>
        <w:t xml:space="preserve">[4]  </w:t>
      </w:r>
      <w:r>
        <w:rPr/>
        <w:t>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pStyle w:val="Normal"/>
        <w:spacing w:before="0" w:after="80"/>
        <w:ind w:firstLine="432"/>
        <w:jc w:val="both"/>
        <w:rPr>
          <w:rFonts w:hint="eastAsia"/>
        </w:rPr>
      </w:pPr>
      <w:r>
        <w:rPr>
          <w:b/>
          <w:color w:val="555555"/>
        </w:rPr>
        <w:t xml:space="preserve">[5]  </w:t>
      </w:r>
      <w:r>
        <w:rPr/>
        <w:t>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**Attestation horizon and retrospective forecast calibration (claims 113–118)**</w:t>
      </w:r>
    </w:p>
    <w:p>
      <w:pPr>
        <w:pStyle w:val="Normal"/>
        <w:spacing w:before="0" w:after="80"/>
        <w:ind w:firstLine="432"/>
        <w:jc w:val="both"/>
        <w:rPr>
          <w:rFonts w:hint="eastAsia"/>
        </w:rPr>
      </w:pPr>
      <w:r>
        <w:rPr>
          <w:b/>
          <w:color w:val="555555"/>
        </w:rPr>
        <w:t xml:space="preserve">[6]  </w:t>
      </w:r>
      <w:r>
        <w:rPr/>
        <w:t>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pStyle w:val="Normal"/>
        <w:spacing w:before="0" w:after="80"/>
        <w:ind w:firstLine="432"/>
        <w:jc w:val="both"/>
        <w:rPr>
          <w:rFonts w:hint="eastAsia"/>
        </w:rPr>
      </w:pPr>
      <w:r>
        <w:rPr>
          <w:b/>
          <w:color w:val="555555"/>
        </w:rPr>
        <w:t xml:space="preserve">[7]  </w:t>
      </w:r>
      <w:r>
        <w:rPr/>
        <w:t>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pStyle w:val="Normal"/>
        <w:spacing w:before="0" w:after="80"/>
        <w:ind w:firstLine="432"/>
        <w:jc w:val="both"/>
        <w:rPr>
          <w:rFonts w:hint="eastAsia"/>
        </w:rPr>
      </w:pPr>
      <w:r>
        <w:rPr>
          <w:b/>
          <w:color w:val="555555"/>
        </w:rPr>
        <w:t xml:space="preserve">[8]  </w:t>
      </w:r>
      <w:r>
        <w:rPr/>
        <w:t>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pStyle w:val="Normal"/>
        <w:spacing w:before="0" w:after="80"/>
        <w:ind w:firstLine="432"/>
        <w:jc w:val="both"/>
        <w:rPr>
          <w:rFonts w:hint="eastAsia"/>
        </w:rPr>
      </w:pPr>
      <w:r>
        <w:rPr>
          <w:b/>
          <w:color w:val="555555"/>
        </w:rPr>
        <w:t xml:space="preserve">[9]  </w:t>
      </w:r>
      <w:r>
        <w:rPr/>
        <w:t>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pStyle w:val="Normal"/>
        <w:spacing w:before="0" w:after="80"/>
        <w:ind w:firstLine="432"/>
        <w:jc w:val="both"/>
        <w:rPr>
          <w:rFonts w:hint="eastAsia"/>
        </w:rPr>
      </w:pPr>
      <w:r>
        <w:rPr>
          <w:b/>
          <w:color w:val="555555"/>
        </w:rPr>
        <w:t xml:space="preserve">[10]  </w:t>
      </w:r>
      <w:r>
        <w:rPr/>
        <w:t>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pStyle w:val="Normal"/>
        <w:spacing w:before="0" w:after="80"/>
        <w:ind w:firstLine="432"/>
        <w:jc w:val="both"/>
        <w:rPr>
          <w:rFonts w:hint="eastAsia"/>
        </w:rPr>
      </w:pPr>
      <w:r>
        <w:rPr>
          <w:b/>
          <w:color w:val="555555"/>
        </w:rPr>
        <w:t xml:space="preserve">[11]  </w:t>
      </w:r>
      <w:r>
        <w:rPr/>
        <w:t>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**Analog realization of the convergence (claims 307–312)**</w:t>
      </w:r>
    </w:p>
    <w:p>
      <w:pPr>
        <w:pStyle w:val="Normal"/>
        <w:spacing w:before="0" w:after="80"/>
        <w:ind w:firstLine="432"/>
        <w:jc w:val="both"/>
        <w:rPr>
          <w:rFonts w:hint="eastAsia"/>
        </w:rPr>
      </w:pPr>
      <w:r>
        <w:rPr>
          <w:b/>
          <w:color w:val="555555"/>
        </w:rPr>
        <w:t xml:space="preserve">[12]  </w:t>
      </w:r>
      <w:r>
        <w:rPr/>
        <w:t>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pStyle w:val="Normal"/>
        <w:spacing w:before="0" w:after="80"/>
        <w:ind w:firstLine="432"/>
        <w:jc w:val="both"/>
        <w:rPr>
          <w:rFonts w:hint="eastAsia"/>
        </w:rPr>
      </w:pPr>
      <w:r>
        <w:rPr>
          <w:b/>
          <w:color w:val="555555"/>
        </w:rPr>
        <w:t xml:space="preserve">[13]  </w:t>
      </w:r>
      <w:r>
        <w:rPr/>
        <w:t>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pStyle w:val="Normal"/>
        <w:spacing w:before="0" w:after="80"/>
        <w:ind w:firstLine="432"/>
        <w:jc w:val="both"/>
        <w:rPr>
          <w:rFonts w:hint="eastAsia"/>
        </w:rPr>
      </w:pPr>
      <w:r>
        <w:rPr>
          <w:b/>
          <w:color w:val="555555"/>
        </w:rPr>
        <w:t xml:space="preserve">[14]  </w:t>
      </w:r>
      <w:r>
        <w:rPr/>
        <w:t>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pStyle w:val="Normal"/>
        <w:spacing w:before="0" w:after="80"/>
        <w:ind w:firstLine="432"/>
        <w:jc w:val="both"/>
        <w:rPr>
          <w:rFonts w:hint="eastAsia"/>
        </w:rPr>
      </w:pPr>
      <w:r>
        <w:rPr>
          <w:b/>
          <w:color w:val="555555"/>
        </w:rPr>
        <w:t xml:space="preserve">[15]  </w:t>
      </w:r>
      <w:r>
        <w:rPr/>
        <w:t>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pStyle w:val="Normal"/>
        <w:spacing w:before="0" w:after="80"/>
        <w:ind w:firstLine="432"/>
        <w:jc w:val="both"/>
        <w:rPr>
          <w:rFonts w:hint="eastAsia"/>
        </w:rPr>
      </w:pPr>
      <w:r>
        <w:rPr>
          <w:b/>
          <w:color w:val="555555"/>
        </w:rPr>
        <w:t xml:space="preserve">[16]  </w:t>
      </w:r>
      <w:r>
        <w:rPr/>
        <w:t>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pStyle w:val="Normal"/>
        <w:spacing w:before="0" w:after="80"/>
        <w:ind w:firstLine="432"/>
        <w:jc w:val="both"/>
        <w:rPr>
          <w:rFonts w:hint="eastAsia"/>
        </w:rPr>
      </w:pPr>
      <w:r>
        <w:rPr>
          <w:b/>
          <w:color w:val="555555"/>
        </w:rPr>
        <w:t xml:space="preserve">[17]  </w:t>
      </w:r>
      <w:r>
        <w:rPr/>
        <w:t>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pStyle w:val="Normal"/>
        <w:spacing w:before="0" w:after="80"/>
        <w:ind w:firstLine="432"/>
        <w:jc w:val="both"/>
        <w:rPr>
          <w:rFonts w:hint="eastAsia"/>
        </w:rPr>
      </w:pPr>
      <w:r>
        <w:rPr>
          <w:b/>
          <w:color w:val="555555"/>
        </w:rPr>
        <w:t xml:space="preserve">[18]  </w:t>
      </w:r>
      <w:r>
        <w:rPr/>
        <w:t>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pStyle w:val="Normal"/>
        <w:spacing w:before="0" w:after="80"/>
        <w:ind w:firstLine="432"/>
        <w:jc w:val="both"/>
        <w:rPr>
          <w:rFonts w:hint="eastAsia"/>
        </w:rPr>
      </w:pPr>
      <w:r>
        <w:rPr>
          <w:b/>
          <w:color w:val="555555"/>
        </w:rPr>
        <w:t xml:space="preserve">[19]  </w:t>
      </w:r>
      <w:r>
        <w:rPr/>
        <w:t>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**Defined agents (claims 333–341)**</w:t>
      </w:r>
    </w:p>
    <w:p>
      <w:pPr>
        <w:pStyle w:val="Normal"/>
        <w:spacing w:before="0" w:after="80"/>
        <w:ind w:firstLine="432"/>
        <w:jc w:val="both"/>
        <w:rPr>
          <w:rFonts w:hint="eastAsia"/>
        </w:rPr>
      </w:pPr>
      <w:r>
        <w:rPr>
          <w:b/>
          <w:color w:val="555555"/>
        </w:rPr>
        <w:t xml:space="preserve">[20]  </w:t>
      </w:r>
      <w:r>
        <w:rPr/>
        <w:t>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pStyle w:val="Normal"/>
        <w:spacing w:before="0" w:after="80"/>
        <w:ind w:firstLine="432"/>
        <w:jc w:val="both"/>
        <w:rPr>
          <w:rFonts w:hint="eastAsia"/>
        </w:rPr>
      </w:pPr>
      <w:r>
        <w:rPr>
          <w:b/>
          <w:color w:val="555555"/>
        </w:rPr>
        <w:t xml:space="preserve">[21]  </w:t>
      </w:r>
      <w:r>
        <w:rPr/>
        <w:t>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pStyle w:val="Normal"/>
        <w:spacing w:before="0" w:after="80"/>
        <w:ind w:firstLine="432"/>
        <w:jc w:val="both"/>
        <w:rPr>
          <w:rFonts w:hint="eastAsia"/>
        </w:rPr>
      </w:pPr>
      <w:r>
        <w:rPr>
          <w:b/>
          <w:color w:val="555555"/>
        </w:rPr>
        <w:t xml:space="preserve">[22]  </w:t>
      </w:r>
      <w:r>
        <w:rPr/>
        <w:t>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**Concept inheritance, exception override and inverse traversal (claims 45–49)**</w:t>
      </w:r>
    </w:p>
    <w:p>
      <w:pPr>
        <w:pStyle w:val="Normal"/>
        <w:spacing w:before="0" w:after="80"/>
        <w:ind w:firstLine="432"/>
        <w:jc w:val="both"/>
        <w:rPr>
          <w:rFonts w:hint="eastAsia"/>
        </w:rPr>
      </w:pPr>
      <w:r>
        <w:rPr>
          <w:b/>
          <w:color w:val="555555"/>
        </w:rPr>
        <w:t xml:space="preserve">[23]  </w:t>
      </w:r>
      <w:r>
        <w:rPr/>
        <w:t>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pStyle w:val="Normal"/>
        <w:spacing w:before="0" w:after="80"/>
        <w:ind w:firstLine="432"/>
        <w:jc w:val="both"/>
        <w:rPr>
          <w:rFonts w:hint="eastAsia"/>
        </w:rPr>
      </w:pPr>
      <w:r>
        <w:rPr>
          <w:b/>
          <w:color w:val="555555"/>
        </w:rPr>
        <w:t xml:space="preserve">[24]  </w:t>
      </w:r>
      <w:r>
        <w:rPr/>
        <w:t>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pStyle w:val="Normal"/>
        <w:spacing w:before="0" w:after="80"/>
        <w:ind w:firstLine="432"/>
        <w:jc w:val="both"/>
        <w:rPr>
          <w:rFonts w:hint="eastAsia"/>
        </w:rPr>
      </w:pPr>
      <w:r>
        <w:rPr>
          <w:b/>
          <w:color w:val="555555"/>
        </w:rPr>
        <w:t xml:space="preserve">[25]  </w:t>
      </w:r>
      <w:r>
        <w:rPr/>
        <w:t>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pStyle w:val="Normal"/>
        <w:spacing w:before="0" w:after="80"/>
        <w:ind w:firstLine="432"/>
        <w:jc w:val="both"/>
        <w:rPr>
          <w:rFonts w:hint="eastAsia"/>
        </w:rPr>
      </w:pPr>
      <w:r>
        <w:rPr>
          <w:b/>
          <w:color w:val="555555"/>
        </w:rPr>
        <w:t xml:space="preserve">[26]  </w:t>
      </w:r>
      <w:r>
        <w:rPr/>
        <w:t>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pStyle w:val="Normal"/>
        <w:spacing w:before="0" w:after="80"/>
        <w:ind w:firstLine="432"/>
        <w:jc w:val="both"/>
        <w:rPr>
          <w:rFonts w:hint="eastAsia"/>
        </w:rPr>
      </w:pPr>
      <w:r>
        <w:rPr>
          <w:b/>
          <w:color w:val="555555"/>
        </w:rPr>
        <w:t xml:space="preserve">[27]  </w:t>
      </w:r>
      <w:r>
        <w:rPr/>
        <w:t>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pStyle w:val="Normal"/>
        <w:spacing w:before="0" w:after="80"/>
        <w:ind w:firstLine="432"/>
        <w:jc w:val="both"/>
        <w:rPr>
          <w:rFonts w:hint="eastAsia"/>
        </w:rPr>
      </w:pPr>
      <w:r>
        <w:rPr>
          <w:b/>
          <w:color w:val="555555"/>
        </w:rPr>
        <w:t xml:space="preserve">[28]  </w:t>
      </w:r>
      <w:r>
        <w:rPr/>
        <w:t>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pStyle w:val="Normal"/>
        <w:spacing w:before="0" w:after="80"/>
        <w:ind w:firstLine="432"/>
        <w:jc w:val="both"/>
        <w:rPr>
          <w:rFonts w:hint="eastAsia"/>
        </w:rPr>
      </w:pPr>
      <w:r>
        <w:rPr>
          <w:b/>
          <w:color w:val="555555"/>
        </w:rPr>
        <w:t xml:space="preserve">[29]  </w:t>
      </w:r>
      <w:r>
        <w:rPr/>
        <w:t>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pStyle w:val="Normal"/>
        <w:spacing w:before="0" w:after="80"/>
        <w:ind w:firstLine="432"/>
        <w:jc w:val="both"/>
        <w:rPr>
          <w:rFonts w:hint="eastAsia"/>
        </w:rPr>
      </w:pPr>
      <w:r>
        <w:rPr>
          <w:b/>
          <w:color w:val="555555"/>
        </w:rPr>
        <w:t xml:space="preserve">[30]  </w:t>
      </w:r>
      <w:r>
        <w:rPr/>
        <w:t>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pStyle w:val="Normal"/>
        <w:spacing w:before="0" w:after="80"/>
        <w:ind w:firstLine="432"/>
        <w:jc w:val="both"/>
        <w:rPr>
          <w:rFonts w:hint="eastAsia"/>
        </w:rPr>
      </w:pPr>
      <w:r>
        <w:rPr>
          <w:b/>
          <w:color w:val="555555"/>
        </w:rPr>
        <w:t xml:space="preserve">[31]  </w:t>
      </w:r>
      <w:r>
        <w:rPr/>
        <w:t>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pStyle w:val="Normal"/>
        <w:spacing w:before="0" w:after="80"/>
        <w:ind w:firstLine="432"/>
        <w:jc w:val="both"/>
        <w:rPr>
          <w:rFonts w:hint="eastAsia"/>
        </w:rPr>
      </w:pPr>
      <w:r>
        <w:rPr>
          <w:b/>
          <w:color w:val="555555"/>
        </w:rPr>
        <w:t xml:space="preserve">[32]  </w:t>
      </w:r>
      <w:r>
        <w:rPr/>
        <w:t>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pStyle w:val="Normal"/>
        <w:spacing w:before="0" w:after="80"/>
        <w:ind w:firstLine="432"/>
        <w:jc w:val="both"/>
        <w:rPr>
          <w:rFonts w:hint="eastAsia"/>
        </w:rPr>
      </w:pPr>
      <w:r>
        <w:rPr>
          <w:b/>
          <w:color w:val="555555"/>
        </w:rPr>
        <w:t xml:space="preserve">[33]  </w:t>
      </w:r>
      <w:r>
        <w:rPr/>
        <w:t>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pStyle w:val="Normal"/>
        <w:spacing w:before="0" w:after="80"/>
        <w:ind w:firstLine="432"/>
        <w:jc w:val="both"/>
        <w:rPr>
          <w:rFonts w:hint="eastAsia"/>
        </w:rPr>
      </w:pPr>
      <w:r>
        <w:rPr>
          <w:b/>
          <w:color w:val="555555"/>
        </w:rPr>
        <w:t xml:space="preserve">[34]  </w:t>
      </w:r>
      <w:r>
        <w:rPr/>
        <w:t>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**Session modes, annotation, bounded programs, authoring, immersive presentation, infrastructure and governance (claims 58–107)**</w:t>
      </w:r>
    </w:p>
    <w:p>
      <w:pPr>
        <w:pStyle w:val="Normal"/>
        <w:spacing w:before="0" w:after="80"/>
        <w:ind w:firstLine="432"/>
        <w:jc w:val="both"/>
        <w:rPr>
          <w:rFonts w:hint="eastAsia"/>
        </w:rPr>
      </w:pPr>
      <w:r>
        <w:rPr>
          <w:b/>
          <w:color w:val="555555"/>
        </w:rPr>
        <w:t xml:space="preserve">[35]  </w:t>
      </w:r>
      <w:r>
        <w:rPr/>
        <w:t>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pStyle w:val="Normal"/>
        <w:spacing w:before="0" w:after="80"/>
        <w:ind w:firstLine="432"/>
        <w:jc w:val="both"/>
        <w:rPr>
          <w:rFonts w:hint="eastAsia"/>
        </w:rPr>
      </w:pPr>
      <w:r>
        <w:rPr>
          <w:b/>
          <w:color w:val="555555"/>
        </w:rPr>
        <w:t xml:space="preserve">[36]  </w:t>
      </w:r>
      <w:r>
        <w:rPr/>
        <w:t>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pStyle w:val="Normal"/>
        <w:spacing w:before="0" w:after="80"/>
        <w:ind w:firstLine="432"/>
        <w:jc w:val="both"/>
        <w:rPr>
          <w:rFonts w:hint="eastAsia"/>
        </w:rPr>
      </w:pPr>
      <w:r>
        <w:rPr>
          <w:b/>
          <w:color w:val="555555"/>
        </w:rPr>
        <w:t xml:space="preserve">[37]  </w:t>
      </w:r>
      <w:r>
        <w:rPr/>
        <w:t>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pStyle w:val="Normal"/>
        <w:spacing w:before="0" w:after="80"/>
        <w:ind w:firstLine="432"/>
        <w:jc w:val="both"/>
        <w:rPr>
          <w:rFonts w:hint="eastAsia"/>
        </w:rPr>
      </w:pPr>
      <w:r>
        <w:rPr>
          <w:b/>
          <w:color w:val="555555"/>
        </w:rPr>
        <w:t xml:space="preserve">[38]  </w:t>
      </w:r>
      <w:r>
        <w:rPr/>
        <w:t>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pStyle w:val="Normal"/>
        <w:spacing w:before="0" w:after="80"/>
        <w:ind w:firstLine="432"/>
        <w:jc w:val="both"/>
        <w:rPr>
          <w:rFonts w:hint="eastAsia"/>
        </w:rPr>
      </w:pPr>
      <w:r>
        <w:rPr>
          <w:b/>
          <w:color w:val="555555"/>
        </w:rPr>
        <w:t xml:space="preserve">[39]  </w:t>
      </w:r>
      <w:r>
        <w:rPr/>
        <w:t>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pStyle w:val="Normal"/>
        <w:spacing w:before="0" w:after="80"/>
        <w:ind w:firstLine="432"/>
        <w:jc w:val="both"/>
        <w:rPr>
          <w:rFonts w:hint="eastAsia"/>
        </w:rPr>
      </w:pPr>
      <w:r>
        <w:rPr>
          <w:b/>
          <w:color w:val="555555"/>
        </w:rPr>
        <w:t xml:space="preserve">[40]  </w:t>
      </w:r>
      <w:r>
        <w:rPr/>
        <w:t>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pStyle w:val="Normal"/>
        <w:spacing w:before="0" w:after="80"/>
        <w:ind w:firstLine="432"/>
        <w:jc w:val="both"/>
        <w:rPr>
          <w:rFonts w:hint="eastAsia"/>
        </w:rPr>
      </w:pPr>
      <w:r>
        <w:rPr>
          <w:b/>
          <w:color w:val="555555"/>
        </w:rPr>
        <w:t xml:space="preserve">[41]  </w:t>
      </w:r>
      <w:r>
        <w:rPr/>
        <w:t>The method of claim 41, wherein operation within said second regime requires a deployment election recorded with an identity of an operator who made it, and wherein absent said deployment election said configured operating ceiling remains within said first regime.</w:t>
      </w:r>
    </w:p>
    <w:p>
      <w:pPr>
        <w:pStyle w:val="Normal"/>
        <w:spacing w:before="0" w:after="80"/>
        <w:ind w:firstLine="432"/>
        <w:jc w:val="both"/>
        <w:rPr>
          <w:rFonts w:hint="eastAsia"/>
        </w:rPr>
      </w:pPr>
      <w:r>
        <w:rPr>
          <w:b/>
          <w:color w:val="555555"/>
        </w:rPr>
        <w:t xml:space="preserve">[42]  </w:t>
      </w:r>
      <w:r>
        <w:rPr/>
        <w:t>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pStyle w:val="Normal"/>
        <w:spacing w:before="0" w:after="80"/>
        <w:ind w:firstLine="432"/>
        <w:jc w:val="both"/>
        <w:rPr>
          <w:rFonts w:hint="eastAsia"/>
        </w:rPr>
      </w:pPr>
      <w:r>
        <w:rPr>
          <w:b/>
          <w:color w:val="555555"/>
        </w:rPr>
        <w:t xml:space="preserve">[43]  </w:t>
      </w:r>
      <w:r>
        <w:rPr/>
        <w:t>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pStyle w:val="Normal"/>
        <w:spacing w:before="0" w:after="80"/>
        <w:ind w:firstLine="432"/>
        <w:jc w:val="both"/>
        <w:rPr>
          <w:rFonts w:hint="eastAsia"/>
        </w:rPr>
      </w:pPr>
      <w:r>
        <w:rPr>
          <w:b/>
          <w:color w:val="555555"/>
        </w:rPr>
        <w:t xml:space="preserve">[44]  </w:t>
      </w:r>
      <w:r>
        <w:rPr/>
        <w:t>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pStyle w:val="Normal"/>
        <w:spacing w:before="0" w:after="80"/>
        <w:ind w:firstLine="432"/>
        <w:jc w:val="both"/>
        <w:rPr>
          <w:rFonts w:hint="eastAsia"/>
        </w:rPr>
      </w:pPr>
      <w:r>
        <w:rPr>
          <w:b/>
          <w:color w:val="555555"/>
        </w:rPr>
        <w:t xml:space="preserve">[45]  </w:t>
      </w:r>
      <w:r>
        <w:rPr/>
        <w:t>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pStyle w:val="Normal"/>
        <w:spacing w:before="0" w:after="80"/>
        <w:ind w:firstLine="432"/>
        <w:jc w:val="both"/>
        <w:rPr>
          <w:rFonts w:hint="eastAsia"/>
        </w:rPr>
      </w:pPr>
      <w:r>
        <w:rPr>
          <w:b/>
          <w:color w:val="555555"/>
        </w:rPr>
        <w:t xml:space="preserve">[46]  </w:t>
      </w:r>
      <w:r>
        <w:rPr/>
        <w:t>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pStyle w:val="Normal"/>
        <w:spacing w:before="0" w:after="80"/>
        <w:ind w:firstLine="432"/>
        <w:jc w:val="both"/>
        <w:rPr>
          <w:rFonts w:hint="eastAsia"/>
        </w:rPr>
      </w:pPr>
      <w:r>
        <w:rPr>
          <w:b/>
          <w:color w:val="555555"/>
        </w:rPr>
        <w:t xml:space="preserve">[47]  </w:t>
      </w:r>
      <w:r>
        <w:rPr/>
        <w:t>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pStyle w:val="Normal"/>
        <w:spacing w:before="0" w:after="80"/>
        <w:ind w:firstLine="432"/>
        <w:jc w:val="both"/>
        <w:rPr>
          <w:rFonts w:hint="eastAsia"/>
        </w:rPr>
      </w:pPr>
      <w:r>
        <w:rPr>
          <w:b/>
          <w:color w:val="555555"/>
        </w:rPr>
        <w:t xml:space="preserve">[48]  </w:t>
      </w:r>
      <w:r>
        <w:rPr/>
        <w:t>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pStyle w:val="Normal"/>
        <w:spacing w:before="0" w:after="80"/>
        <w:ind w:firstLine="432"/>
        <w:jc w:val="both"/>
        <w:rPr>
          <w:rFonts w:hint="eastAsia"/>
        </w:rPr>
      </w:pPr>
      <w:r>
        <w:rPr>
          <w:b/>
          <w:color w:val="555555"/>
        </w:rPr>
        <w:t xml:space="preserve">[49]  </w:t>
      </w:r>
      <w:r>
        <w:rPr/>
        <w:t>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**Directed capture equipment control under session authorization (claims 232–240)**</w:t>
      </w:r>
    </w:p>
    <w:p>
      <w:pPr>
        <w:pStyle w:val="Normal"/>
        <w:spacing w:before="0" w:after="80"/>
        <w:ind w:firstLine="432"/>
        <w:jc w:val="both"/>
        <w:rPr>
          <w:rFonts w:hint="eastAsia"/>
        </w:rPr>
      </w:pPr>
      <w:r>
        <w:rPr>
          <w:b/>
          <w:color w:val="555555"/>
        </w:rPr>
        <w:t xml:space="preserve">[50]  </w:t>
      </w:r>
      <w:r>
        <w:rPr/>
        <w:t>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pStyle w:val="Normal"/>
        <w:spacing w:before="0" w:after="80"/>
        <w:ind w:firstLine="432"/>
        <w:jc w:val="both"/>
        <w:rPr>
          <w:rFonts w:hint="eastAsia"/>
        </w:rPr>
      </w:pPr>
      <w:r>
        <w:rPr>
          <w:b/>
          <w:color w:val="555555"/>
        </w:rPr>
        <w:t xml:space="preserve">[51]  </w:t>
      </w:r>
      <w:r>
        <w:rPr/>
        <w:t>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pStyle w:val="Normal"/>
        <w:spacing w:before="0" w:after="80"/>
        <w:ind w:firstLine="432"/>
        <w:jc w:val="both"/>
        <w:rPr>
          <w:rFonts w:hint="eastAsia"/>
        </w:rPr>
      </w:pPr>
      <w:r>
        <w:rPr>
          <w:b/>
          <w:color w:val="555555"/>
        </w:rPr>
        <w:t xml:space="preserve">[52]  </w:t>
      </w:r>
      <w:r>
        <w:rPr/>
        <w:t>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pStyle w:val="Normal"/>
        <w:spacing w:before="0" w:after="80"/>
        <w:ind w:firstLine="432"/>
        <w:jc w:val="both"/>
        <w:rPr>
          <w:rFonts w:hint="eastAsia"/>
        </w:rPr>
      </w:pPr>
      <w:r>
        <w:rPr>
          <w:b/>
          <w:color w:val="555555"/>
        </w:rPr>
        <w:t xml:space="preserve">[53]  </w:t>
      </w:r>
      <w:r>
        <w:rPr/>
        <w:t>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pStyle w:val="Normal"/>
        <w:spacing w:before="0" w:after="80"/>
        <w:ind w:firstLine="432"/>
        <w:jc w:val="both"/>
        <w:rPr>
          <w:rFonts w:hint="eastAsia"/>
        </w:rPr>
      </w:pPr>
      <w:r>
        <w:rPr>
          <w:b/>
          <w:color w:val="555555"/>
        </w:rPr>
        <w:t xml:space="preserve">[54]  </w:t>
      </w:r>
      <w:r>
        <w:rPr/>
        <w:t>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pStyle w:val="Normal"/>
        <w:spacing w:before="0" w:after="80"/>
        <w:ind w:firstLine="432"/>
        <w:jc w:val="both"/>
        <w:rPr>
          <w:rFonts w:hint="eastAsia"/>
        </w:rPr>
      </w:pPr>
      <w:r>
        <w:rPr>
          <w:b/>
          <w:color w:val="555555"/>
        </w:rPr>
        <w:t xml:space="preserve">[55]  </w:t>
      </w:r>
      <w:r>
        <w:rPr/>
        <w:t>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pStyle w:val="Normal"/>
        <w:spacing w:before="0" w:after="80"/>
        <w:ind w:firstLine="432"/>
        <w:jc w:val="both"/>
        <w:rPr>
          <w:rFonts w:hint="eastAsia"/>
        </w:rPr>
      </w:pPr>
      <w:r>
        <w:rPr>
          <w:b/>
          <w:color w:val="555555"/>
        </w:rPr>
        <w:t xml:space="preserve">[56]  </w:t>
      </w:r>
      <w:r>
        <w:rPr/>
        <w:t>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pStyle w:val="Normal"/>
        <w:spacing w:before="0" w:after="80"/>
        <w:ind w:firstLine="432"/>
        <w:jc w:val="both"/>
        <w:rPr>
          <w:rFonts w:hint="eastAsia"/>
        </w:rPr>
      </w:pPr>
      <w:r>
        <w:rPr>
          <w:b/>
          <w:color w:val="555555"/>
        </w:rPr>
        <w:t xml:space="preserve">[57]  </w:t>
      </w:r>
      <w:r>
        <w:rPr/>
        <w:t>The method of claim 1, further comprising, where no knowledge record of said candidate set satisfies said configured threshold, delivering a statement of said boundary together with a nearest available said knowledge record, and not generating said output text.</w:t>
      </w:r>
    </w:p>
    <w:p>
      <w:pPr>
        <w:pStyle w:val="Normal"/>
        <w:spacing w:before="0" w:after="80"/>
        <w:ind w:firstLine="432"/>
        <w:jc w:val="both"/>
        <w:rPr>
          <w:rFonts w:hint="eastAsia"/>
        </w:rPr>
      </w:pPr>
      <w:r>
        <w:rPr>
          <w:b/>
          <w:color w:val="555555"/>
        </w:rPr>
        <w:t xml:space="preserve">[58]  </w:t>
      </w:r>
      <w:r>
        <w:rPr/>
        <w:t>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pStyle w:val="Normal"/>
        <w:spacing w:before="0" w:after="80"/>
        <w:ind w:firstLine="432"/>
        <w:jc w:val="both"/>
        <w:rPr>
          <w:rFonts w:hint="eastAsia"/>
        </w:rPr>
      </w:pPr>
      <w:r>
        <w:rPr>
          <w:b/>
          <w:color w:val="555555"/>
        </w:rPr>
        <w:t xml:space="preserve">[59]  </w:t>
      </w:r>
      <w:r>
        <w:rPr/>
        <w:t>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pStyle w:val="Normal"/>
        <w:spacing w:before="0" w:after="80"/>
        <w:ind w:firstLine="432"/>
        <w:jc w:val="both"/>
        <w:rPr>
          <w:rFonts w:hint="eastAsia"/>
        </w:rPr>
      </w:pPr>
      <w:r>
        <w:rPr>
          <w:b/>
          <w:color w:val="555555"/>
        </w:rPr>
        <w:t xml:space="preserve">[60]  </w:t>
      </w:r>
      <w:r>
        <w:rPr/>
        <w:t>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pStyle w:val="Normal"/>
        <w:spacing w:before="0" w:after="80"/>
        <w:ind w:firstLine="432"/>
        <w:jc w:val="both"/>
        <w:rPr>
          <w:rFonts w:hint="eastAsia"/>
        </w:rPr>
      </w:pPr>
      <w:r>
        <w:rPr>
          <w:b/>
          <w:color w:val="555555"/>
        </w:rPr>
        <w:t xml:space="preserve">[61]  </w:t>
      </w:r>
      <w:r>
        <w:rPr/>
        <w:t>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pStyle w:val="Normal"/>
        <w:spacing w:before="0" w:after="80"/>
        <w:ind w:firstLine="432"/>
        <w:jc w:val="both"/>
        <w:rPr>
          <w:rFonts w:hint="eastAsia"/>
        </w:rPr>
      </w:pPr>
      <w:r>
        <w:rPr>
          <w:b/>
          <w:color w:val="555555"/>
        </w:rPr>
        <w:t xml:space="preserve">[62]  </w:t>
      </w:r>
      <w:r>
        <w:rPr/>
        <w:t>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pStyle w:val="Normal"/>
        <w:spacing w:before="0" w:after="80"/>
        <w:ind w:firstLine="432"/>
        <w:jc w:val="both"/>
        <w:rPr>
          <w:rFonts w:hint="eastAsia"/>
        </w:rPr>
      </w:pPr>
      <w:r>
        <w:rPr>
          <w:b/>
          <w:color w:val="555555"/>
        </w:rPr>
        <w:t xml:space="preserve">[63]  </w:t>
      </w:r>
      <w:r>
        <w:rPr/>
        <w:t>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pStyle w:val="Normal"/>
        <w:spacing w:before="0" w:after="80"/>
        <w:ind w:firstLine="432"/>
        <w:jc w:val="both"/>
        <w:rPr>
          <w:rFonts w:hint="eastAsia"/>
        </w:rPr>
      </w:pPr>
      <w:r>
        <w:rPr>
          <w:b/>
          <w:color w:val="555555"/>
        </w:rPr>
        <w:t xml:space="preserve">[64]  </w:t>
      </w:r>
      <w:r>
        <w:rPr/>
        <w:t>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pStyle w:val="Normal"/>
        <w:spacing w:before="0" w:after="80"/>
        <w:ind w:firstLine="432"/>
        <w:jc w:val="both"/>
        <w:rPr>
          <w:rFonts w:hint="eastAsia"/>
        </w:rPr>
      </w:pPr>
      <w:r>
        <w:rPr>
          <w:b/>
          <w:color w:val="555555"/>
        </w:rPr>
        <w:t xml:space="preserve">[65]  </w:t>
      </w:r>
      <w:r>
        <w:rPr/>
        <w:t>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**Convergence regime disclosure (claims 260–261)**</w:t>
      </w:r>
    </w:p>
    <w:p>
      <w:pPr>
        <w:pStyle w:val="Normal"/>
        <w:spacing w:before="0" w:after="80"/>
        <w:ind w:firstLine="432"/>
        <w:jc w:val="both"/>
        <w:rPr>
          <w:rFonts w:hint="eastAsia"/>
        </w:rPr>
      </w:pPr>
      <w:r>
        <w:rPr>
          <w:b/>
          <w:color w:val="555555"/>
        </w:rPr>
        <w:t xml:space="preserve">[66]  </w:t>
      </w:r>
      <w:r>
        <w:rPr/>
        <w:t>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pStyle w:val="Normal"/>
        <w:spacing w:before="0" w:after="80"/>
        <w:ind w:firstLine="432"/>
        <w:jc w:val="both"/>
        <w:rPr>
          <w:rFonts w:hint="eastAsia"/>
        </w:rPr>
      </w:pPr>
      <w:r>
        <w:rPr>
          <w:b/>
          <w:color w:val="555555"/>
        </w:rPr>
        <w:t xml:space="preserve">[67]  </w:t>
      </w:r>
      <w:r>
        <w:rPr/>
        <w:t>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**Behavioural probing and analysis quarantine (claims 108–112)**</w:t>
      </w:r>
    </w:p>
    <w:p>
      <w:pPr>
        <w:pStyle w:val="Normal"/>
        <w:spacing w:before="0" w:after="80"/>
        <w:ind w:firstLine="432"/>
        <w:jc w:val="both"/>
        <w:rPr>
          <w:rFonts w:hint="eastAsia"/>
        </w:rPr>
      </w:pPr>
      <w:r>
        <w:rPr>
          <w:b/>
          <w:color w:val="555555"/>
        </w:rPr>
        <w:t xml:space="preserve">[68]  </w:t>
      </w:r>
      <w:r>
        <w:rPr/>
        <w:t>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pStyle w:val="Normal"/>
        <w:spacing w:before="0" w:after="80"/>
        <w:ind w:firstLine="432"/>
        <w:jc w:val="both"/>
        <w:rPr>
          <w:rFonts w:hint="eastAsia"/>
        </w:rPr>
      </w:pPr>
      <w:r>
        <w:rPr>
          <w:b/>
          <w:color w:val="555555"/>
        </w:rPr>
        <w:t xml:space="preserve">[69]  </w:t>
      </w:r>
      <w:r>
        <w:rPr/>
        <w:t>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pStyle w:val="Normal"/>
        <w:spacing w:before="0" w:after="80"/>
        <w:ind w:firstLine="432"/>
        <w:jc w:val="both"/>
        <w:rPr>
          <w:rFonts w:hint="eastAsia"/>
        </w:rPr>
      </w:pPr>
      <w:r>
        <w:rPr>
          <w:b/>
          <w:color w:val="555555"/>
        </w:rPr>
        <w:t xml:space="preserve">[70]  </w:t>
      </w:r>
      <w:r>
        <w:rPr/>
        <w:t>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pStyle w:val="Normal"/>
        <w:spacing w:before="0" w:after="80"/>
        <w:ind w:firstLine="432"/>
        <w:jc w:val="both"/>
        <w:rPr>
          <w:rFonts w:hint="eastAsia"/>
        </w:rPr>
      </w:pPr>
      <w:r>
        <w:rPr>
          <w:b/>
          <w:color w:val="555555"/>
        </w:rPr>
        <w:t xml:space="preserve">[71]  </w:t>
      </w:r>
      <w:r>
        <w:rPr/>
        <w:t>The method of claim 262, further comprising enumerating a trial space for a layer, executing trial cases therefrom, and recording a coverage as a proportion of said trial space executed together with an enumeration of cases not executed.</w:t>
      </w:r>
    </w:p>
    <w:p>
      <w:pPr>
        <w:pStyle w:val="Normal"/>
        <w:spacing w:before="0" w:after="80"/>
        <w:ind w:firstLine="432"/>
        <w:jc w:val="both"/>
        <w:rPr>
          <w:rFonts w:hint="eastAsia"/>
        </w:rPr>
      </w:pPr>
      <w:r>
        <w:rPr>
          <w:b/>
          <w:color w:val="555555"/>
        </w:rPr>
        <w:t xml:space="preserve">[72]  </w:t>
      </w:r>
      <w:r>
        <w:rPr/>
        <w:t>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pStyle w:val="Normal"/>
        <w:spacing w:before="0" w:after="80"/>
        <w:ind w:firstLine="432"/>
        <w:jc w:val="both"/>
        <w:rPr>
          <w:rFonts w:hint="eastAsia"/>
        </w:rPr>
      </w:pPr>
      <w:r>
        <w:rPr>
          <w:b/>
          <w:color w:val="555555"/>
        </w:rPr>
        <w:t xml:space="preserve">[73]  </w:t>
      </w:r>
      <w:r>
        <w:rPr/>
        <w:t>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pStyle w:val="Normal"/>
        <w:spacing w:before="0" w:after="80"/>
        <w:ind w:firstLine="432"/>
        <w:jc w:val="both"/>
        <w:rPr>
          <w:rFonts w:hint="eastAsia"/>
        </w:rPr>
      </w:pPr>
      <w:r>
        <w:rPr>
          <w:b/>
          <w:color w:val="555555"/>
        </w:rPr>
        <w:t xml:space="preserve">[74]  </w:t>
      </w:r>
      <w:r>
        <w:rPr/>
        <w:t>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pStyle w:val="Normal"/>
        <w:spacing w:before="0" w:after="80"/>
        <w:ind w:firstLine="432"/>
        <w:jc w:val="both"/>
        <w:rPr>
          <w:rFonts w:hint="eastAsia"/>
        </w:rPr>
      </w:pPr>
      <w:r>
        <w:rPr>
          <w:b/>
          <w:color w:val="555555"/>
        </w:rPr>
        <w:t xml:space="preserve">[75]  </w:t>
      </w:r>
      <w:r>
        <w:rPr/>
        <w:t>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**Grasping and manipulation (claims 270–276)**</w:t>
      </w:r>
    </w:p>
    <w:p>
      <w:pPr>
        <w:pStyle w:val="Normal"/>
        <w:spacing w:before="0" w:after="80"/>
        <w:ind w:firstLine="432"/>
        <w:jc w:val="both"/>
        <w:rPr>
          <w:rFonts w:hint="eastAsia"/>
        </w:rPr>
      </w:pPr>
      <w:r>
        <w:rPr>
          <w:b/>
          <w:color w:val="555555"/>
        </w:rPr>
        <w:t xml:space="preserve">[76]  </w:t>
      </w:r>
      <w:r>
        <w:rPr/>
        <w:t>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pStyle w:val="Normal"/>
        <w:spacing w:before="0" w:after="80"/>
        <w:ind w:firstLine="432"/>
        <w:jc w:val="both"/>
        <w:rPr>
          <w:rFonts w:hint="eastAsia"/>
        </w:rPr>
      </w:pPr>
      <w:r>
        <w:rPr>
          <w:b/>
          <w:color w:val="555555"/>
        </w:rPr>
        <w:t xml:space="preserve">[77]  </w:t>
      </w:r>
      <w:r>
        <w:rPr/>
        <w:t>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pStyle w:val="Normal"/>
        <w:spacing w:before="0" w:after="80"/>
        <w:ind w:firstLine="432"/>
        <w:jc w:val="both"/>
        <w:rPr>
          <w:rFonts w:hint="eastAsia"/>
        </w:rPr>
      </w:pPr>
      <w:r>
        <w:rPr>
          <w:b/>
          <w:color w:val="555555"/>
        </w:rPr>
        <w:t xml:space="preserve">[78]  </w:t>
      </w:r>
      <w:r>
        <w:rPr/>
        <w:t>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pStyle w:val="Normal"/>
        <w:spacing w:before="0" w:after="80"/>
        <w:ind w:firstLine="432"/>
        <w:jc w:val="both"/>
        <w:rPr>
          <w:rFonts w:hint="eastAsia"/>
        </w:rPr>
      </w:pPr>
      <w:r>
        <w:rPr>
          <w:b/>
          <w:color w:val="555555"/>
        </w:rPr>
        <w:t xml:space="preserve">[79]  </w:t>
      </w:r>
      <w:r>
        <w:rPr/>
        <w:t>The method of claim 58, wherein in a third said session mode said stabilized set is ordered into a sequence of instructional steps by a dependency relation among said knowledge records, each said step citing the knowledge record from which it was composed.</w:t>
      </w:r>
    </w:p>
    <w:p>
      <w:pPr>
        <w:pStyle w:val="Normal"/>
        <w:spacing w:before="0" w:after="80"/>
        <w:ind w:firstLine="432"/>
        <w:jc w:val="both"/>
        <w:rPr>
          <w:rFonts w:hint="eastAsia"/>
        </w:rPr>
      </w:pPr>
      <w:r>
        <w:rPr>
          <w:b/>
          <w:color w:val="555555"/>
        </w:rPr>
        <w:t xml:space="preserve">[80]  </w:t>
      </w:r>
      <w:r>
        <w:rPr/>
        <w:t>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pStyle w:val="Normal"/>
        <w:spacing w:before="0" w:after="80"/>
        <w:ind w:firstLine="432"/>
        <w:jc w:val="both"/>
        <w:rPr>
          <w:rFonts w:hint="eastAsia"/>
        </w:rPr>
      </w:pPr>
      <w:r>
        <w:rPr>
          <w:b/>
          <w:color w:val="555555"/>
        </w:rPr>
        <w:t xml:space="preserve">[81]  </w:t>
      </w:r>
      <w:r>
        <w:rPr/>
        <w:t>The method of claim 58, wherein in a fourth said session mode said stabilized set is ordered by a temporal anchor field of each said knowledge record, and a knowledge record lacking a temporal anchor is reported as unordered rather than assigned a position.</w:t>
      </w:r>
    </w:p>
    <w:p>
      <w:pPr>
        <w:pStyle w:val="Normal"/>
        <w:spacing w:before="0" w:after="80"/>
        <w:ind w:firstLine="432"/>
        <w:jc w:val="both"/>
        <w:rPr>
          <w:rFonts w:hint="eastAsia"/>
        </w:rPr>
      </w:pPr>
      <w:r>
        <w:rPr>
          <w:b/>
          <w:color w:val="555555"/>
        </w:rPr>
        <w:t xml:space="preserve">[82]  </w:t>
      </w:r>
      <w:r>
        <w:rPr/>
        <w:t>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pStyle w:val="Normal"/>
        <w:spacing w:before="0" w:after="80"/>
        <w:ind w:firstLine="432"/>
        <w:jc w:val="both"/>
        <w:rPr>
          <w:rFonts w:hint="eastAsia"/>
        </w:rPr>
      </w:pPr>
      <w:r>
        <w:rPr>
          <w:b/>
          <w:color w:val="555555"/>
        </w:rPr>
        <w:t xml:space="preserve">[83]  </w:t>
      </w:r>
      <w:r>
        <w:rPr/>
        <w:t>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pStyle w:val="Normal"/>
        <w:spacing w:before="0" w:after="80"/>
        <w:ind w:firstLine="432"/>
        <w:jc w:val="both"/>
        <w:rPr>
          <w:rFonts w:hint="eastAsia"/>
        </w:rPr>
      </w:pPr>
      <w:r>
        <w:rPr>
          <w:b/>
          <w:color w:val="555555"/>
        </w:rPr>
        <w:t xml:space="preserve">[84]  </w:t>
      </w:r>
      <w:r>
        <w:rPr/>
        <w:t>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pStyle w:val="Normal"/>
        <w:spacing w:before="0" w:after="80"/>
        <w:ind w:firstLine="432"/>
        <w:jc w:val="both"/>
        <w:rPr>
          <w:rFonts w:hint="eastAsia"/>
        </w:rPr>
      </w:pPr>
      <w:r>
        <w:rPr>
          <w:b/>
          <w:color w:val="555555"/>
        </w:rPr>
        <w:t xml:space="preserve">[85]  </w:t>
      </w:r>
      <w:r>
        <w:rPr/>
        <w:t>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pStyle w:val="Normal"/>
        <w:spacing w:before="0" w:after="80"/>
        <w:ind w:firstLine="432"/>
        <w:jc w:val="both"/>
        <w:rPr>
          <w:rFonts w:hint="eastAsia"/>
        </w:rPr>
      </w:pPr>
      <w:r>
        <w:rPr>
          <w:b/>
          <w:color w:val="555555"/>
        </w:rPr>
        <w:t xml:space="preserve">[86]  </w:t>
      </w:r>
      <w:r>
        <w:rPr/>
        <w:t>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pStyle w:val="Normal"/>
        <w:spacing w:before="0" w:after="80"/>
        <w:ind w:firstLine="432"/>
        <w:jc w:val="both"/>
        <w:rPr>
          <w:rFonts w:hint="eastAsia"/>
        </w:rPr>
      </w:pPr>
      <w:r>
        <w:rPr>
          <w:b/>
          <w:color w:val="555555"/>
        </w:rPr>
        <w:t xml:space="preserve">[87]  </w:t>
      </w:r>
      <w:r>
        <w:rPr/>
        <w:t>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pStyle w:val="Normal"/>
        <w:spacing w:before="0" w:after="80"/>
        <w:ind w:firstLine="432"/>
        <w:jc w:val="both"/>
        <w:rPr>
          <w:rFonts w:hint="eastAsia"/>
        </w:rPr>
      </w:pPr>
      <w:r>
        <w:rPr>
          <w:b/>
          <w:color w:val="555555"/>
        </w:rPr>
        <w:t xml:space="preserve">[88]  </w:t>
      </w:r>
      <w:r>
        <w:rPr/>
        <w:t>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pStyle w:val="Normal"/>
        <w:spacing w:before="0" w:after="80"/>
        <w:ind w:firstLine="432"/>
        <w:jc w:val="both"/>
        <w:rPr>
          <w:rFonts w:hint="eastAsia"/>
        </w:rPr>
      </w:pPr>
      <w:r>
        <w:rPr>
          <w:b/>
          <w:color w:val="555555"/>
        </w:rPr>
        <w:t xml:space="preserve">[89]  </w:t>
      </w:r>
      <w:r>
        <w:rPr/>
        <w:t>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pStyle w:val="Normal"/>
        <w:spacing w:before="0" w:after="80"/>
        <w:ind w:firstLine="432"/>
        <w:jc w:val="both"/>
        <w:rPr>
          <w:rFonts w:hint="eastAsia"/>
        </w:rPr>
      </w:pPr>
      <w:r>
        <w:rPr>
          <w:b/>
          <w:color w:val="555555"/>
        </w:rPr>
        <w:t xml:space="preserve">[90]  </w:t>
      </w:r>
      <w:r>
        <w:rPr/>
        <w:t>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pStyle w:val="Normal"/>
        <w:spacing w:before="0" w:after="80"/>
        <w:ind w:firstLine="432"/>
        <w:jc w:val="both"/>
        <w:rPr>
          <w:rFonts w:hint="eastAsia"/>
        </w:rPr>
      </w:pPr>
      <w:r>
        <w:rPr>
          <w:b/>
          <w:color w:val="555555"/>
        </w:rPr>
        <w:t xml:space="preserve">[91]  </w:t>
      </w:r>
      <w:r>
        <w:rPr/>
        <w:t>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pStyle w:val="Normal"/>
        <w:spacing w:before="0" w:after="80"/>
        <w:ind w:firstLine="432"/>
        <w:jc w:val="both"/>
        <w:rPr>
          <w:rFonts w:hint="eastAsia"/>
        </w:rPr>
      </w:pPr>
      <w:r>
        <w:rPr>
          <w:b/>
          <w:color w:val="555555"/>
        </w:rPr>
        <w:t xml:space="preserve">[92]  </w:t>
      </w:r>
      <w:r>
        <w:rPr/>
        <w:t>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pStyle w:val="Normal"/>
        <w:spacing w:before="0" w:after="80"/>
        <w:ind w:firstLine="432"/>
        <w:jc w:val="both"/>
        <w:rPr>
          <w:rFonts w:hint="eastAsia"/>
        </w:rPr>
      </w:pPr>
      <w:r>
        <w:rPr>
          <w:b/>
          <w:color w:val="555555"/>
        </w:rPr>
        <w:t xml:space="preserve">[93]  </w:t>
      </w:r>
      <w:r>
        <w:rPr/>
        <w:t>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pStyle w:val="Normal"/>
        <w:spacing w:before="0" w:after="80"/>
        <w:ind w:firstLine="432"/>
        <w:jc w:val="both"/>
        <w:rPr>
          <w:rFonts w:hint="eastAsia"/>
        </w:rPr>
      </w:pPr>
      <w:r>
        <w:rPr>
          <w:b/>
          <w:color w:val="555555"/>
        </w:rPr>
        <w:t xml:space="preserve">[94]  </w:t>
      </w:r>
      <w:r>
        <w:rPr/>
        <w:t>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pStyle w:val="Normal"/>
        <w:spacing w:before="0" w:after="80"/>
        <w:ind w:firstLine="432"/>
        <w:jc w:val="both"/>
        <w:rPr>
          <w:rFonts w:hint="eastAsia"/>
        </w:rPr>
      </w:pPr>
      <w:r>
        <w:rPr>
          <w:b/>
          <w:color w:val="555555"/>
        </w:rPr>
        <w:t xml:space="preserve">[95]  </w:t>
      </w:r>
      <w:r>
        <w:rPr/>
        <w:t>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pStyle w:val="Normal"/>
        <w:spacing w:before="0" w:after="80"/>
        <w:ind w:firstLine="432"/>
        <w:jc w:val="both"/>
        <w:rPr>
          <w:rFonts w:hint="eastAsia"/>
        </w:rPr>
      </w:pPr>
      <w:r>
        <w:rPr>
          <w:b/>
          <w:color w:val="555555"/>
        </w:rPr>
        <w:t xml:space="preserve">[96]  </w:t>
      </w:r>
      <w:r>
        <w:rPr/>
        <w:t>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pStyle w:val="Normal"/>
        <w:spacing w:before="0" w:after="80"/>
        <w:ind w:firstLine="432"/>
        <w:jc w:val="both"/>
        <w:rPr>
          <w:rFonts w:hint="eastAsia"/>
        </w:rPr>
      </w:pPr>
      <w:r>
        <w:rPr>
          <w:b/>
          <w:color w:val="555555"/>
        </w:rPr>
        <w:t xml:space="preserve">[97]  </w:t>
      </w:r>
      <w:r>
        <w:rPr/>
        <w:t>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pStyle w:val="Normal"/>
        <w:spacing w:before="0" w:after="80"/>
        <w:ind w:firstLine="432"/>
        <w:jc w:val="both"/>
        <w:rPr>
          <w:rFonts w:hint="eastAsia"/>
        </w:rPr>
      </w:pPr>
      <w:r>
        <w:rPr>
          <w:b/>
          <w:color w:val="555555"/>
        </w:rPr>
        <w:t xml:space="preserve">[98]  </w:t>
      </w:r>
      <w:r>
        <w:rPr/>
        <w:t>The method of claim 1, further comprising accepting a submitted work into a publication workflow, validating a right to distribute said work before any said extracting is performed, and withholding said extracting until said validating returns a cleared status.</w:t>
      </w:r>
    </w:p>
    <w:p>
      <w:pPr>
        <w:pStyle w:val="Normal"/>
        <w:spacing w:before="0" w:after="80"/>
        <w:ind w:firstLine="432"/>
        <w:jc w:val="both"/>
        <w:rPr>
          <w:rFonts w:hint="eastAsia"/>
        </w:rPr>
      </w:pPr>
      <w:r>
        <w:rPr>
          <w:b/>
          <w:color w:val="555555"/>
        </w:rPr>
        <w:t xml:space="preserve">[99]  </w:t>
      </w:r>
      <w:r>
        <w:rPr/>
        <w:t>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pStyle w:val="Normal"/>
        <w:spacing w:before="0" w:after="80"/>
        <w:ind w:firstLine="432"/>
        <w:jc w:val="both"/>
        <w:rPr>
          <w:rFonts w:hint="eastAsia"/>
        </w:rPr>
      </w:pPr>
      <w:r>
        <w:rPr>
          <w:b/>
          <w:color w:val="555555"/>
        </w:rPr>
        <w:t xml:space="preserve">[100]  </w:t>
      </w:r>
      <w:r>
        <w:rPr/>
        <w:t>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pStyle w:val="Normal"/>
        <w:spacing w:before="0" w:after="80"/>
        <w:ind w:firstLine="432"/>
        <w:jc w:val="both"/>
        <w:rPr>
          <w:rFonts w:hint="eastAsia"/>
        </w:rPr>
      </w:pPr>
      <w:r>
        <w:rPr>
          <w:b/>
          <w:color w:val="555555"/>
        </w:rPr>
        <w:t xml:space="preserve">[101]  </w:t>
      </w:r>
      <w:r>
        <w:rPr/>
        <w:t>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pStyle w:val="Normal"/>
        <w:spacing w:before="0" w:after="80"/>
        <w:ind w:firstLine="432"/>
        <w:jc w:val="both"/>
        <w:rPr>
          <w:rFonts w:hint="eastAsia"/>
        </w:rPr>
      </w:pPr>
      <w:r>
        <w:rPr>
          <w:b/>
          <w:color w:val="555555"/>
        </w:rPr>
        <w:t xml:space="preserve">[102]  </w:t>
      </w:r>
      <w:r>
        <w:rPr/>
        <w:t>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pStyle w:val="Normal"/>
        <w:spacing w:before="0" w:after="80"/>
        <w:ind w:firstLine="432"/>
        <w:jc w:val="both"/>
        <w:rPr>
          <w:rFonts w:hint="eastAsia"/>
        </w:rPr>
      </w:pPr>
      <w:r>
        <w:rPr>
          <w:b/>
          <w:color w:val="555555"/>
        </w:rPr>
        <w:t xml:space="preserve">[103]  </w:t>
      </w:r>
      <w:r>
        <w:rPr/>
        <w:t>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pStyle w:val="Normal"/>
        <w:spacing w:before="0" w:after="80"/>
        <w:ind w:firstLine="432"/>
        <w:jc w:val="both"/>
        <w:rPr>
          <w:rFonts w:hint="eastAsia"/>
        </w:rPr>
      </w:pPr>
      <w:r>
        <w:rPr>
          <w:b/>
          <w:color w:val="555555"/>
        </w:rPr>
        <w:t xml:space="preserve">[104]  </w:t>
      </w:r>
      <w:r>
        <w:rPr/>
        <w:t>The method of claim 1, further comprising emitting a device output on a sensory channel only in response to an explicit user action tied to a sensory profile authored for specific content, wherein no said emitting is triggered by a state inferred by the system.</w:t>
      </w:r>
    </w:p>
    <w:p>
      <w:pPr>
        <w:pStyle w:val="Normal"/>
        <w:spacing w:before="0" w:after="80"/>
        <w:ind w:firstLine="432"/>
        <w:jc w:val="both"/>
        <w:rPr>
          <w:rFonts w:hint="eastAsia"/>
        </w:rPr>
      </w:pPr>
      <w:r>
        <w:rPr>
          <w:b/>
          <w:color w:val="555555"/>
        </w:rPr>
        <w:t xml:space="preserve">[105]  </w:t>
      </w:r>
      <w:r>
        <w:rPr/>
        <w:t>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pStyle w:val="Normal"/>
        <w:spacing w:before="0" w:after="80"/>
        <w:ind w:firstLine="432"/>
        <w:jc w:val="both"/>
        <w:rPr>
          <w:rFonts w:hint="eastAsia"/>
        </w:rPr>
      </w:pPr>
      <w:r>
        <w:rPr>
          <w:b/>
          <w:color w:val="555555"/>
        </w:rPr>
        <w:t xml:space="preserve">[106]  </w:t>
      </w:r>
      <w:r>
        <w:rPr/>
        <w:t>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pStyle w:val="Normal"/>
        <w:spacing w:before="0" w:after="80"/>
        <w:ind w:firstLine="432"/>
        <w:jc w:val="both"/>
        <w:rPr>
          <w:rFonts w:hint="eastAsia"/>
        </w:rPr>
      </w:pPr>
      <w:r>
        <w:rPr>
          <w:b/>
          <w:color w:val="555555"/>
        </w:rPr>
        <w:t xml:space="preserve">[107]  </w:t>
      </w:r>
      <w:r>
        <w:rPr/>
        <w:t>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pStyle w:val="Normal"/>
        <w:spacing w:before="0" w:after="80"/>
        <w:ind w:firstLine="432"/>
        <w:jc w:val="both"/>
        <w:rPr>
          <w:rFonts w:hint="eastAsia"/>
        </w:rPr>
      </w:pPr>
      <w:r>
        <w:rPr>
          <w:b/>
          <w:color w:val="555555"/>
        </w:rPr>
        <w:t xml:space="preserve">[108]  </w:t>
      </w:r>
      <w:r>
        <w:rPr/>
        <w:t>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pStyle w:val="Normal"/>
        <w:spacing w:before="0" w:after="80"/>
        <w:ind w:firstLine="432"/>
        <w:jc w:val="both"/>
        <w:rPr>
          <w:rFonts w:hint="eastAsia"/>
        </w:rPr>
      </w:pPr>
      <w:r>
        <w:rPr>
          <w:b/>
          <w:color w:val="555555"/>
        </w:rPr>
        <w:t xml:space="preserve">[109]  </w:t>
      </w:r>
      <w:r>
        <w:rPr/>
        <w:t>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pStyle w:val="Normal"/>
        <w:spacing w:before="0" w:after="80"/>
        <w:ind w:firstLine="432"/>
        <w:jc w:val="both"/>
        <w:rPr>
          <w:rFonts w:hint="eastAsia"/>
        </w:rPr>
      </w:pPr>
      <w:r>
        <w:rPr>
          <w:b/>
          <w:color w:val="555555"/>
        </w:rPr>
        <w:t xml:space="preserve">[110]  </w:t>
      </w:r>
      <w:r>
        <w:rPr/>
        <w:t>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pStyle w:val="Normal"/>
        <w:spacing w:before="0" w:after="80"/>
        <w:ind w:firstLine="432"/>
        <w:jc w:val="both"/>
        <w:rPr>
          <w:rFonts w:hint="eastAsia"/>
        </w:rPr>
      </w:pPr>
      <w:r>
        <w:rPr>
          <w:b/>
          <w:color w:val="555555"/>
        </w:rPr>
        <w:t xml:space="preserve">[111]  </w:t>
      </w:r>
      <w:r>
        <w:rPr/>
        <w:t>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pStyle w:val="Normal"/>
        <w:spacing w:before="0" w:after="80"/>
        <w:ind w:firstLine="432"/>
        <w:jc w:val="both"/>
        <w:rPr>
          <w:rFonts w:hint="eastAsia"/>
        </w:rPr>
      </w:pPr>
      <w:r>
        <w:rPr>
          <w:b/>
          <w:color w:val="555555"/>
        </w:rPr>
        <w:t xml:space="preserve">[112]  </w:t>
      </w:r>
      <w:r>
        <w:rPr/>
        <w:t>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pStyle w:val="Normal"/>
        <w:spacing w:before="0" w:after="80"/>
        <w:ind w:firstLine="432"/>
        <w:jc w:val="both"/>
        <w:rPr>
          <w:rFonts w:hint="eastAsia"/>
        </w:rPr>
      </w:pPr>
      <w:r>
        <w:rPr>
          <w:b/>
          <w:color w:val="555555"/>
        </w:rPr>
        <w:t xml:space="preserve">[113]  </w:t>
      </w:r>
      <w:r>
        <w:rPr/>
        <w:t>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pStyle w:val="Normal"/>
        <w:spacing w:before="0" w:after="80"/>
        <w:ind w:firstLine="432"/>
        <w:jc w:val="both"/>
        <w:rPr>
          <w:rFonts w:hint="eastAsia"/>
        </w:rPr>
      </w:pPr>
      <w:r>
        <w:rPr>
          <w:b/>
          <w:color w:val="555555"/>
        </w:rPr>
        <w:t xml:space="preserve">[114]  </w:t>
      </w:r>
      <w:r>
        <w:rPr/>
        <w:t>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pStyle w:val="Normal"/>
        <w:spacing w:before="0" w:after="80"/>
        <w:ind w:firstLine="432"/>
        <w:jc w:val="both"/>
        <w:rPr>
          <w:rFonts w:hint="eastAsia"/>
        </w:rPr>
      </w:pPr>
      <w:r>
        <w:rPr>
          <w:b/>
          <w:color w:val="555555"/>
        </w:rPr>
        <w:t xml:space="preserve">[115]  </w:t>
      </w:r>
      <w:r>
        <w:rPr/>
        <w:t>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pStyle w:val="Normal"/>
        <w:spacing w:before="0" w:after="80"/>
        <w:ind w:firstLine="432"/>
        <w:jc w:val="both"/>
        <w:rPr>
          <w:rFonts w:hint="eastAsia"/>
        </w:rPr>
      </w:pPr>
      <w:r>
        <w:rPr>
          <w:b/>
          <w:color w:val="555555"/>
        </w:rPr>
        <w:t xml:space="preserve">[116]  </w:t>
      </w:r>
      <w:r>
        <w:rPr/>
        <w:t>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pStyle w:val="Normal"/>
        <w:spacing w:before="0" w:after="80"/>
        <w:ind w:firstLine="432"/>
        <w:jc w:val="both"/>
        <w:rPr>
          <w:rFonts w:hint="eastAsia"/>
        </w:rPr>
      </w:pPr>
      <w:r>
        <w:rPr>
          <w:b/>
          <w:color w:val="555555"/>
        </w:rPr>
        <w:t xml:space="preserve">[117]  </w:t>
      </w:r>
      <w:r>
        <w:rPr/>
        <w:t>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pStyle w:val="Normal"/>
        <w:spacing w:before="0" w:after="80"/>
        <w:ind w:firstLine="432"/>
        <w:jc w:val="both"/>
        <w:rPr>
          <w:rFonts w:hint="eastAsia"/>
        </w:rPr>
      </w:pPr>
      <w:r>
        <w:rPr>
          <w:b/>
          <w:color w:val="555555"/>
        </w:rPr>
        <w:t xml:space="preserve">[118]  </w:t>
      </w:r>
      <w:r>
        <w:rPr/>
        <w:t>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pStyle w:val="Normal"/>
        <w:spacing w:before="0" w:after="80"/>
        <w:ind w:firstLine="432"/>
        <w:jc w:val="both"/>
        <w:rPr>
          <w:rFonts w:hint="eastAsia"/>
        </w:rPr>
      </w:pPr>
      <w:r>
        <w:rPr>
          <w:b/>
          <w:color w:val="555555"/>
        </w:rPr>
        <w:t xml:space="preserve">[119]  </w:t>
      </w:r>
      <w:r>
        <w:rPr/>
        <w:t>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pStyle w:val="Normal"/>
        <w:spacing w:before="0" w:after="80"/>
        <w:ind w:firstLine="432"/>
        <w:jc w:val="both"/>
        <w:rPr>
          <w:rFonts w:hint="eastAsia"/>
        </w:rPr>
      </w:pPr>
      <w:r>
        <w:rPr>
          <w:b/>
          <w:color w:val="555555"/>
        </w:rPr>
        <w:t xml:space="preserve">[120]  </w:t>
      </w:r>
      <w:r>
        <w:rPr/>
        <w:t>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pStyle w:val="Normal"/>
        <w:spacing w:before="0" w:after="80"/>
        <w:ind w:firstLine="432"/>
        <w:jc w:val="both"/>
        <w:rPr>
          <w:rFonts w:hint="eastAsia"/>
        </w:rPr>
      </w:pPr>
      <w:r>
        <w:rPr>
          <w:b/>
          <w:color w:val="555555"/>
        </w:rPr>
        <w:t xml:space="preserve">[121]  </w:t>
      </w:r>
      <w:r>
        <w:rPr/>
        <w:t>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pStyle w:val="Normal"/>
        <w:spacing w:before="0" w:after="80"/>
        <w:ind w:firstLine="432"/>
        <w:jc w:val="both"/>
        <w:rPr>
          <w:rFonts w:hint="eastAsia"/>
        </w:rPr>
      </w:pPr>
      <w:r>
        <w:rPr>
          <w:b/>
          <w:color w:val="555555"/>
        </w:rPr>
        <w:t xml:space="preserve">[122]  </w:t>
      </w:r>
      <w:r>
        <w:rPr/>
        <w:t>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pStyle w:val="Normal"/>
        <w:spacing w:before="0" w:after="80"/>
        <w:ind w:firstLine="432"/>
        <w:jc w:val="both"/>
        <w:rPr>
          <w:rFonts w:hint="eastAsia"/>
        </w:rPr>
      </w:pPr>
      <w:r>
        <w:rPr>
          <w:b/>
          <w:color w:val="555555"/>
        </w:rPr>
        <w:t xml:space="preserve">[123]  </w:t>
      </w:r>
      <w:r>
        <w:rPr/>
        <w:t>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pStyle w:val="Normal"/>
        <w:spacing w:before="0" w:after="80"/>
        <w:ind w:firstLine="432"/>
        <w:jc w:val="both"/>
        <w:rPr>
          <w:rFonts w:hint="eastAsia"/>
        </w:rPr>
      </w:pPr>
      <w:r>
        <w:rPr>
          <w:b/>
          <w:color w:val="555555"/>
        </w:rPr>
        <w:t xml:space="preserve">[124]  </w:t>
      </w:r>
      <w:r>
        <w:rPr/>
        <w:t>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pStyle w:val="Normal"/>
        <w:spacing w:before="0" w:after="80"/>
        <w:ind w:firstLine="432"/>
        <w:jc w:val="both"/>
        <w:rPr>
          <w:rFonts w:hint="eastAsia"/>
        </w:rPr>
      </w:pPr>
      <w:r>
        <w:rPr>
          <w:b/>
          <w:color w:val="555555"/>
        </w:rPr>
        <w:t xml:space="preserve">[125]  </w:t>
      </w:r>
      <w:r>
        <w:rPr/>
        <w:t>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pStyle w:val="Normal"/>
        <w:spacing w:before="0" w:after="80"/>
        <w:ind w:firstLine="432"/>
        <w:jc w:val="both"/>
        <w:rPr>
          <w:rFonts w:hint="eastAsia"/>
        </w:rPr>
      </w:pPr>
      <w:r>
        <w:rPr>
          <w:b/>
          <w:color w:val="555555"/>
        </w:rPr>
        <w:t xml:space="preserve">[126]  </w:t>
      </w:r>
      <w:r>
        <w:rPr/>
        <w:t>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**Confidence as a Beta posterior (claims 125–129)**</w:t>
      </w:r>
    </w:p>
    <w:p>
      <w:pPr>
        <w:pStyle w:val="Normal"/>
        <w:spacing w:before="0" w:after="80"/>
        <w:ind w:firstLine="432"/>
        <w:jc w:val="both"/>
        <w:rPr>
          <w:rFonts w:hint="eastAsia"/>
        </w:rPr>
      </w:pPr>
      <w:r>
        <w:rPr>
          <w:b/>
          <w:color w:val="555555"/>
        </w:rPr>
        <w:t xml:space="preserve">[127]  </w:t>
      </w:r>
      <w:r>
        <w:rPr/>
        <w:t>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pStyle w:val="Normal"/>
        <w:spacing w:before="0" w:after="80"/>
        <w:ind w:firstLine="432"/>
        <w:jc w:val="both"/>
        <w:rPr>
          <w:rFonts w:hint="eastAsia"/>
        </w:rPr>
      </w:pPr>
      <w:r>
        <w:rPr>
          <w:b/>
          <w:color w:val="555555"/>
        </w:rPr>
        <w:t xml:space="preserve">[128]  </w:t>
      </w:r>
      <w:r>
        <w:rPr/>
        <w:t>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pStyle w:val="Normal"/>
        <w:spacing w:before="0" w:after="80"/>
        <w:ind w:firstLine="432"/>
        <w:jc w:val="both"/>
        <w:rPr>
          <w:rFonts w:hint="eastAsia"/>
        </w:rPr>
      </w:pPr>
      <w:r>
        <w:rPr>
          <w:b/>
          <w:color w:val="555555"/>
        </w:rPr>
        <w:t xml:space="preserve">[129]  </w:t>
      </w:r>
      <w:r>
        <w:rPr/>
        <w:t>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pStyle w:val="Normal"/>
        <w:spacing w:before="0" w:after="80"/>
        <w:ind w:firstLine="432"/>
        <w:jc w:val="both"/>
        <w:rPr>
          <w:rFonts w:hint="eastAsia"/>
        </w:rPr>
      </w:pPr>
      <w:r>
        <w:rPr>
          <w:b/>
          <w:color w:val="555555"/>
        </w:rPr>
        <w:t xml:space="preserve">[130]  </w:t>
      </w:r>
      <w:r>
        <w:rPr/>
        <w:t>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pStyle w:val="Normal"/>
        <w:spacing w:before="0" w:after="80"/>
        <w:ind w:firstLine="432"/>
        <w:jc w:val="both"/>
        <w:rPr>
          <w:rFonts w:hint="eastAsia"/>
        </w:rPr>
      </w:pPr>
      <w:r>
        <w:rPr>
          <w:b/>
          <w:color w:val="555555"/>
        </w:rPr>
        <w:t xml:space="preserve">[131]  </w:t>
      </w:r>
      <w:r>
        <w:rPr/>
        <w:t>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**Precision-weighted error propagation (claims 130–133)**</w:t>
      </w:r>
    </w:p>
    <w:p>
      <w:pPr>
        <w:pStyle w:val="Normal"/>
        <w:spacing w:before="0" w:after="80"/>
        <w:ind w:firstLine="432"/>
        <w:jc w:val="both"/>
        <w:rPr>
          <w:rFonts w:hint="eastAsia"/>
        </w:rPr>
      </w:pPr>
      <w:r>
        <w:rPr>
          <w:b/>
          <w:color w:val="555555"/>
        </w:rPr>
        <w:t xml:space="preserve">[132]  </w:t>
      </w:r>
      <w:r>
        <w:rPr/>
        <w:t>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pStyle w:val="Normal"/>
        <w:spacing w:before="0" w:after="80"/>
        <w:ind w:firstLine="432"/>
        <w:jc w:val="both"/>
        <w:rPr>
          <w:rFonts w:hint="eastAsia"/>
        </w:rPr>
      </w:pPr>
      <w:r>
        <w:rPr>
          <w:b/>
          <w:color w:val="555555"/>
        </w:rPr>
        <w:t xml:space="preserve">[133]  </w:t>
      </w:r>
      <w:r>
        <w:rPr/>
        <w:t>The method of claim 130, wherein two knowledge records having an identical said reported confidence value and differing sums of said parameters yield differing said revision gains against a common attribute.</w:t>
      </w:r>
    </w:p>
    <w:p>
      <w:pPr>
        <w:pStyle w:val="Normal"/>
        <w:spacing w:before="0" w:after="80"/>
        <w:ind w:firstLine="432"/>
        <w:jc w:val="both"/>
        <w:rPr>
          <w:rFonts w:hint="eastAsia"/>
        </w:rPr>
      </w:pPr>
      <w:r>
        <w:rPr>
          <w:b/>
          <w:color w:val="555555"/>
        </w:rPr>
        <w:t xml:space="preserve">[134]  </w:t>
      </w:r>
      <w:r>
        <w:rPr/>
        <w:t>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pStyle w:val="Normal"/>
        <w:spacing w:before="0" w:after="80"/>
        <w:ind w:firstLine="432"/>
        <w:jc w:val="both"/>
        <w:rPr>
          <w:rFonts w:hint="eastAsia"/>
        </w:rPr>
      </w:pPr>
      <w:r>
        <w:rPr>
          <w:b/>
          <w:color w:val="555555"/>
        </w:rPr>
        <w:t xml:space="preserve">[135]  </w:t>
      </w:r>
      <w:r>
        <w:rPr/>
        <w:t>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**Physical constraint enforcement in scene completion (claims 134–138)**</w:t>
      </w:r>
    </w:p>
    <w:p>
      <w:pPr>
        <w:pStyle w:val="Normal"/>
        <w:spacing w:before="0" w:after="80"/>
        <w:ind w:firstLine="432"/>
        <w:jc w:val="both"/>
        <w:rPr>
          <w:rFonts w:hint="eastAsia"/>
        </w:rPr>
      </w:pPr>
      <w:r>
        <w:rPr>
          <w:b/>
          <w:color w:val="555555"/>
        </w:rPr>
        <w:t xml:space="preserve">[136]  </w:t>
      </w:r>
      <w:r>
        <w:rPr/>
        <w:t>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pStyle w:val="Normal"/>
        <w:spacing w:before="0" w:after="80"/>
        <w:ind w:firstLine="432"/>
        <w:jc w:val="both"/>
        <w:rPr>
          <w:rFonts w:hint="eastAsia"/>
        </w:rPr>
      </w:pPr>
      <w:r>
        <w:rPr>
          <w:b/>
          <w:color w:val="555555"/>
        </w:rPr>
        <w:t xml:space="preserve">[137]  </w:t>
      </w:r>
      <w:r>
        <w:rPr/>
        <w:t>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pStyle w:val="Normal"/>
        <w:spacing w:before="0" w:after="80"/>
        <w:ind w:firstLine="432"/>
        <w:jc w:val="both"/>
        <w:rPr>
          <w:rFonts w:hint="eastAsia"/>
        </w:rPr>
      </w:pPr>
      <w:r>
        <w:rPr>
          <w:b/>
          <w:color w:val="555555"/>
        </w:rPr>
        <w:t xml:space="preserve">[138]  </w:t>
      </w:r>
      <w:r>
        <w:rPr/>
        <w:t>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pStyle w:val="Normal"/>
        <w:spacing w:before="0" w:after="80"/>
        <w:ind w:firstLine="432"/>
        <w:jc w:val="both"/>
        <w:rPr>
          <w:rFonts w:hint="eastAsia"/>
        </w:rPr>
      </w:pPr>
      <w:r>
        <w:rPr>
          <w:b/>
          <w:color w:val="555555"/>
        </w:rPr>
        <w:t xml:space="preserve">[139]  </w:t>
      </w:r>
      <w:r>
        <w:rPr/>
        <w:t>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pStyle w:val="Normal"/>
        <w:spacing w:before="0" w:after="80"/>
        <w:ind w:firstLine="432"/>
        <w:jc w:val="both"/>
        <w:rPr>
          <w:rFonts w:hint="eastAsia"/>
        </w:rPr>
      </w:pPr>
      <w:r>
        <w:rPr>
          <w:b/>
          <w:color w:val="555555"/>
        </w:rPr>
        <w:t xml:space="preserve">[140]  </w:t>
      </w:r>
      <w:r>
        <w:rPr/>
        <w:t>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pStyle w:val="Normal"/>
        <w:spacing w:before="0" w:after="80"/>
        <w:ind w:firstLine="432"/>
        <w:jc w:val="both"/>
        <w:rPr>
          <w:rFonts w:hint="eastAsia"/>
        </w:rPr>
      </w:pPr>
      <w:r>
        <w:rPr>
          <w:b/>
          <w:color w:val="555555"/>
        </w:rPr>
        <w:t xml:space="preserve">[141]  </w:t>
      </w:r>
      <w:r>
        <w:rPr/>
        <w:t>The method of claim 284, wherein no said level revises a constraint registered as governing a physical relation, an observation apparently contradicting a said constraint being recorded in a persistent contradiction index rather than relaxing said constraint. **Differentiated propagation and tri-temporal scope (claims 290–295)**</w:t>
      </w:r>
    </w:p>
    <w:p>
      <w:pPr>
        <w:pStyle w:val="Normal"/>
        <w:spacing w:before="0" w:after="80"/>
        <w:ind w:firstLine="432"/>
        <w:jc w:val="both"/>
        <w:rPr>
          <w:rFonts w:hint="eastAsia"/>
        </w:rPr>
      </w:pPr>
      <w:r>
        <w:rPr>
          <w:b/>
          <w:color w:val="555555"/>
        </w:rPr>
        <w:t xml:space="preserve">[142]  </w:t>
      </w:r>
      <w:r>
        <w:rPr/>
        <w:t>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pStyle w:val="Normal"/>
        <w:spacing w:before="0" w:after="80"/>
        <w:ind w:firstLine="432"/>
        <w:jc w:val="both"/>
        <w:rPr>
          <w:rFonts w:hint="eastAsia"/>
        </w:rPr>
      </w:pPr>
      <w:r>
        <w:rPr>
          <w:b/>
          <w:color w:val="555555"/>
        </w:rPr>
        <w:t xml:space="preserve">[143]  </w:t>
      </w:r>
      <w:r>
        <w:rPr/>
        <w:t>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pStyle w:val="Normal"/>
        <w:spacing w:before="0" w:after="80"/>
        <w:ind w:firstLine="432"/>
        <w:jc w:val="both"/>
        <w:rPr>
          <w:rFonts w:hint="eastAsia"/>
        </w:rPr>
      </w:pPr>
      <w:r>
        <w:rPr>
          <w:b/>
          <w:color w:val="555555"/>
        </w:rPr>
        <w:t xml:space="preserve">[144]  </w:t>
      </w:r>
      <w:r>
        <w:rPr/>
        <w:t>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pStyle w:val="Normal"/>
        <w:spacing w:before="0" w:after="80"/>
        <w:ind w:firstLine="432"/>
        <w:jc w:val="both"/>
        <w:rPr>
          <w:rFonts w:hint="eastAsia"/>
        </w:rPr>
      </w:pPr>
      <w:r>
        <w:rPr>
          <w:b/>
          <w:color w:val="555555"/>
        </w:rPr>
        <w:t xml:space="preserve">[145]  </w:t>
      </w:r>
      <w:r>
        <w:rPr/>
        <w:t>The method of claim 193, further comprising indicating, in an output relying upon a knowledge record whose said diversity measure is below a configured threshold, that support for said knowledge record is concentrated within a single said source class. **The interpretive layer — context, perspective, ergonomic, cultural and social modulation (claims 197–204)**</w:t>
      </w:r>
    </w:p>
    <w:p>
      <w:pPr>
        <w:pStyle w:val="Normal"/>
        <w:spacing w:before="0" w:after="80"/>
        <w:ind w:firstLine="432"/>
        <w:jc w:val="both"/>
        <w:rPr>
          <w:rFonts w:hint="eastAsia"/>
        </w:rPr>
      </w:pPr>
      <w:r>
        <w:rPr>
          <w:b/>
          <w:color w:val="555555"/>
        </w:rPr>
        <w:t xml:space="preserve">[146]  </w:t>
      </w:r>
      <w:r>
        <w:rPr/>
        <w:t>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pStyle w:val="Normal"/>
        <w:spacing w:before="0" w:after="80"/>
        <w:ind w:firstLine="432"/>
        <w:jc w:val="both"/>
        <w:rPr>
          <w:rFonts w:hint="eastAsia"/>
        </w:rPr>
      </w:pPr>
      <w:r>
        <w:rPr>
          <w:b/>
          <w:color w:val="555555"/>
        </w:rPr>
        <w:t xml:space="preserve">[147]  </w:t>
      </w:r>
      <w:r>
        <w:rPr/>
        <w:t>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pStyle w:val="Normal"/>
        <w:spacing w:before="0" w:after="80"/>
        <w:ind w:firstLine="432"/>
        <w:jc w:val="both"/>
        <w:rPr>
          <w:rFonts w:hint="eastAsia"/>
        </w:rPr>
      </w:pPr>
      <w:r>
        <w:rPr>
          <w:b/>
          <w:color w:val="555555"/>
        </w:rPr>
        <w:t xml:space="preserve">[148]  </w:t>
      </w:r>
      <w:r>
        <w:rPr/>
        <w:t>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pStyle w:val="Normal"/>
        <w:spacing w:before="0" w:after="80"/>
        <w:ind w:firstLine="432"/>
        <w:jc w:val="both"/>
        <w:rPr>
          <w:rFonts w:hint="eastAsia"/>
        </w:rPr>
      </w:pPr>
      <w:r>
        <w:rPr>
          <w:b/>
          <w:color w:val="555555"/>
        </w:rPr>
        <w:t xml:space="preserve">[149]  </w:t>
      </w:r>
      <w:r>
        <w:rPr/>
        <w:t>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pStyle w:val="Normal"/>
        <w:spacing w:before="0" w:after="80"/>
        <w:ind w:firstLine="432"/>
        <w:jc w:val="both"/>
        <w:rPr>
          <w:rFonts w:hint="eastAsia"/>
        </w:rPr>
      </w:pPr>
      <w:r>
        <w:rPr>
          <w:b/>
          <w:color w:val="555555"/>
        </w:rPr>
        <w:t xml:space="preserve">[150]  </w:t>
      </w:r>
      <w:r>
        <w:rPr/>
        <w:t>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**Surfaces, extensibility and external integration (claims 139–156)**</w:t>
      </w:r>
    </w:p>
    <w:p>
      <w:pPr>
        <w:pStyle w:val="Normal"/>
        <w:spacing w:before="0" w:after="80"/>
        <w:ind w:firstLine="432"/>
        <w:jc w:val="both"/>
        <w:rPr>
          <w:rFonts w:hint="eastAsia"/>
        </w:rPr>
      </w:pPr>
      <w:r>
        <w:rPr>
          <w:b/>
          <w:color w:val="555555"/>
        </w:rPr>
        <w:t xml:space="preserve">[151]  </w:t>
      </w:r>
      <w:r>
        <w:rPr/>
        <w:t>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pStyle w:val="Normal"/>
        <w:spacing w:before="0" w:after="80"/>
        <w:ind w:firstLine="432"/>
        <w:jc w:val="both"/>
        <w:rPr>
          <w:rFonts w:hint="eastAsia"/>
        </w:rPr>
      </w:pPr>
      <w:r>
        <w:rPr>
          <w:b/>
          <w:color w:val="555555"/>
        </w:rPr>
        <w:t xml:space="preserve">[152]  </w:t>
      </w:r>
      <w:r>
        <w:rPr/>
        <w:t>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pStyle w:val="Normal"/>
        <w:spacing w:before="0" w:after="80"/>
        <w:ind w:firstLine="432"/>
        <w:jc w:val="both"/>
        <w:rPr>
          <w:rFonts w:hint="eastAsia"/>
        </w:rPr>
      </w:pPr>
      <w:r>
        <w:rPr>
          <w:b/>
          <w:color w:val="555555"/>
        </w:rPr>
        <w:t xml:space="preserve">[153]  </w:t>
      </w:r>
      <w:r>
        <w:rPr/>
        <w:t>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pStyle w:val="Normal"/>
        <w:spacing w:before="0" w:after="80"/>
        <w:ind w:firstLine="432"/>
        <w:jc w:val="both"/>
        <w:rPr>
          <w:rFonts w:hint="eastAsia"/>
        </w:rPr>
      </w:pPr>
      <w:r>
        <w:rPr>
          <w:b/>
          <w:color w:val="555555"/>
        </w:rPr>
        <w:t xml:space="preserve">[154]  </w:t>
      </w:r>
      <w:r>
        <w:rPr/>
        <w:t>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pStyle w:val="Normal"/>
        <w:spacing w:before="0" w:after="80"/>
        <w:ind w:firstLine="432"/>
        <w:jc w:val="both"/>
        <w:rPr>
          <w:rFonts w:hint="eastAsia"/>
        </w:rPr>
      </w:pPr>
      <w:r>
        <w:rPr>
          <w:b/>
          <w:color w:val="555555"/>
        </w:rPr>
        <w:t xml:space="preserve">[155]  </w:t>
      </w:r>
      <w:r>
        <w:rPr/>
        <w:t>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pStyle w:val="Normal"/>
        <w:spacing w:before="0" w:after="80"/>
        <w:ind w:firstLine="432"/>
        <w:jc w:val="both"/>
        <w:rPr>
          <w:rFonts w:hint="eastAsia"/>
        </w:rPr>
      </w:pPr>
      <w:r>
        <w:rPr>
          <w:b/>
          <w:color w:val="555555"/>
        </w:rPr>
        <w:t xml:space="preserve">[156]  </w:t>
      </w:r>
      <w:r>
        <w:rPr/>
        <w:t>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pStyle w:val="Normal"/>
        <w:spacing w:before="0" w:after="80"/>
        <w:ind w:firstLine="432"/>
        <w:jc w:val="both"/>
        <w:rPr>
          <w:rFonts w:hint="eastAsia"/>
        </w:rPr>
      </w:pPr>
      <w:r>
        <w:rPr>
          <w:b/>
          <w:color w:val="555555"/>
        </w:rPr>
        <w:t xml:space="preserve">[157]  </w:t>
      </w:r>
      <w:r>
        <w:rPr/>
        <w:t>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pStyle w:val="Normal"/>
        <w:spacing w:before="0" w:after="80"/>
        <w:ind w:firstLine="432"/>
        <w:jc w:val="both"/>
        <w:rPr>
          <w:rFonts w:hint="eastAsia"/>
        </w:rPr>
      </w:pPr>
      <w:r>
        <w:rPr>
          <w:b/>
          <w:color w:val="555555"/>
        </w:rPr>
        <w:t xml:space="preserve">[158]  </w:t>
      </w:r>
      <w:r>
        <w:rPr/>
        <w:t>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pStyle w:val="Normal"/>
        <w:spacing w:before="0" w:after="80"/>
        <w:ind w:firstLine="432"/>
        <w:jc w:val="both"/>
        <w:rPr>
          <w:rFonts w:hint="eastAsia"/>
        </w:rPr>
      </w:pPr>
      <w:r>
        <w:rPr>
          <w:b/>
          <w:color w:val="555555"/>
        </w:rPr>
        <w:t xml:space="preserve">[159]  </w:t>
      </w:r>
      <w:r>
        <w:rPr/>
        <w:t>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pStyle w:val="Normal"/>
        <w:spacing w:before="0" w:after="80"/>
        <w:ind w:firstLine="432"/>
        <w:jc w:val="both"/>
        <w:rPr>
          <w:rFonts w:hint="eastAsia"/>
        </w:rPr>
      </w:pPr>
      <w:r>
        <w:rPr>
          <w:b/>
          <w:color w:val="555555"/>
        </w:rPr>
        <w:t xml:space="preserve">[160]  </w:t>
      </w:r>
      <w:r>
        <w:rPr/>
        <w:t>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pStyle w:val="Normal"/>
        <w:spacing w:before="0" w:after="80"/>
        <w:ind w:firstLine="432"/>
        <w:jc w:val="both"/>
        <w:rPr>
          <w:rFonts w:hint="eastAsia"/>
        </w:rPr>
      </w:pPr>
      <w:r>
        <w:rPr>
          <w:b/>
          <w:color w:val="555555"/>
        </w:rPr>
        <w:t xml:space="preserve">[161]  </w:t>
      </w:r>
      <w:r>
        <w:rPr/>
        <w:t>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pStyle w:val="Normal"/>
        <w:spacing w:before="0" w:after="80"/>
        <w:ind w:firstLine="432"/>
        <w:jc w:val="both"/>
        <w:rPr>
          <w:rFonts w:hint="eastAsia"/>
        </w:rPr>
      </w:pPr>
      <w:r>
        <w:rPr>
          <w:b/>
          <w:color w:val="555555"/>
        </w:rPr>
        <w:t xml:space="preserve">[162]  </w:t>
      </w:r>
      <w:r>
        <w:rPr/>
        <w:t>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pStyle w:val="Normal"/>
        <w:spacing w:before="0" w:after="80"/>
        <w:ind w:firstLine="432"/>
        <w:jc w:val="both"/>
        <w:rPr>
          <w:rFonts w:hint="eastAsia"/>
        </w:rPr>
      </w:pPr>
      <w:r>
        <w:rPr>
          <w:b/>
          <w:color w:val="555555"/>
        </w:rPr>
        <w:t xml:space="preserve">[163]  </w:t>
      </w:r>
      <w:r>
        <w:rPr/>
        <w:t>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pStyle w:val="Normal"/>
        <w:spacing w:before="0" w:after="80"/>
        <w:ind w:firstLine="432"/>
        <w:jc w:val="both"/>
        <w:rPr>
          <w:rFonts w:hint="eastAsia"/>
        </w:rPr>
      </w:pPr>
      <w:r>
        <w:rPr>
          <w:b/>
          <w:color w:val="555555"/>
        </w:rPr>
        <w:t xml:space="preserve">[164]  </w:t>
      </w:r>
      <w:r>
        <w:rPr/>
        <w:t>The method of claim 149, wherein a said spoken input classified as carrying a state-changing effect comprising an erasure, a rights modification, a purchase or a grant requires a confirmation received through a second modality before said effect takes place.</w:t>
      </w:r>
    </w:p>
    <w:p>
      <w:pPr>
        <w:pStyle w:val="Normal"/>
        <w:spacing w:before="0" w:after="80"/>
        <w:ind w:firstLine="432"/>
        <w:jc w:val="both"/>
        <w:rPr>
          <w:rFonts w:hint="eastAsia"/>
        </w:rPr>
      </w:pPr>
      <w:r>
        <w:rPr>
          <w:b/>
          <w:color w:val="555555"/>
        </w:rPr>
        <w:t xml:space="preserve">[165]  </w:t>
      </w:r>
      <w:r>
        <w:rPr/>
        <w:t>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pStyle w:val="Normal"/>
        <w:spacing w:before="0" w:after="80"/>
        <w:ind w:firstLine="432"/>
        <w:jc w:val="both"/>
        <w:rPr>
          <w:rFonts w:hint="eastAsia"/>
        </w:rPr>
      </w:pPr>
      <w:r>
        <w:rPr>
          <w:b/>
          <w:color w:val="555555"/>
        </w:rPr>
        <w:t xml:space="preserve">[166]  </w:t>
      </w:r>
      <w:r>
        <w:rPr/>
        <w:t>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pStyle w:val="Normal"/>
        <w:spacing w:before="0" w:after="80"/>
        <w:ind w:firstLine="432"/>
        <w:jc w:val="both"/>
        <w:rPr>
          <w:rFonts w:hint="eastAsia"/>
        </w:rPr>
      </w:pPr>
      <w:r>
        <w:rPr>
          <w:b/>
          <w:color w:val="555555"/>
        </w:rPr>
        <w:t xml:space="preserve">[167]  </w:t>
      </w:r>
      <w:r>
        <w:rPr/>
        <w:t>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pStyle w:val="Normal"/>
        <w:spacing w:before="0" w:after="80"/>
        <w:ind w:firstLine="432"/>
        <w:jc w:val="both"/>
        <w:rPr>
          <w:rFonts w:hint="eastAsia"/>
        </w:rPr>
      </w:pPr>
      <w:r>
        <w:rPr>
          <w:b/>
          <w:color w:val="555555"/>
        </w:rPr>
        <w:t xml:space="preserve">[168]  </w:t>
      </w:r>
      <w:r>
        <w:rPr/>
        <w:t>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pStyle w:val="Normal"/>
        <w:spacing w:before="0" w:after="80"/>
        <w:ind w:firstLine="432"/>
        <w:jc w:val="both"/>
        <w:rPr>
          <w:rFonts w:hint="eastAsia"/>
        </w:rPr>
      </w:pPr>
      <w:r>
        <w:rPr>
          <w:b/>
          <w:color w:val="555555"/>
        </w:rPr>
        <w:t xml:space="preserve">[169]  </w:t>
      </w:r>
      <w:r>
        <w:rPr/>
        <w:t>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**Hyperedge attention and attractor-based hyperedge completion (claims 157–159)**</w:t>
      </w:r>
    </w:p>
    <w:p>
      <w:pPr>
        <w:pStyle w:val="Normal"/>
        <w:spacing w:before="0" w:after="80"/>
        <w:ind w:firstLine="432"/>
        <w:jc w:val="both"/>
        <w:rPr>
          <w:rFonts w:hint="eastAsia"/>
        </w:rPr>
      </w:pPr>
      <w:r>
        <w:rPr>
          <w:b/>
          <w:color w:val="555555"/>
        </w:rPr>
        <w:t xml:space="preserve">[170]  </w:t>
      </w:r>
      <w:r>
        <w:rPr/>
        <w:t>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pStyle w:val="Normal"/>
        <w:spacing w:before="0" w:after="80"/>
        <w:ind w:firstLine="432"/>
        <w:jc w:val="both"/>
        <w:rPr>
          <w:rFonts w:hint="eastAsia"/>
        </w:rPr>
      </w:pPr>
      <w:r>
        <w:rPr>
          <w:b/>
          <w:color w:val="555555"/>
        </w:rPr>
        <w:t xml:space="preserve">[171]  </w:t>
      </w:r>
      <w:r>
        <w:rPr/>
        <w:t>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pStyle w:val="Normal"/>
        <w:spacing w:before="0" w:after="80"/>
        <w:ind w:firstLine="432"/>
        <w:jc w:val="both"/>
        <w:rPr>
          <w:rFonts w:hint="eastAsia"/>
        </w:rPr>
      </w:pPr>
      <w:r>
        <w:rPr>
          <w:b/>
          <w:color w:val="555555"/>
        </w:rPr>
        <w:t xml:space="preserve">[172]  </w:t>
      </w:r>
      <w:r>
        <w:rPr/>
        <w:t>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**Domain architecture, transfer matrix and path separation (claims 160–168)**</w:t>
      </w:r>
    </w:p>
    <w:p>
      <w:pPr>
        <w:pStyle w:val="Normal"/>
        <w:spacing w:before="0" w:after="80"/>
        <w:ind w:firstLine="432"/>
        <w:jc w:val="both"/>
        <w:rPr>
          <w:rFonts w:hint="eastAsia"/>
        </w:rPr>
      </w:pPr>
      <w:r>
        <w:rPr>
          <w:b/>
          <w:color w:val="555555"/>
        </w:rPr>
        <w:t xml:space="preserve">[173]  </w:t>
      </w:r>
      <w:r>
        <w:rPr/>
        <w:t>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pStyle w:val="Normal"/>
        <w:spacing w:before="0" w:after="80"/>
        <w:ind w:firstLine="432"/>
        <w:jc w:val="both"/>
        <w:rPr>
          <w:rFonts w:hint="eastAsia"/>
        </w:rPr>
      </w:pPr>
      <w:r>
        <w:rPr>
          <w:b/>
          <w:color w:val="555555"/>
        </w:rPr>
        <w:t xml:space="preserve">[174]  </w:t>
      </w:r>
      <w:r>
        <w:rPr/>
        <w:t>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pStyle w:val="Normal"/>
        <w:spacing w:before="0" w:after="80"/>
        <w:ind w:firstLine="432"/>
        <w:jc w:val="both"/>
        <w:rPr>
          <w:rFonts w:hint="eastAsia"/>
        </w:rPr>
      </w:pPr>
      <w:r>
        <w:rPr>
          <w:b/>
          <w:color w:val="555555"/>
        </w:rPr>
        <w:t xml:space="preserve">[175]  </w:t>
      </w:r>
      <w:r>
        <w:rPr/>
        <w:t>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pStyle w:val="Normal"/>
        <w:spacing w:before="0" w:after="80"/>
        <w:ind w:firstLine="432"/>
        <w:jc w:val="both"/>
        <w:rPr>
          <w:rFonts w:hint="eastAsia"/>
        </w:rPr>
      </w:pPr>
      <w:r>
        <w:rPr>
          <w:b/>
          <w:color w:val="555555"/>
        </w:rPr>
        <w:t xml:space="preserve">[176]  </w:t>
      </w:r>
      <w:r>
        <w:rPr/>
        <w:t>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pStyle w:val="Normal"/>
        <w:spacing w:before="0" w:after="80"/>
        <w:ind w:firstLine="432"/>
        <w:jc w:val="both"/>
        <w:rPr>
          <w:rFonts w:hint="eastAsia"/>
        </w:rPr>
      </w:pPr>
      <w:r>
        <w:rPr>
          <w:b/>
          <w:color w:val="555555"/>
        </w:rPr>
        <w:t xml:space="preserve">[177]  </w:t>
      </w:r>
      <w:r>
        <w:rPr/>
        <w:t>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pStyle w:val="Normal"/>
        <w:spacing w:before="0" w:after="80"/>
        <w:ind w:firstLine="432"/>
        <w:jc w:val="both"/>
        <w:rPr>
          <w:rFonts w:hint="eastAsia"/>
        </w:rPr>
      </w:pPr>
      <w:r>
        <w:rPr>
          <w:b/>
          <w:color w:val="555555"/>
        </w:rPr>
        <w:t xml:space="preserve">[178]  </w:t>
      </w:r>
      <w:r>
        <w:rPr/>
        <w:t>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pStyle w:val="Normal"/>
        <w:spacing w:before="0" w:after="80"/>
        <w:ind w:firstLine="432"/>
        <w:jc w:val="both"/>
        <w:rPr>
          <w:rFonts w:hint="eastAsia"/>
        </w:rPr>
      </w:pPr>
      <w:r>
        <w:rPr>
          <w:b/>
          <w:color w:val="555555"/>
        </w:rPr>
        <w:t xml:space="preserve">[179]  </w:t>
      </w:r>
      <w:r>
        <w:rPr/>
        <w:t>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pStyle w:val="Normal"/>
        <w:spacing w:before="0" w:after="80"/>
        <w:ind w:firstLine="432"/>
        <w:jc w:val="both"/>
        <w:rPr>
          <w:rFonts w:hint="eastAsia"/>
        </w:rPr>
      </w:pPr>
      <w:r>
        <w:rPr>
          <w:b/>
          <w:color w:val="555555"/>
        </w:rPr>
        <w:t xml:space="preserve">[180]  </w:t>
      </w:r>
      <w:r>
        <w:rPr/>
        <w:t>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pStyle w:val="Normal"/>
        <w:spacing w:before="0" w:after="80"/>
        <w:ind w:firstLine="432"/>
        <w:jc w:val="both"/>
        <w:rPr>
          <w:rFonts w:hint="eastAsia"/>
        </w:rPr>
      </w:pPr>
      <w:r>
        <w:rPr>
          <w:b/>
          <w:color w:val="555555"/>
        </w:rPr>
        <w:t xml:space="preserve">[181]  </w:t>
      </w:r>
      <w:r>
        <w:rPr/>
        <w:t>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**Discriminating instance generation (claims 169–173)**</w:t>
      </w:r>
    </w:p>
    <w:p>
      <w:pPr>
        <w:pStyle w:val="Normal"/>
        <w:spacing w:before="0" w:after="80"/>
        <w:ind w:firstLine="432"/>
        <w:jc w:val="both"/>
        <w:rPr>
          <w:rFonts w:hint="eastAsia"/>
        </w:rPr>
      </w:pPr>
      <w:r>
        <w:rPr>
          <w:b/>
          <w:color w:val="555555"/>
        </w:rPr>
        <w:t xml:space="preserve">[182]  </w:t>
      </w:r>
      <w:r>
        <w:rPr/>
        <w:t>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pStyle w:val="Normal"/>
        <w:spacing w:before="0" w:after="80"/>
        <w:ind w:firstLine="432"/>
        <w:jc w:val="both"/>
        <w:rPr>
          <w:rFonts w:hint="eastAsia"/>
        </w:rPr>
      </w:pPr>
      <w:r>
        <w:rPr>
          <w:b/>
          <w:color w:val="555555"/>
        </w:rPr>
        <w:t xml:space="preserve">[183]  </w:t>
      </w:r>
      <w:r>
        <w:rPr/>
        <w:t>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pStyle w:val="Normal"/>
        <w:spacing w:before="0" w:after="80"/>
        <w:ind w:firstLine="432"/>
        <w:jc w:val="both"/>
        <w:rPr>
          <w:rFonts w:hint="eastAsia"/>
        </w:rPr>
      </w:pPr>
      <w:r>
        <w:rPr>
          <w:b/>
          <w:color w:val="555555"/>
        </w:rPr>
        <w:t xml:space="preserve">[184]  </w:t>
      </w:r>
      <w:r>
        <w:rPr/>
        <w:t>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pStyle w:val="Normal"/>
        <w:spacing w:before="0" w:after="80"/>
        <w:ind w:firstLine="432"/>
        <w:jc w:val="both"/>
        <w:rPr>
          <w:rFonts w:hint="eastAsia"/>
        </w:rPr>
      </w:pPr>
      <w:r>
        <w:rPr>
          <w:b/>
          <w:color w:val="555555"/>
        </w:rPr>
        <w:t xml:space="preserve">[185]  </w:t>
      </w:r>
      <w:r>
        <w:rPr/>
        <w:t>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pStyle w:val="Normal"/>
        <w:spacing w:before="0" w:after="80"/>
        <w:ind w:firstLine="432"/>
        <w:jc w:val="both"/>
        <w:rPr>
          <w:rFonts w:hint="eastAsia"/>
        </w:rPr>
      </w:pPr>
      <w:r>
        <w:rPr>
          <w:b/>
          <w:color w:val="555555"/>
        </w:rPr>
        <w:t xml:space="preserve">[186]  </w:t>
      </w:r>
      <w:r>
        <w:rPr/>
        <w:t>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pStyle w:val="Normal"/>
        <w:spacing w:before="0" w:after="80"/>
        <w:ind w:firstLine="432"/>
        <w:jc w:val="both"/>
        <w:rPr>
          <w:rFonts w:hint="eastAsia"/>
        </w:rPr>
      </w:pPr>
      <w:r>
        <w:rPr>
          <w:b/>
          <w:color w:val="555555"/>
        </w:rPr>
        <w:t xml:space="preserve">[187]  </w:t>
      </w:r>
      <w:r>
        <w:rPr/>
        <w:t>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**Restored coverage: independent curation, manifold forecasting, colour drift registration, message-channel encryption (claims 186–189)**</w:t>
      </w:r>
    </w:p>
    <w:p>
      <w:pPr>
        <w:pStyle w:val="Normal"/>
        <w:spacing w:before="0" w:after="80"/>
        <w:ind w:firstLine="432"/>
        <w:jc w:val="both"/>
        <w:rPr>
          <w:rFonts w:hint="eastAsia"/>
        </w:rPr>
      </w:pPr>
      <w:r>
        <w:rPr>
          <w:b/>
          <w:color w:val="555555"/>
        </w:rPr>
        <w:t xml:space="preserve">[188]  </w:t>
      </w:r>
      <w:r>
        <w:rPr/>
        <w:t>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pStyle w:val="Normal"/>
        <w:spacing w:before="0" w:after="80"/>
        <w:ind w:firstLine="432"/>
        <w:jc w:val="both"/>
        <w:rPr>
          <w:rFonts w:hint="eastAsia"/>
        </w:rPr>
      </w:pPr>
      <w:r>
        <w:rPr>
          <w:b/>
          <w:color w:val="555555"/>
        </w:rPr>
        <w:t xml:space="preserve">[189]  </w:t>
      </w:r>
      <w:r>
        <w:rPr/>
        <w:t>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pStyle w:val="Normal"/>
        <w:spacing w:before="0" w:after="80"/>
        <w:ind w:firstLine="432"/>
        <w:jc w:val="both"/>
        <w:rPr>
          <w:rFonts w:hint="eastAsia"/>
        </w:rPr>
      </w:pPr>
      <w:r>
        <w:rPr>
          <w:b/>
          <w:color w:val="555555"/>
        </w:rPr>
        <w:t xml:space="preserve">[190]  </w:t>
      </w:r>
      <w:r>
        <w:rPr/>
        <w:t>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pStyle w:val="Normal"/>
        <w:spacing w:before="0" w:after="80"/>
        <w:ind w:firstLine="432"/>
        <w:jc w:val="both"/>
        <w:rPr>
          <w:rFonts w:hint="eastAsia"/>
        </w:rPr>
      </w:pPr>
      <w:r>
        <w:rPr>
          <w:b/>
          <w:color w:val="555555"/>
        </w:rPr>
        <w:t xml:space="preserve">[191]  </w:t>
      </w:r>
      <w:r>
        <w:rPr/>
        <w:t>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**Learning domain, module declaration and substrate migration (claims 183–185)**</w:t>
      </w:r>
    </w:p>
    <w:p>
      <w:pPr>
        <w:pStyle w:val="Normal"/>
        <w:spacing w:before="0" w:after="80"/>
        <w:ind w:firstLine="432"/>
        <w:jc w:val="both"/>
        <w:rPr>
          <w:rFonts w:hint="eastAsia"/>
        </w:rPr>
      </w:pPr>
      <w:r>
        <w:rPr>
          <w:b/>
          <w:color w:val="555555"/>
        </w:rPr>
        <w:t xml:space="preserve">[192]  </w:t>
      </w:r>
      <w:r>
        <w:rPr/>
        <w:t>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pStyle w:val="Normal"/>
        <w:spacing w:before="0" w:after="80"/>
        <w:ind w:firstLine="432"/>
        <w:jc w:val="both"/>
        <w:rPr>
          <w:rFonts w:hint="eastAsia"/>
        </w:rPr>
      </w:pPr>
      <w:r>
        <w:rPr>
          <w:b/>
          <w:color w:val="555555"/>
        </w:rPr>
        <w:t xml:space="preserve">[193]  </w:t>
      </w:r>
      <w:r>
        <w:rPr/>
        <w:t>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pStyle w:val="Normal"/>
        <w:spacing w:before="0" w:after="80"/>
        <w:ind w:firstLine="432"/>
        <w:jc w:val="both"/>
        <w:rPr>
          <w:rFonts w:hint="eastAsia"/>
        </w:rPr>
      </w:pPr>
      <w:r>
        <w:rPr>
          <w:b/>
          <w:color w:val="555555"/>
        </w:rPr>
        <w:t xml:space="preserve">[194]  </w:t>
      </w:r>
      <w:r>
        <w:rPr/>
        <w:t>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pStyle w:val="Normal"/>
        <w:spacing w:before="0" w:after="80"/>
        <w:ind w:firstLine="432"/>
        <w:jc w:val="both"/>
        <w:rPr>
          <w:rFonts w:hint="eastAsia"/>
        </w:rPr>
      </w:pPr>
      <w:r>
        <w:rPr>
          <w:b/>
          <w:color w:val="555555"/>
        </w:rPr>
        <w:t xml:space="preserve">[195]  </w:t>
      </w:r>
      <w:r>
        <w:rPr/>
        <w:t>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**Reasoning mode formalization — deductive, inductive and abductive (claims 190–192)**</w:t>
      </w:r>
    </w:p>
    <w:p>
      <w:pPr>
        <w:pStyle w:val="Normal"/>
        <w:spacing w:before="0" w:after="80"/>
        <w:ind w:firstLine="432"/>
        <w:jc w:val="both"/>
        <w:rPr>
          <w:rFonts w:hint="eastAsia"/>
        </w:rPr>
      </w:pPr>
      <w:r>
        <w:rPr>
          <w:b/>
          <w:color w:val="555555"/>
        </w:rPr>
        <w:t xml:space="preserve">[196]  </w:t>
      </w:r>
      <w:r>
        <w:rPr/>
        <w:t>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pStyle w:val="Normal"/>
        <w:spacing w:before="0" w:after="80"/>
        <w:ind w:firstLine="432"/>
        <w:jc w:val="both"/>
        <w:rPr>
          <w:rFonts w:hint="eastAsia"/>
        </w:rPr>
      </w:pPr>
      <w:r>
        <w:rPr>
          <w:b/>
          <w:color w:val="555555"/>
        </w:rPr>
        <w:t xml:space="preserve">[197]  </w:t>
      </w:r>
      <w:r>
        <w:rPr/>
        <w:t>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pStyle w:val="Normal"/>
        <w:spacing w:before="0" w:after="80"/>
        <w:ind w:firstLine="432"/>
        <w:jc w:val="both"/>
        <w:rPr>
          <w:rFonts w:hint="eastAsia"/>
        </w:rPr>
      </w:pPr>
      <w:r>
        <w:rPr>
          <w:b/>
          <w:color w:val="555555"/>
        </w:rPr>
        <w:t xml:space="preserve">[198]  </w:t>
      </w:r>
      <w:r>
        <w:rPr/>
        <w:t>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**Observation diversity across source classes (claims 193–196)**</w:t>
      </w:r>
    </w:p>
    <w:p>
      <w:pPr>
        <w:pStyle w:val="Normal"/>
        <w:spacing w:before="0" w:after="80"/>
        <w:ind w:firstLine="432"/>
        <w:jc w:val="both"/>
        <w:rPr>
          <w:rFonts w:hint="eastAsia"/>
        </w:rPr>
      </w:pPr>
      <w:r>
        <w:rPr>
          <w:b/>
          <w:color w:val="555555"/>
        </w:rPr>
        <w:t xml:space="preserve">[199]  </w:t>
      </w:r>
      <w:r>
        <w:rPr/>
        <w:t>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pStyle w:val="Normal"/>
        <w:spacing w:before="0" w:after="80"/>
        <w:ind w:firstLine="432"/>
        <w:jc w:val="both"/>
        <w:rPr>
          <w:rFonts w:hint="eastAsia"/>
        </w:rPr>
      </w:pPr>
      <w:r>
        <w:rPr>
          <w:b/>
          <w:color w:val="555555"/>
        </w:rPr>
        <w:t xml:space="preserve">[200]  </w:t>
      </w:r>
      <w:r>
        <w:rPr/>
        <w:t>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pStyle w:val="Normal"/>
        <w:spacing w:before="0" w:after="80"/>
        <w:ind w:firstLine="432"/>
        <w:jc w:val="both"/>
        <w:rPr>
          <w:rFonts w:hint="eastAsia"/>
        </w:rPr>
      </w:pPr>
      <w:r>
        <w:rPr>
          <w:b/>
          <w:color w:val="555555"/>
        </w:rPr>
        <w:t xml:space="preserve">[201]  </w:t>
      </w:r>
      <w:r>
        <w:rPr/>
        <w:t>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pStyle w:val="Normal"/>
        <w:spacing w:before="0" w:after="80"/>
        <w:ind w:firstLine="432"/>
        <w:jc w:val="both"/>
        <w:rPr>
          <w:rFonts w:hint="eastAsia"/>
        </w:rPr>
      </w:pPr>
      <w:r>
        <w:rPr>
          <w:b/>
          <w:color w:val="555555"/>
        </w:rPr>
        <w:t xml:space="preserve">[202]  </w:t>
      </w:r>
      <w:r>
        <w:rPr/>
        <w:t>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pStyle w:val="Normal"/>
        <w:spacing w:before="0" w:after="80"/>
        <w:ind w:firstLine="432"/>
        <w:jc w:val="both"/>
        <w:rPr>
          <w:rFonts w:hint="eastAsia"/>
        </w:rPr>
      </w:pPr>
      <w:r>
        <w:rPr>
          <w:b/>
          <w:color w:val="555555"/>
        </w:rPr>
        <w:t xml:space="preserve">[203]  </w:t>
      </w:r>
      <w:r>
        <w:rPr/>
        <w:t>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pStyle w:val="Normal"/>
        <w:spacing w:before="0" w:after="80"/>
        <w:ind w:firstLine="432"/>
        <w:jc w:val="both"/>
        <w:rPr>
          <w:rFonts w:hint="eastAsia"/>
        </w:rPr>
      </w:pPr>
      <w:r>
        <w:rPr>
          <w:b/>
          <w:color w:val="555555"/>
        </w:rPr>
        <w:t xml:space="preserve">[204]  </w:t>
      </w:r>
      <w:r>
        <w:rPr/>
        <w:t>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pStyle w:val="Normal"/>
        <w:spacing w:before="0" w:after="80"/>
        <w:ind w:firstLine="432"/>
        <w:jc w:val="both"/>
        <w:rPr>
          <w:rFonts w:hint="eastAsia"/>
        </w:rPr>
      </w:pPr>
      <w:r>
        <w:rPr>
          <w:b/>
          <w:color w:val="555555"/>
        </w:rPr>
        <w:t xml:space="preserve">[205]  </w:t>
      </w:r>
      <w:r>
        <w:rPr/>
        <w:t>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pStyle w:val="Normal"/>
        <w:spacing w:before="0" w:after="80"/>
        <w:ind w:firstLine="432"/>
        <w:jc w:val="both"/>
        <w:rPr>
          <w:rFonts w:hint="eastAsia"/>
        </w:rPr>
      </w:pPr>
      <w:r>
        <w:rPr>
          <w:b/>
          <w:color w:val="555555"/>
        </w:rPr>
        <w:t xml:space="preserve">[206]  </w:t>
      </w:r>
      <w:r>
        <w:rPr/>
        <w:t>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**Outcome feedback and operational calibration (claims 205–211)**</w:t>
      </w:r>
    </w:p>
    <w:p>
      <w:pPr>
        <w:pStyle w:val="Normal"/>
        <w:spacing w:before="0" w:after="80"/>
        <w:ind w:firstLine="432"/>
        <w:jc w:val="both"/>
        <w:rPr>
          <w:rFonts w:hint="eastAsia"/>
        </w:rPr>
      </w:pPr>
      <w:r>
        <w:rPr>
          <w:b/>
          <w:color w:val="555555"/>
        </w:rPr>
        <w:t xml:space="preserve">[207]  </w:t>
      </w:r>
      <w:r>
        <w:rPr/>
        <w:t>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pStyle w:val="Normal"/>
        <w:spacing w:before="0" w:after="80"/>
        <w:ind w:firstLine="432"/>
        <w:jc w:val="both"/>
        <w:rPr>
          <w:rFonts w:hint="eastAsia"/>
        </w:rPr>
      </w:pPr>
      <w:r>
        <w:rPr>
          <w:b/>
          <w:color w:val="555555"/>
        </w:rPr>
        <w:t xml:space="preserve">[208]  </w:t>
      </w:r>
      <w:r>
        <w:rPr/>
        <w:t>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pStyle w:val="Normal"/>
        <w:spacing w:before="0" w:after="80"/>
        <w:ind w:firstLine="432"/>
        <w:jc w:val="both"/>
        <w:rPr>
          <w:rFonts w:hint="eastAsia"/>
        </w:rPr>
      </w:pPr>
      <w:r>
        <w:rPr>
          <w:b/>
          <w:color w:val="555555"/>
        </w:rPr>
        <w:t xml:space="preserve">[209]  </w:t>
      </w:r>
      <w:r>
        <w:rPr/>
        <w:t>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pStyle w:val="Normal"/>
        <w:spacing w:before="0" w:after="80"/>
        <w:ind w:firstLine="432"/>
        <w:jc w:val="both"/>
        <w:rPr>
          <w:rFonts w:hint="eastAsia"/>
        </w:rPr>
      </w:pPr>
      <w:r>
        <w:rPr>
          <w:b/>
          <w:color w:val="555555"/>
        </w:rPr>
        <w:t xml:space="preserve">[210]  </w:t>
      </w:r>
      <w:r>
        <w:rPr/>
        <w:t>The method of claim 205, wherein a said report is not admissible as a grounding source for output text concerning a subject matter of said report, and is admissible as evidence bearing on a confidence value and as an object of an analysis.</w:t>
      </w:r>
    </w:p>
    <w:p>
      <w:pPr>
        <w:pStyle w:val="Normal"/>
        <w:spacing w:before="0" w:after="80"/>
        <w:ind w:firstLine="432"/>
        <w:jc w:val="both"/>
        <w:rPr>
          <w:rFonts w:hint="eastAsia"/>
        </w:rPr>
      </w:pPr>
      <w:r>
        <w:rPr>
          <w:b/>
          <w:color w:val="555555"/>
        </w:rPr>
        <w:t xml:space="preserve">[211]  </w:t>
      </w:r>
      <w:r>
        <w:rPr/>
        <w:t>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pStyle w:val="Normal"/>
        <w:spacing w:before="0" w:after="80"/>
        <w:ind w:firstLine="432"/>
        <w:jc w:val="both"/>
        <w:rPr>
          <w:rFonts w:hint="eastAsia"/>
        </w:rPr>
      </w:pPr>
      <w:r>
        <w:rPr>
          <w:b/>
          <w:color w:val="555555"/>
        </w:rPr>
        <w:t xml:space="preserve">[212]  </w:t>
      </w:r>
      <w:r>
        <w:rPr/>
        <w:t>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pStyle w:val="Normal"/>
        <w:spacing w:before="0" w:after="80"/>
        <w:ind w:firstLine="432"/>
        <w:jc w:val="both"/>
        <w:rPr>
          <w:rFonts w:hint="eastAsia"/>
        </w:rPr>
      </w:pPr>
      <w:r>
        <w:rPr>
          <w:b/>
          <w:color w:val="555555"/>
        </w:rPr>
        <w:t xml:space="preserve">[213]  </w:t>
      </w:r>
      <w:r>
        <w:rPr/>
        <w:t>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**Expressive register and media-integrated expression (claims 212–217)**</w:t>
      </w:r>
    </w:p>
    <w:p>
      <w:pPr>
        <w:pStyle w:val="Normal"/>
        <w:spacing w:before="0" w:after="80"/>
        <w:ind w:firstLine="432"/>
        <w:jc w:val="both"/>
        <w:rPr>
          <w:rFonts w:hint="eastAsia"/>
        </w:rPr>
      </w:pPr>
      <w:r>
        <w:rPr>
          <w:b/>
          <w:color w:val="555555"/>
        </w:rPr>
        <w:t xml:space="preserve">[214]  </w:t>
      </w:r>
      <w:r>
        <w:rPr/>
        <w:t>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pStyle w:val="Normal"/>
        <w:spacing w:before="0" w:after="80"/>
        <w:ind w:firstLine="432"/>
        <w:jc w:val="both"/>
        <w:rPr>
          <w:rFonts w:hint="eastAsia"/>
        </w:rPr>
      </w:pPr>
      <w:r>
        <w:rPr>
          <w:b/>
          <w:color w:val="555555"/>
        </w:rPr>
        <w:t xml:space="preserve">[215]  </w:t>
      </w:r>
      <w:r>
        <w:rPr/>
        <w:t>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pStyle w:val="Normal"/>
        <w:spacing w:before="0" w:after="80"/>
        <w:ind w:firstLine="432"/>
        <w:jc w:val="both"/>
        <w:rPr>
          <w:rFonts w:hint="eastAsia"/>
        </w:rPr>
      </w:pPr>
      <w:r>
        <w:rPr>
          <w:b/>
          <w:color w:val="555555"/>
        </w:rPr>
        <w:t xml:space="preserve">[216]  </w:t>
      </w:r>
      <w:r>
        <w:rPr/>
        <w:t>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pStyle w:val="Normal"/>
        <w:spacing w:before="0" w:after="80"/>
        <w:ind w:firstLine="432"/>
        <w:jc w:val="both"/>
        <w:rPr>
          <w:rFonts w:hint="eastAsia"/>
        </w:rPr>
      </w:pPr>
      <w:r>
        <w:rPr>
          <w:b/>
          <w:color w:val="555555"/>
        </w:rPr>
        <w:t xml:space="preserve">[217]  </w:t>
      </w:r>
      <w:r>
        <w:rPr/>
        <w:t>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**Surface realization — aggregation, reference, connectives, ordering and variation (claims 218–224)**</w:t>
      </w:r>
    </w:p>
    <w:p>
      <w:pPr>
        <w:pStyle w:val="Normal"/>
        <w:spacing w:before="0" w:after="80"/>
        <w:ind w:firstLine="432"/>
        <w:jc w:val="both"/>
        <w:rPr>
          <w:rFonts w:hint="eastAsia"/>
        </w:rPr>
      </w:pPr>
      <w:r>
        <w:rPr>
          <w:b/>
          <w:color w:val="555555"/>
        </w:rPr>
        <w:t xml:space="preserve">[218]  </w:t>
      </w:r>
      <w:r>
        <w:rPr/>
        <w:t>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pStyle w:val="Normal"/>
        <w:spacing w:before="0" w:after="80"/>
        <w:ind w:firstLine="432"/>
        <w:jc w:val="both"/>
        <w:rPr>
          <w:rFonts w:hint="eastAsia"/>
        </w:rPr>
      </w:pPr>
      <w:r>
        <w:rPr>
          <w:b/>
          <w:color w:val="555555"/>
        </w:rPr>
        <w:t xml:space="preserve">[219]  </w:t>
      </w:r>
      <w:r>
        <w:rPr/>
        <w:t>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pStyle w:val="Normal"/>
        <w:spacing w:before="0" w:after="80"/>
        <w:ind w:firstLine="432"/>
        <w:jc w:val="both"/>
        <w:rPr>
          <w:rFonts w:hint="eastAsia"/>
        </w:rPr>
      </w:pPr>
      <w:r>
        <w:rPr>
          <w:b/>
          <w:color w:val="555555"/>
        </w:rPr>
        <w:t xml:space="preserve">[220]  </w:t>
      </w:r>
      <w:r>
        <w:rPr/>
        <w:t>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pStyle w:val="Normal"/>
        <w:spacing w:before="0" w:after="80"/>
        <w:ind w:firstLine="432"/>
        <w:jc w:val="both"/>
        <w:rPr>
          <w:rFonts w:hint="eastAsia"/>
        </w:rPr>
      </w:pPr>
      <w:r>
        <w:rPr>
          <w:b/>
          <w:color w:val="555555"/>
        </w:rPr>
        <w:t xml:space="preserve">[221]  </w:t>
      </w:r>
      <w:r>
        <w:rPr/>
        <w:t>The method of claim 218, wherein a sentence produced by said realizing carries a citation of each said proposition realized therein, such that each clause thereof resolves to a knowledge record supporting it.</w:t>
      </w:r>
    </w:p>
    <w:p>
      <w:pPr>
        <w:pStyle w:val="Normal"/>
        <w:spacing w:before="0" w:after="80"/>
        <w:ind w:firstLine="432"/>
        <w:jc w:val="both"/>
        <w:rPr>
          <w:rFonts w:hint="eastAsia"/>
        </w:rPr>
      </w:pPr>
      <w:r>
        <w:rPr>
          <w:b/>
          <w:color w:val="555555"/>
        </w:rPr>
        <w:t xml:space="preserve">[222]  </w:t>
      </w:r>
      <w:r>
        <w:rPr/>
        <w:t>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pStyle w:val="Normal"/>
        <w:spacing w:before="0" w:after="80"/>
        <w:ind w:firstLine="432"/>
        <w:jc w:val="both"/>
        <w:rPr>
          <w:rFonts w:hint="eastAsia"/>
        </w:rPr>
      </w:pPr>
      <w:r>
        <w:rPr>
          <w:b/>
          <w:color w:val="555555"/>
        </w:rPr>
        <w:t xml:space="preserve">[223]  </w:t>
      </w:r>
      <w:r>
        <w:rPr/>
        <w:t>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pStyle w:val="Normal"/>
        <w:spacing w:before="0" w:after="80"/>
        <w:ind w:firstLine="432"/>
        <w:jc w:val="both"/>
        <w:rPr>
          <w:rFonts w:hint="eastAsia"/>
        </w:rPr>
      </w:pPr>
      <w:r>
        <w:rPr>
          <w:b/>
          <w:color w:val="555555"/>
        </w:rPr>
        <w:t xml:space="preserve">[224]  </w:t>
      </w:r>
      <w:r>
        <w:rPr/>
        <w:t>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pStyle w:val="Normal"/>
        <w:spacing w:before="0" w:after="80"/>
        <w:ind w:firstLine="432"/>
        <w:jc w:val="both"/>
        <w:rPr>
          <w:rFonts w:hint="eastAsia"/>
        </w:rPr>
      </w:pPr>
      <w:r>
        <w:rPr>
          <w:b/>
          <w:color w:val="555555"/>
        </w:rPr>
        <w:t xml:space="preserve">[225]  </w:t>
      </w:r>
      <w:r>
        <w:rPr/>
        <w:t>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pStyle w:val="Normal"/>
        <w:spacing w:before="0" w:after="80"/>
        <w:ind w:firstLine="432"/>
        <w:jc w:val="both"/>
        <w:rPr>
          <w:rFonts w:hint="eastAsia"/>
        </w:rPr>
      </w:pPr>
      <w:r>
        <w:rPr>
          <w:b/>
          <w:color w:val="555555"/>
        </w:rPr>
        <w:t xml:space="preserve">[226]  </w:t>
      </w:r>
      <w:r>
        <w:rPr/>
        <w:t>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**Commercial presentation, advertiser provenance and transaction records (claims 225–231)**</w:t>
      </w:r>
    </w:p>
    <w:p>
      <w:pPr>
        <w:pStyle w:val="Normal"/>
        <w:spacing w:before="0" w:after="80"/>
        <w:ind w:firstLine="432"/>
        <w:jc w:val="both"/>
        <w:rPr>
          <w:rFonts w:hint="eastAsia"/>
        </w:rPr>
      </w:pPr>
      <w:r>
        <w:rPr>
          <w:b/>
          <w:color w:val="555555"/>
        </w:rPr>
        <w:t xml:space="preserve">[227]  </w:t>
      </w:r>
      <w:r>
        <w:rPr/>
        <w:t>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pStyle w:val="Normal"/>
        <w:spacing w:before="0" w:after="80"/>
        <w:ind w:firstLine="432"/>
        <w:jc w:val="both"/>
        <w:rPr>
          <w:rFonts w:hint="eastAsia"/>
        </w:rPr>
      </w:pPr>
      <w:r>
        <w:rPr>
          <w:b/>
          <w:color w:val="555555"/>
        </w:rPr>
        <w:t xml:space="preserve">[228]  </w:t>
      </w:r>
      <w:r>
        <w:rPr/>
        <w:t>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pStyle w:val="Normal"/>
        <w:spacing w:before="0" w:after="80"/>
        <w:ind w:firstLine="432"/>
        <w:jc w:val="both"/>
        <w:rPr>
          <w:rFonts w:hint="eastAsia"/>
        </w:rPr>
      </w:pPr>
      <w:r>
        <w:rPr>
          <w:b/>
          <w:color w:val="555555"/>
        </w:rPr>
        <w:t xml:space="preserve">[229]  </w:t>
      </w:r>
      <w:r>
        <w:rPr/>
        <w:t>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pStyle w:val="Normal"/>
        <w:spacing w:before="0" w:after="80"/>
        <w:ind w:firstLine="432"/>
        <w:jc w:val="both"/>
        <w:rPr>
          <w:rFonts w:hint="eastAsia"/>
        </w:rPr>
      </w:pPr>
      <w:r>
        <w:rPr>
          <w:b/>
          <w:color w:val="555555"/>
        </w:rPr>
        <w:t xml:space="preserve">[230]  </w:t>
      </w:r>
      <w:r>
        <w:rPr/>
        <w:t>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pStyle w:val="Normal"/>
        <w:spacing w:before="0" w:after="80"/>
        <w:ind w:firstLine="432"/>
        <w:jc w:val="both"/>
        <w:rPr>
          <w:rFonts w:hint="eastAsia"/>
        </w:rPr>
      </w:pPr>
      <w:r>
        <w:rPr>
          <w:b/>
          <w:color w:val="555555"/>
        </w:rPr>
        <w:t xml:space="preserve">[231]  </w:t>
      </w:r>
      <w:r>
        <w:rPr/>
        <w:t>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pStyle w:val="Normal"/>
        <w:spacing w:before="0" w:after="80"/>
        <w:ind w:firstLine="432"/>
        <w:jc w:val="both"/>
        <w:rPr>
          <w:rFonts w:hint="eastAsia"/>
        </w:rPr>
      </w:pPr>
      <w:r>
        <w:rPr>
          <w:b/>
          <w:color w:val="555555"/>
        </w:rPr>
        <w:t xml:space="preserve">[232]  </w:t>
      </w:r>
      <w:r>
        <w:rPr/>
        <w:t>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pStyle w:val="Normal"/>
        <w:spacing w:before="0" w:after="80"/>
        <w:ind w:firstLine="432"/>
        <w:jc w:val="both"/>
        <w:rPr>
          <w:rFonts w:hint="eastAsia"/>
        </w:rPr>
      </w:pPr>
      <w:r>
        <w:rPr>
          <w:b/>
          <w:color w:val="555555"/>
        </w:rPr>
        <w:t xml:space="preserve">[233]  </w:t>
      </w:r>
      <w:r>
        <w:rPr/>
        <w:t>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pStyle w:val="Normal"/>
        <w:spacing w:before="0" w:after="80"/>
        <w:ind w:firstLine="432"/>
        <w:jc w:val="both"/>
        <w:rPr>
          <w:rFonts w:hint="eastAsia"/>
        </w:rPr>
      </w:pPr>
      <w:r>
        <w:rPr>
          <w:b/>
          <w:color w:val="555555"/>
        </w:rPr>
        <w:t xml:space="preserve">[234]  </w:t>
      </w:r>
      <w:r>
        <w:rPr/>
        <w:t>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pStyle w:val="Normal"/>
        <w:spacing w:before="0" w:after="80"/>
        <w:ind w:firstLine="432"/>
        <w:jc w:val="both"/>
        <w:rPr>
          <w:rFonts w:hint="eastAsia"/>
        </w:rPr>
      </w:pPr>
      <w:r>
        <w:rPr>
          <w:b/>
          <w:color w:val="555555"/>
        </w:rPr>
        <w:t xml:space="preserve">[235]  </w:t>
      </w:r>
      <w:r>
        <w:rPr/>
        <w:t>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**Assistive physical contact under a two-party authorization (claims 241–249)**</w:t>
      </w:r>
    </w:p>
    <w:p>
      <w:pPr>
        <w:pStyle w:val="Normal"/>
        <w:spacing w:before="0" w:after="80"/>
        <w:ind w:firstLine="432"/>
        <w:jc w:val="both"/>
        <w:rPr>
          <w:rFonts w:hint="eastAsia"/>
        </w:rPr>
      </w:pPr>
      <w:r>
        <w:rPr>
          <w:b/>
          <w:color w:val="555555"/>
        </w:rPr>
        <w:t xml:space="preserve">[236]  </w:t>
      </w:r>
      <w:r>
        <w:rPr/>
        <w:t>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pStyle w:val="Normal"/>
        <w:spacing w:before="0" w:after="80"/>
        <w:ind w:firstLine="432"/>
        <w:jc w:val="both"/>
        <w:rPr>
          <w:rFonts w:hint="eastAsia"/>
        </w:rPr>
      </w:pPr>
      <w:r>
        <w:rPr>
          <w:b/>
          <w:color w:val="555555"/>
        </w:rPr>
        <w:t xml:space="preserve">[237]  </w:t>
      </w:r>
      <w:r>
        <w:rPr/>
        <w:t>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**Concept-adjacent commercial relevance (claims 257–259)**</w:t>
      </w:r>
    </w:p>
    <w:p>
      <w:pPr>
        <w:pStyle w:val="Normal"/>
        <w:spacing w:before="0" w:after="80"/>
        <w:ind w:firstLine="432"/>
        <w:jc w:val="both"/>
        <w:rPr>
          <w:rFonts w:hint="eastAsia"/>
        </w:rPr>
      </w:pPr>
      <w:r>
        <w:rPr>
          <w:b/>
          <w:color w:val="555555"/>
        </w:rPr>
        <w:t xml:space="preserve">[238]  </w:t>
      </w:r>
      <w:r>
        <w:rPr/>
        <w:t>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pStyle w:val="Normal"/>
        <w:spacing w:before="0" w:after="80"/>
        <w:ind w:firstLine="432"/>
        <w:jc w:val="both"/>
        <w:rPr>
          <w:rFonts w:hint="eastAsia"/>
        </w:rPr>
      </w:pPr>
      <w:r>
        <w:rPr>
          <w:b/>
          <w:color w:val="555555"/>
        </w:rPr>
        <w:t xml:space="preserve">[239]  </w:t>
      </w:r>
      <w:r>
        <w:rPr/>
        <w:t>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pStyle w:val="Normal"/>
        <w:spacing w:before="0" w:after="80"/>
        <w:ind w:firstLine="432"/>
        <w:jc w:val="both"/>
        <w:rPr>
          <w:rFonts w:hint="eastAsia"/>
        </w:rPr>
      </w:pPr>
      <w:r>
        <w:rPr>
          <w:b/>
          <w:color w:val="555555"/>
        </w:rPr>
        <w:t xml:space="preserve">[240]  </w:t>
      </w:r>
      <w:r>
        <w:rPr/>
        <w:t>The method of claim 270, wherein a loss of power, a loss of a control signal, a fault in a safety-related control path and a halt each result in an opening of a gripper, said opening being a condition of a registration of an equipment unit.</w:t>
      </w:r>
    </w:p>
    <w:p>
      <w:pPr>
        <w:pStyle w:val="Normal"/>
        <w:spacing w:before="0" w:after="80"/>
        <w:ind w:firstLine="432"/>
        <w:jc w:val="both"/>
        <w:rPr>
          <w:rFonts w:hint="eastAsia"/>
        </w:rPr>
      </w:pPr>
      <w:r>
        <w:rPr>
          <w:b/>
          <w:color w:val="555555"/>
        </w:rPr>
        <w:t xml:space="preserve">[241]  </w:t>
      </w:r>
      <w:r>
        <w:rPr/>
        <w:t>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pStyle w:val="Normal"/>
        <w:spacing w:before="0" w:after="80"/>
        <w:ind w:firstLine="432"/>
        <w:jc w:val="both"/>
        <w:rPr>
          <w:rFonts w:hint="eastAsia"/>
        </w:rPr>
      </w:pPr>
      <w:r>
        <w:rPr>
          <w:b/>
          <w:color w:val="555555"/>
        </w:rPr>
        <w:t xml:space="preserve">[242]  </w:t>
      </w:r>
      <w:r>
        <w:rPr/>
        <w:t>The method of claim 270, wherein no registration under said registering is available for a person or an animal, such that a physical support of a person is performed only under an authorization class requiring a contact consent. **Navigation in shared space (claims 277–283)**</w:t>
      </w:r>
    </w:p>
    <w:p>
      <w:pPr>
        <w:pStyle w:val="Normal"/>
        <w:spacing w:before="0" w:after="80"/>
        <w:ind w:firstLine="432"/>
        <w:jc w:val="both"/>
        <w:rPr>
          <w:rFonts w:hint="eastAsia"/>
        </w:rPr>
      </w:pPr>
      <w:r>
        <w:rPr>
          <w:b/>
          <w:color w:val="555555"/>
        </w:rPr>
        <w:t xml:space="preserve">[243]  </w:t>
      </w:r>
      <w:r>
        <w:rPr/>
        <w:t>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pStyle w:val="Normal"/>
        <w:spacing w:before="0" w:after="80"/>
        <w:ind w:firstLine="432"/>
        <w:jc w:val="both"/>
        <w:rPr>
          <w:rFonts w:hint="eastAsia"/>
        </w:rPr>
      </w:pPr>
      <w:r>
        <w:rPr>
          <w:b/>
          <w:color w:val="555555"/>
        </w:rPr>
        <w:t xml:space="preserve">[244]  </w:t>
      </w:r>
      <w:r>
        <w:rPr/>
        <w:t>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pStyle w:val="Normal"/>
        <w:spacing w:before="0" w:after="80"/>
        <w:ind w:firstLine="432"/>
        <w:jc w:val="both"/>
        <w:rPr>
          <w:rFonts w:hint="eastAsia"/>
        </w:rPr>
      </w:pPr>
      <w:r>
        <w:rPr>
          <w:b/>
          <w:color w:val="555555"/>
        </w:rPr>
        <w:t xml:space="preserve">[245]  </w:t>
      </w:r>
      <w:r>
        <w:rPr/>
        <w:t>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pStyle w:val="Normal"/>
        <w:spacing w:before="0" w:after="80"/>
        <w:ind w:firstLine="432"/>
        <w:jc w:val="both"/>
        <w:rPr>
          <w:rFonts w:hint="eastAsia"/>
        </w:rPr>
      </w:pPr>
      <w:r>
        <w:rPr>
          <w:b/>
          <w:color w:val="555555"/>
        </w:rPr>
        <w:t xml:space="preserve">[246]  </w:t>
      </w:r>
      <w:r>
        <w:rPr/>
        <w:t>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pStyle w:val="Normal"/>
        <w:spacing w:before="0" w:after="80"/>
        <w:ind w:firstLine="432"/>
        <w:jc w:val="both"/>
        <w:rPr>
          <w:rFonts w:hint="eastAsia"/>
        </w:rPr>
      </w:pPr>
      <w:r>
        <w:rPr>
          <w:b/>
          <w:color w:val="555555"/>
        </w:rPr>
        <w:t xml:space="preserve">[247]  </w:t>
      </w:r>
      <w:r>
        <w:rPr/>
        <w:t>The method of claim 279, wherein said equipment unit does not maintain a following distance behind a person moving in a direction of travel thereof, yielding and waiting instead.</w:t>
      </w:r>
    </w:p>
    <w:p>
      <w:pPr>
        <w:pStyle w:val="Normal"/>
        <w:spacing w:before="0" w:after="80"/>
        <w:ind w:firstLine="432"/>
        <w:jc w:val="both"/>
        <w:rPr>
          <w:rFonts w:hint="eastAsia"/>
        </w:rPr>
      </w:pPr>
      <w:r>
        <w:rPr>
          <w:b/>
          <w:color w:val="555555"/>
        </w:rPr>
        <w:t xml:space="preserve">[248]  </w:t>
      </w:r>
      <w:r>
        <w:rPr/>
        <w:t>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pStyle w:val="Normal"/>
        <w:spacing w:before="0" w:after="80"/>
        <w:ind w:firstLine="432"/>
        <w:jc w:val="both"/>
        <w:rPr>
          <w:rFonts w:hint="eastAsia"/>
        </w:rPr>
      </w:pPr>
      <w:r>
        <w:rPr>
          <w:b/>
          <w:color w:val="555555"/>
        </w:rPr>
        <w:t xml:space="preserve">[249]  </w:t>
      </w:r>
      <w:r>
        <w:rPr/>
        <w:t>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**The predictive hierarchy and error attribution (claims 284–289)**</w:t>
      </w:r>
    </w:p>
    <w:p>
      <w:pPr>
        <w:pStyle w:val="Normal"/>
        <w:spacing w:before="0" w:after="80"/>
        <w:ind w:firstLine="432"/>
        <w:jc w:val="both"/>
        <w:rPr>
          <w:rFonts w:hint="eastAsia"/>
        </w:rPr>
      </w:pPr>
      <w:r>
        <w:rPr>
          <w:b/>
          <w:color w:val="555555"/>
        </w:rPr>
        <w:t xml:space="preserve">[250]  </w:t>
      </w:r>
      <w:r>
        <w:rPr/>
        <w:t>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pStyle w:val="Normal"/>
        <w:spacing w:before="0" w:after="80"/>
        <w:ind w:firstLine="432"/>
        <w:jc w:val="both"/>
        <w:rPr>
          <w:rFonts w:hint="eastAsia"/>
        </w:rPr>
      </w:pPr>
      <w:r>
        <w:rPr>
          <w:b/>
          <w:color w:val="555555"/>
        </w:rPr>
        <w:t xml:space="preserve">[251]  </w:t>
      </w:r>
      <w:r>
        <w:rPr/>
        <w:t>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pStyle w:val="Normal"/>
        <w:spacing w:before="0" w:after="80"/>
        <w:ind w:firstLine="432"/>
        <w:jc w:val="both"/>
        <w:rPr>
          <w:rFonts w:hint="eastAsia"/>
        </w:rPr>
      </w:pPr>
      <w:r>
        <w:rPr>
          <w:b/>
          <w:color w:val="555555"/>
        </w:rPr>
        <w:t xml:space="preserve">[252]  </w:t>
      </w:r>
      <w:r>
        <w:rPr/>
        <w:t>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pStyle w:val="Normal"/>
        <w:spacing w:before="0" w:after="80"/>
        <w:ind w:firstLine="432"/>
        <w:jc w:val="both"/>
        <w:rPr>
          <w:rFonts w:hint="eastAsia"/>
        </w:rPr>
      </w:pPr>
      <w:r>
        <w:rPr>
          <w:b/>
          <w:color w:val="555555"/>
        </w:rPr>
        <w:t xml:space="preserve">[253]  </w:t>
      </w:r>
      <w:r>
        <w:rPr/>
        <w:t>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pStyle w:val="Normal"/>
        <w:spacing w:before="0" w:after="80"/>
        <w:ind w:firstLine="432"/>
        <w:jc w:val="both"/>
        <w:rPr>
          <w:rFonts w:hint="eastAsia"/>
        </w:rPr>
      </w:pPr>
      <w:r>
        <w:rPr>
          <w:b/>
          <w:color w:val="555555"/>
        </w:rPr>
        <w:t xml:space="preserve">[254]  </w:t>
      </w:r>
      <w:r>
        <w:rPr/>
        <w:t>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pStyle w:val="Normal"/>
        <w:spacing w:before="0" w:after="80"/>
        <w:ind w:firstLine="432"/>
        <w:jc w:val="both"/>
        <w:rPr>
          <w:rFonts w:hint="eastAsia"/>
        </w:rPr>
      </w:pPr>
      <w:r>
        <w:rPr>
          <w:b/>
          <w:color w:val="555555"/>
        </w:rPr>
        <w:t xml:space="preserve">[255]  </w:t>
      </w:r>
      <w:r>
        <w:rPr/>
        <w:t>The method of claim 245, wherein said force limit and said pressure limit are registered separately per said region of a body such that a force within a limit applied over a reduced area is not thereby permitted.</w:t>
      </w:r>
    </w:p>
    <w:p>
      <w:pPr>
        <w:pStyle w:val="Normal"/>
        <w:spacing w:before="0" w:after="80"/>
        <w:ind w:firstLine="432"/>
        <w:jc w:val="both"/>
        <w:rPr>
          <w:rFonts w:hint="eastAsia"/>
        </w:rPr>
      </w:pPr>
      <w:r>
        <w:rPr>
          <w:b/>
          <w:color w:val="555555"/>
        </w:rPr>
        <w:t xml:space="preserve">[256]  </w:t>
      </w:r>
      <w:r>
        <w:rPr/>
        <w:t>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pStyle w:val="Normal"/>
        <w:spacing w:before="0" w:after="80"/>
        <w:ind w:firstLine="432"/>
        <w:jc w:val="both"/>
        <w:rPr>
          <w:rFonts w:hint="eastAsia"/>
        </w:rPr>
      </w:pPr>
      <w:r>
        <w:rPr>
          <w:b/>
          <w:color w:val="555555"/>
        </w:rPr>
        <w:t xml:space="preserve">[257]  </w:t>
      </w:r>
      <w:r>
        <w:rPr/>
        <w:t>The method of claim 247, wherein a release is effected without traversing said retrieving, said iterative updating, said generating or an interpretive modulation, and is operable where a said retrieving is unavailable.</w:t>
      </w:r>
    </w:p>
    <w:p>
      <w:pPr>
        <w:pStyle w:val="Normal"/>
        <w:spacing w:before="0" w:after="80"/>
        <w:ind w:firstLine="432"/>
        <w:jc w:val="both"/>
        <w:rPr>
          <w:rFonts w:hint="eastAsia"/>
        </w:rPr>
      </w:pPr>
      <w:r>
        <w:rPr>
          <w:b/>
          <w:color w:val="555555"/>
        </w:rPr>
        <w:t xml:space="preserve">[258]  </w:t>
      </w:r>
      <w:r>
        <w:rPr/>
        <w:t>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**Attractor stabilization beyond retrieval (claims 250–256)**</w:t>
      </w:r>
    </w:p>
    <w:p>
      <w:pPr>
        <w:pStyle w:val="Normal"/>
        <w:spacing w:before="0" w:after="80"/>
        <w:ind w:firstLine="432"/>
        <w:jc w:val="both"/>
        <w:rPr>
          <w:rFonts w:hint="eastAsia"/>
        </w:rPr>
      </w:pPr>
      <w:r>
        <w:rPr>
          <w:b/>
          <w:color w:val="555555"/>
        </w:rPr>
        <w:t xml:space="preserve">[259]  </w:t>
      </w:r>
      <w:r>
        <w:rPr/>
        <w:t>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pStyle w:val="Normal"/>
        <w:spacing w:before="0" w:after="80"/>
        <w:ind w:firstLine="432"/>
        <w:jc w:val="both"/>
        <w:rPr>
          <w:rFonts w:hint="eastAsia"/>
        </w:rPr>
      </w:pPr>
      <w:r>
        <w:rPr>
          <w:b/>
          <w:color w:val="555555"/>
        </w:rPr>
        <w:t xml:space="preserve">[260]  </w:t>
      </w:r>
      <w:r>
        <w:rPr/>
        <w:t>The method of claim 274, wherein a said equipment unit applies no force resisting a taking of a said object by said person and does not re-grasp a said object taken by said person.</w:t>
      </w:r>
    </w:p>
    <w:p>
      <w:pPr>
        <w:pStyle w:val="Normal"/>
        <w:spacing w:before="0" w:after="80"/>
        <w:ind w:firstLine="432"/>
        <w:jc w:val="both"/>
        <w:rPr>
          <w:rFonts w:hint="eastAsia"/>
        </w:rPr>
      </w:pPr>
      <w:r>
        <w:rPr>
          <w:b/>
          <w:color w:val="555555"/>
        </w:rPr>
        <w:t xml:space="preserve">[261]  </w:t>
      </w:r>
      <w:r>
        <w:rPr/>
        <w:t>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pStyle w:val="Normal"/>
        <w:spacing w:before="0" w:after="80"/>
        <w:ind w:firstLine="432"/>
        <w:jc w:val="both"/>
        <w:rPr>
          <w:rFonts w:hint="eastAsia"/>
        </w:rPr>
      </w:pPr>
      <w:r>
        <w:rPr>
          <w:b/>
          <w:color w:val="555555"/>
        </w:rPr>
        <w:t xml:space="preserve">[262]  </w:t>
      </w:r>
      <w:r>
        <w:rPr/>
        <w:t>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pStyle w:val="Normal"/>
        <w:spacing w:before="0" w:after="80"/>
        <w:ind w:firstLine="432"/>
        <w:jc w:val="both"/>
        <w:rPr>
          <w:rFonts w:hint="eastAsia"/>
        </w:rPr>
      </w:pPr>
      <w:r>
        <w:rPr>
          <w:b/>
          <w:color w:val="555555"/>
        </w:rPr>
        <w:t xml:space="preserve">[263]  </w:t>
      </w:r>
      <w:r>
        <w:rPr/>
        <w:t>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pStyle w:val="Normal"/>
        <w:spacing w:before="0" w:after="80"/>
        <w:ind w:firstLine="432"/>
        <w:jc w:val="both"/>
        <w:rPr>
          <w:rFonts w:hint="eastAsia"/>
        </w:rPr>
      </w:pPr>
      <w:r>
        <w:rPr>
          <w:b/>
          <w:color w:val="555555"/>
        </w:rPr>
        <w:t xml:space="preserve">[264]  </w:t>
      </w:r>
      <w:r>
        <w:rPr/>
        <w:t>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**Systematic trial architecture (claims 262–269)**</w:t>
      </w:r>
    </w:p>
    <w:p>
      <w:pPr>
        <w:pStyle w:val="Normal"/>
        <w:spacing w:before="0" w:after="80"/>
        <w:ind w:firstLine="432"/>
        <w:jc w:val="both"/>
        <w:rPr>
          <w:rFonts w:hint="eastAsia"/>
        </w:rPr>
      </w:pPr>
      <w:r>
        <w:rPr>
          <w:b/>
          <w:color w:val="555555"/>
        </w:rPr>
        <w:t xml:space="preserve">[265]  </w:t>
      </w:r>
      <w:r>
        <w:rPr/>
        <w:t>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pStyle w:val="Normal"/>
        <w:spacing w:before="0" w:after="80"/>
        <w:ind w:firstLine="432"/>
        <w:jc w:val="both"/>
        <w:rPr>
          <w:rFonts w:hint="eastAsia"/>
        </w:rPr>
      </w:pPr>
      <w:r>
        <w:rPr>
          <w:b/>
          <w:color w:val="555555"/>
        </w:rPr>
        <w:t xml:space="preserve">[266]  </w:t>
      </w:r>
      <w:r>
        <w:rPr/>
        <w:t>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pStyle w:val="Normal"/>
        <w:spacing w:before="0" w:after="80"/>
        <w:ind w:firstLine="432"/>
        <w:jc w:val="both"/>
        <w:rPr>
          <w:rFonts w:hint="eastAsia"/>
        </w:rPr>
      </w:pPr>
      <w:r>
        <w:rPr>
          <w:b/>
          <w:color w:val="555555"/>
        </w:rPr>
        <w:t xml:space="preserve">[267]  </w:t>
      </w:r>
      <w:r>
        <w:rPr/>
        <w:t>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**AI-engine ingestion: prompt composition, conversion, derivation marking and audit (claims 313–321)**</w:t>
      </w:r>
    </w:p>
    <w:p>
      <w:pPr>
        <w:pStyle w:val="Normal"/>
        <w:spacing w:before="0" w:after="80"/>
        <w:ind w:firstLine="432"/>
        <w:jc w:val="both"/>
        <w:rPr>
          <w:rFonts w:hint="eastAsia"/>
        </w:rPr>
      </w:pPr>
      <w:r>
        <w:rPr>
          <w:b/>
          <w:color w:val="555555"/>
        </w:rPr>
        <w:t xml:space="preserve">[268]  </w:t>
      </w:r>
      <w:r>
        <w:rPr/>
        <w:t>The method of claim 307, further comprising registering said array with a dimension thereof, a range of said conductance, a fabrication tolerance and a tolerance to which a settled state is read; and refusing a said array whose registration lacks any thereof.</w:t>
      </w:r>
    </w:p>
    <w:p>
      <w:pPr>
        <w:pStyle w:val="Normal"/>
        <w:spacing w:before="0" w:after="80"/>
        <w:ind w:firstLine="432"/>
        <w:jc w:val="both"/>
        <w:rPr>
          <w:rFonts w:hint="eastAsia"/>
        </w:rPr>
      </w:pPr>
      <w:r>
        <w:rPr>
          <w:b/>
          <w:color w:val="555555"/>
        </w:rPr>
        <w:t xml:space="preserve">[269]  </w:t>
      </w:r>
      <w:r>
        <w:rPr/>
        <w:t>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pStyle w:val="Normal"/>
        <w:spacing w:before="0" w:after="80"/>
        <w:ind w:firstLine="432"/>
        <w:jc w:val="both"/>
        <w:rPr>
          <w:rFonts w:hint="eastAsia"/>
        </w:rPr>
      </w:pPr>
      <w:r>
        <w:rPr>
          <w:b/>
          <w:color w:val="555555"/>
        </w:rPr>
        <w:t xml:space="preserve">[270]  </w:t>
      </w:r>
      <w:r>
        <w:rPr/>
        <w:t>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pStyle w:val="Normal"/>
        <w:spacing w:before="0" w:after="80"/>
        <w:ind w:firstLine="432"/>
        <w:jc w:val="both"/>
        <w:rPr>
          <w:rFonts w:hint="eastAsia"/>
        </w:rPr>
      </w:pPr>
      <w:r>
        <w:rPr>
          <w:b/>
          <w:color w:val="555555"/>
        </w:rPr>
        <w:t xml:space="preserve">[271]  </w:t>
      </w:r>
      <w:r>
        <w:rPr/>
        <w:t>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pStyle w:val="Normal"/>
        <w:spacing w:before="0" w:after="80"/>
        <w:ind w:firstLine="432"/>
        <w:jc w:val="both"/>
        <w:rPr>
          <w:rFonts w:hint="eastAsia"/>
        </w:rPr>
      </w:pPr>
      <w:r>
        <w:rPr>
          <w:b/>
          <w:color w:val="555555"/>
        </w:rPr>
        <w:t xml:space="preserve">[272]  </w:t>
      </w:r>
      <w:r>
        <w:rPr/>
        <w:t>The method of claim 252, wherein where said observed regions do not converge to a stored configuration within a configured iteration ceiling no completion is produced and an absence is reported.</w:t>
      </w:r>
    </w:p>
    <w:p>
      <w:pPr>
        <w:pStyle w:val="Normal"/>
        <w:spacing w:before="0" w:after="80"/>
        <w:ind w:firstLine="432"/>
        <w:jc w:val="both"/>
        <w:rPr>
          <w:rFonts w:hint="eastAsia"/>
        </w:rPr>
      </w:pPr>
      <w:r>
        <w:rPr>
          <w:b/>
          <w:color w:val="555555"/>
        </w:rPr>
        <w:t xml:space="preserve">[273]  </w:t>
      </w:r>
      <w:r>
        <w:rPr/>
        <w:t>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pStyle w:val="Normal"/>
        <w:spacing w:before="0" w:after="80"/>
        <w:ind w:firstLine="432"/>
        <w:jc w:val="both"/>
        <w:rPr>
          <w:rFonts w:hint="eastAsia"/>
        </w:rPr>
      </w:pPr>
      <w:r>
        <w:rPr>
          <w:b/>
          <w:color w:val="555555"/>
        </w:rPr>
        <w:t xml:space="preserve">[274]  </w:t>
      </w:r>
      <w:r>
        <w:rPr/>
        <w:t>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pStyle w:val="Normal"/>
        <w:spacing w:before="0" w:after="80"/>
        <w:ind w:firstLine="432"/>
        <w:jc w:val="both"/>
        <w:rPr>
          <w:rFonts w:hint="eastAsia"/>
        </w:rPr>
      </w:pPr>
      <w:r>
        <w:rPr>
          <w:b/>
          <w:color w:val="555555"/>
        </w:rPr>
        <w:t xml:space="preserve">[275]  </w:t>
      </w:r>
      <w:r>
        <w:rPr/>
        <w:t>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pStyle w:val="Normal"/>
        <w:spacing w:before="0" w:after="80"/>
        <w:ind w:firstLine="432"/>
        <w:jc w:val="both"/>
        <w:rPr>
          <w:rFonts w:hint="eastAsia"/>
        </w:rPr>
      </w:pPr>
      <w:r>
        <w:rPr>
          <w:b/>
          <w:color w:val="555555"/>
        </w:rPr>
        <w:t xml:space="preserve">[276]  </w:t>
      </w:r>
      <w:r>
        <w:rPr/>
        <w:t>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pStyle w:val="Normal"/>
        <w:spacing w:before="0" w:after="80"/>
        <w:ind w:firstLine="432"/>
        <w:jc w:val="both"/>
        <w:rPr>
          <w:rFonts w:hint="eastAsia"/>
        </w:rPr>
      </w:pPr>
      <w:r>
        <w:rPr>
          <w:b/>
          <w:color w:val="555555"/>
        </w:rPr>
        <w:t xml:space="preserve">[277]  </w:t>
      </w:r>
      <w:r>
        <w:rPr/>
        <w:t>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**Computational substrate output as an ingested modality (claims 303–306)**</w:t>
      </w:r>
    </w:p>
    <w:p>
      <w:pPr>
        <w:pStyle w:val="Normal"/>
        <w:spacing w:before="0" w:after="80"/>
        <w:ind w:firstLine="432"/>
        <w:jc w:val="both"/>
        <w:rPr>
          <w:rFonts w:hint="eastAsia"/>
        </w:rPr>
      </w:pPr>
      <w:r>
        <w:rPr>
          <w:b/>
          <w:color w:val="555555"/>
        </w:rPr>
        <w:t xml:space="preserve">[278]  </w:t>
      </w:r>
      <w:r>
        <w:rPr/>
        <w:t>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pStyle w:val="Normal"/>
        <w:spacing w:before="0" w:after="80"/>
        <w:ind w:firstLine="432"/>
        <w:jc w:val="both"/>
        <w:rPr>
          <w:rFonts w:hint="eastAsia"/>
        </w:rPr>
      </w:pPr>
      <w:r>
        <w:rPr>
          <w:b/>
          <w:color w:val="555555"/>
        </w:rPr>
        <w:t xml:space="preserve">[279]  </w:t>
      </w:r>
      <w:r>
        <w:rPr/>
        <w:t>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pStyle w:val="Normal"/>
        <w:spacing w:before="0" w:after="80"/>
        <w:ind w:firstLine="432"/>
        <w:jc w:val="both"/>
        <w:rPr>
          <w:rFonts w:hint="eastAsia"/>
        </w:rPr>
      </w:pPr>
      <w:r>
        <w:rPr>
          <w:b/>
          <w:color w:val="555555"/>
        </w:rPr>
        <w:t xml:space="preserve">[280]  </w:t>
      </w:r>
      <w:r>
        <w:rPr/>
        <w:t>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**Coherence classification and the context lock (claims 296–302)**</w:t>
      </w:r>
    </w:p>
    <w:p>
      <w:pPr>
        <w:pStyle w:val="Normal"/>
        <w:spacing w:before="0" w:after="80"/>
        <w:ind w:firstLine="432"/>
        <w:jc w:val="both"/>
        <w:rPr>
          <w:rFonts w:hint="eastAsia"/>
        </w:rPr>
      </w:pPr>
      <w:r>
        <w:rPr>
          <w:b/>
          <w:color w:val="555555"/>
        </w:rPr>
        <w:t xml:space="preserve">[281]  </w:t>
      </w:r>
      <w:r>
        <w:rPr/>
        <w:t>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pStyle w:val="Normal"/>
        <w:spacing w:before="0" w:after="80"/>
        <w:ind w:firstLine="432"/>
        <w:jc w:val="both"/>
        <w:rPr>
          <w:rFonts w:hint="eastAsia"/>
        </w:rPr>
      </w:pPr>
      <w:r>
        <w:rPr>
          <w:b/>
          <w:color w:val="555555"/>
        </w:rPr>
        <w:t xml:space="preserve">[282]  </w:t>
      </w:r>
      <w:r>
        <w:rPr/>
        <w:t>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pStyle w:val="Normal"/>
        <w:spacing w:before="0" w:after="80"/>
        <w:ind w:firstLine="432"/>
        <w:jc w:val="both"/>
        <w:rPr>
          <w:rFonts w:hint="eastAsia"/>
        </w:rPr>
      </w:pPr>
      <w:r>
        <w:rPr>
          <w:b/>
          <w:color w:val="555555"/>
        </w:rPr>
        <w:t xml:space="preserve">[283]  </w:t>
      </w:r>
      <w:r>
        <w:rPr/>
        <w:t>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pStyle w:val="Normal"/>
        <w:spacing w:before="0" w:after="80"/>
        <w:ind w:firstLine="432"/>
        <w:jc w:val="both"/>
        <w:rPr>
          <w:rFonts w:hint="eastAsia"/>
        </w:rPr>
      </w:pPr>
      <w:r>
        <w:rPr>
          <w:b/>
          <w:color w:val="555555"/>
        </w:rPr>
        <w:t xml:space="preserve">[284]  </w:t>
      </w:r>
      <w:r>
        <w:rPr/>
        <w:t>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pStyle w:val="Normal"/>
        <w:spacing w:before="0" w:after="80"/>
        <w:ind w:firstLine="432"/>
        <w:jc w:val="both"/>
        <w:rPr>
          <w:rFonts w:hint="eastAsia"/>
        </w:rPr>
      </w:pPr>
      <w:r>
        <w:rPr>
          <w:b/>
          <w:color w:val="555555"/>
        </w:rPr>
        <w:t xml:space="preserve">[285]  </w:t>
      </w:r>
      <w:r>
        <w:rPr/>
        <w:t>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pStyle w:val="Normal"/>
        <w:spacing w:before="0" w:after="80"/>
        <w:ind w:firstLine="432"/>
        <w:jc w:val="both"/>
        <w:rPr>
          <w:rFonts w:hint="eastAsia"/>
        </w:rPr>
      </w:pPr>
      <w:r>
        <w:rPr>
          <w:b/>
          <w:color w:val="555555"/>
        </w:rPr>
        <w:t xml:space="preserve">[286]  </w:t>
      </w:r>
      <w:r>
        <w:rPr/>
        <w:t>The method of claim 299, wherein said enumerated set is a member of a fixed enumerated set of subsystems excluded from modification by a proposal generated within the system, such that a dimension is not removed therefrom by an automated process.</w:t>
      </w:r>
    </w:p>
    <w:p>
      <w:pPr>
        <w:pStyle w:val="Normal"/>
        <w:spacing w:before="0" w:after="80"/>
        <w:ind w:firstLine="432"/>
        <w:jc w:val="both"/>
        <w:rPr>
          <w:rFonts w:hint="eastAsia"/>
        </w:rPr>
      </w:pPr>
      <w:r>
        <w:rPr>
          <w:b/>
          <w:color w:val="555555"/>
        </w:rPr>
        <w:t xml:space="preserve">[287]  </w:t>
      </w:r>
      <w:r>
        <w:rPr/>
        <w:t>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pStyle w:val="Normal"/>
        <w:spacing w:before="0" w:after="80"/>
        <w:ind w:firstLine="432"/>
        <w:jc w:val="both"/>
        <w:rPr>
          <w:rFonts w:hint="eastAsia"/>
        </w:rPr>
      </w:pPr>
      <w:r>
        <w:rPr>
          <w:b/>
          <w:color w:val="555555"/>
        </w:rPr>
        <w:t xml:space="preserve">[288]  </w:t>
      </w:r>
      <w:r>
        <w:rPr/>
        <w:t>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pStyle w:val="Normal"/>
        <w:spacing w:before="0" w:after="80"/>
        <w:ind w:firstLine="432"/>
        <w:jc w:val="both"/>
        <w:rPr>
          <w:rFonts w:hint="eastAsia"/>
        </w:rPr>
      </w:pPr>
      <w:r>
        <w:rPr>
          <w:b/>
          <w:color w:val="555555"/>
        </w:rPr>
        <w:t xml:space="preserve">[289]  </w:t>
      </w:r>
      <w:r>
        <w:rPr/>
        <w:t>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pStyle w:val="Normal"/>
        <w:spacing w:before="0" w:after="80"/>
        <w:ind w:firstLine="432"/>
        <w:jc w:val="both"/>
        <w:rPr>
          <w:rFonts w:hint="eastAsia"/>
        </w:rPr>
      </w:pPr>
      <w:r>
        <w:rPr>
          <w:b/>
          <w:color w:val="555555"/>
        </w:rPr>
        <w:t xml:space="preserve">[290]  </w:t>
      </w:r>
      <w:r>
        <w:rPr/>
        <w:t>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pStyle w:val="Normal"/>
        <w:spacing w:before="0" w:after="80"/>
        <w:ind w:firstLine="432"/>
        <w:jc w:val="both"/>
        <w:rPr>
          <w:rFonts w:hint="eastAsia"/>
        </w:rPr>
      </w:pPr>
      <w:r>
        <w:rPr>
          <w:b/>
          <w:color w:val="555555"/>
        </w:rPr>
        <w:t xml:space="preserve">[291]  </w:t>
      </w:r>
      <w:r>
        <w:rPr/>
        <w:t>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pStyle w:val="Normal"/>
        <w:spacing w:before="0" w:after="80"/>
        <w:ind w:firstLine="432"/>
        <w:jc w:val="both"/>
        <w:rPr>
          <w:rFonts w:hint="eastAsia"/>
        </w:rPr>
      </w:pPr>
      <w:r>
        <w:rPr>
          <w:b/>
          <w:color w:val="555555"/>
        </w:rPr>
        <w:t xml:space="preserve">[292]  </w:t>
      </w:r>
      <w:r>
        <w:rPr/>
        <w:t>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pStyle w:val="Normal"/>
        <w:spacing w:before="0" w:after="80"/>
        <w:ind w:firstLine="432"/>
        <w:jc w:val="both"/>
        <w:rPr>
          <w:rFonts w:hint="eastAsia"/>
        </w:rPr>
      </w:pPr>
      <w:r>
        <w:rPr>
          <w:b/>
          <w:color w:val="555555"/>
        </w:rPr>
        <w:t xml:space="preserve">[293]  </w:t>
      </w:r>
      <w:r>
        <w:rPr/>
        <w:t>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pStyle w:val="Normal"/>
        <w:spacing w:before="0" w:after="80"/>
        <w:ind w:firstLine="432"/>
        <w:jc w:val="both"/>
        <w:rPr>
          <w:rFonts w:hint="eastAsia"/>
        </w:rPr>
      </w:pPr>
      <w:r>
        <w:rPr>
          <w:b/>
          <w:color w:val="555555"/>
        </w:rPr>
        <w:t xml:space="preserve">[294]  </w:t>
      </w:r>
      <w:r>
        <w:rPr/>
        <w:t>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pStyle w:val="Normal"/>
        <w:spacing w:before="0" w:after="80"/>
        <w:ind w:firstLine="432"/>
        <w:jc w:val="both"/>
        <w:rPr>
          <w:rFonts w:hint="eastAsia"/>
        </w:rPr>
      </w:pPr>
      <w:r>
        <w:rPr>
          <w:b/>
          <w:color w:val="555555"/>
        </w:rPr>
        <w:t xml:space="preserve">[295]  </w:t>
      </w:r>
      <w:r>
        <w:rPr/>
        <w:t>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**Competitive candidate resolution (claims 322–324)**</w:t>
      </w:r>
    </w:p>
    <w:p>
      <w:pPr>
        <w:pStyle w:val="Normal"/>
        <w:spacing w:before="0" w:after="80"/>
        <w:ind w:firstLine="432"/>
        <w:jc w:val="both"/>
        <w:rPr>
          <w:rFonts w:hint="eastAsia"/>
        </w:rPr>
      </w:pPr>
      <w:r>
        <w:rPr>
          <w:b/>
          <w:color w:val="555555"/>
        </w:rPr>
        <w:t xml:space="preserve">[296]  </w:t>
      </w:r>
      <w:r>
        <w:rPr/>
        <w:t>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pStyle w:val="Normal"/>
        <w:spacing w:before="0" w:after="80"/>
        <w:ind w:firstLine="432"/>
        <w:jc w:val="both"/>
        <w:rPr>
          <w:rFonts w:hint="eastAsia"/>
        </w:rPr>
      </w:pPr>
      <w:r>
        <w:rPr>
          <w:b/>
          <w:color w:val="555555"/>
        </w:rPr>
        <w:t xml:space="preserve">[297]  </w:t>
      </w:r>
      <w:r>
        <w:rPr/>
        <w:t>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pStyle w:val="Normal"/>
        <w:spacing w:before="0" w:after="80"/>
        <w:ind w:firstLine="432"/>
        <w:jc w:val="both"/>
        <w:rPr>
          <w:rFonts w:hint="eastAsia"/>
        </w:rPr>
      </w:pPr>
      <w:r>
        <w:rPr>
          <w:b/>
          <w:color w:val="555555"/>
        </w:rPr>
        <w:t xml:space="preserve">[298]  </w:t>
      </w:r>
      <w:r>
        <w:rPr/>
        <w:t>The method of claim 322, wherein said reducing operates upon said knowledge records and not upon a plurality of domains each owning a bounded set of operations, a said domain owning a distinct decision such that no two said domains propose competing resolutions of a common query. **Specialized live data feeds (claims 325–332)**</w:t>
      </w:r>
    </w:p>
    <w:p>
      <w:pPr>
        <w:pStyle w:val="Normal"/>
        <w:spacing w:before="0" w:after="80"/>
        <w:ind w:firstLine="432"/>
        <w:jc w:val="both"/>
        <w:rPr>
          <w:rFonts w:hint="eastAsia"/>
        </w:rPr>
      </w:pPr>
      <w:r>
        <w:rPr>
          <w:b/>
          <w:color w:val="555555"/>
        </w:rPr>
        <w:t xml:space="preserve">[299]  </w:t>
      </w:r>
      <w:r>
        <w:rPr/>
        <w:t>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pStyle w:val="Normal"/>
        <w:spacing w:before="0" w:after="80"/>
        <w:ind w:firstLine="432"/>
        <w:jc w:val="both"/>
        <w:rPr>
          <w:rFonts w:hint="eastAsia"/>
        </w:rPr>
      </w:pPr>
      <w:r>
        <w:rPr>
          <w:b/>
          <w:color w:val="555555"/>
        </w:rPr>
        <w:t xml:space="preserve">[300]  </w:t>
      </w:r>
      <w:r>
        <w:rPr/>
        <w:t>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pStyle w:val="Normal"/>
        <w:spacing w:before="0" w:after="80"/>
        <w:ind w:firstLine="432"/>
        <w:jc w:val="both"/>
        <w:rPr>
          <w:rFonts w:hint="eastAsia"/>
        </w:rPr>
      </w:pPr>
      <w:r>
        <w:rPr>
          <w:b/>
          <w:color w:val="555555"/>
        </w:rPr>
        <w:t xml:space="preserve">[301]  </w:t>
      </w:r>
      <w:r>
        <w:rPr/>
        <w:t>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pStyle w:val="Normal"/>
        <w:spacing w:before="0" w:after="80"/>
        <w:ind w:firstLine="432"/>
        <w:jc w:val="both"/>
        <w:rPr>
          <w:rFonts w:hint="eastAsia"/>
        </w:rPr>
      </w:pPr>
      <w:r>
        <w:rPr>
          <w:b/>
          <w:color w:val="555555"/>
        </w:rPr>
        <w:t xml:space="preserve">[302]  </w:t>
      </w:r>
      <w:r>
        <w:rPr/>
        <w:t>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pStyle w:val="Normal"/>
        <w:spacing w:before="0" w:after="80"/>
        <w:ind w:firstLine="432"/>
        <w:jc w:val="both"/>
        <w:rPr>
          <w:rFonts w:hint="eastAsia"/>
        </w:rPr>
      </w:pPr>
      <w:r>
        <w:rPr>
          <w:b/>
          <w:color w:val="555555"/>
        </w:rPr>
        <w:t xml:space="preserve">[303]  </w:t>
      </w:r>
      <w:r>
        <w:rPr/>
        <w:t>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pStyle w:val="Normal"/>
        <w:spacing w:before="0" w:after="80"/>
        <w:ind w:firstLine="432"/>
        <w:jc w:val="both"/>
        <w:rPr>
          <w:rFonts w:hint="eastAsia"/>
        </w:rPr>
      </w:pPr>
      <w:r>
        <w:rPr>
          <w:b/>
          <w:color w:val="555555"/>
        </w:rPr>
        <w:t xml:space="preserve">[304]  </w:t>
      </w:r>
      <w:r>
        <w:rPr/>
        <w:t>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pStyle w:val="Normal"/>
        <w:spacing w:before="0" w:after="80"/>
        <w:ind w:firstLine="432"/>
        <w:jc w:val="both"/>
        <w:rPr>
          <w:rFonts w:hint="eastAsia"/>
        </w:rPr>
      </w:pPr>
      <w:r>
        <w:rPr>
          <w:b/>
          <w:color w:val="555555"/>
        </w:rPr>
        <w:t xml:space="preserve">[305]  </w:t>
      </w:r>
      <w:r>
        <w:rPr/>
        <w:t>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pStyle w:val="Normal"/>
        <w:spacing w:before="0" w:after="80"/>
        <w:ind w:firstLine="432"/>
        <w:jc w:val="both"/>
        <w:rPr>
          <w:rFonts w:hint="eastAsia"/>
        </w:rPr>
      </w:pPr>
      <w:r>
        <w:rPr>
          <w:b/>
          <w:color w:val="555555"/>
        </w:rPr>
        <w:t xml:space="preserve">[306]  </w:t>
      </w:r>
      <w:r>
        <w:rPr/>
        <w:t>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pStyle w:val="Normal"/>
        <w:spacing w:before="0" w:after="80"/>
        <w:ind w:firstLine="432"/>
        <w:jc w:val="both"/>
        <w:rPr>
          <w:rFonts w:hint="eastAsia"/>
        </w:rPr>
      </w:pPr>
      <w:r>
        <w:rPr>
          <w:b/>
          <w:color w:val="555555"/>
        </w:rPr>
        <w:t xml:space="preserve">[307]  </w:t>
      </w:r>
      <w:r>
        <w:rPr/>
        <w:t>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pStyle w:val="Normal"/>
        <w:spacing w:before="0" w:after="80"/>
        <w:ind w:firstLine="432"/>
        <w:jc w:val="both"/>
        <w:rPr>
          <w:rFonts w:hint="eastAsia"/>
        </w:rPr>
      </w:pPr>
      <w:r>
        <w:rPr>
          <w:b/>
          <w:color w:val="555555"/>
        </w:rPr>
        <w:t xml:space="preserve">[308]  </w:t>
      </w:r>
      <w:r>
        <w:rPr/>
        <w: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pStyle w:val="Normal"/>
        <w:spacing w:before="0" w:after="80"/>
        <w:ind w:firstLine="432"/>
        <w:jc w:val="both"/>
        <w:rPr>
          <w:rFonts w:hint="eastAsia"/>
        </w:rPr>
      </w:pPr>
      <w:r>
        <w:rPr>
          <w:b/>
          <w:color w:val="555555"/>
        </w:rPr>
        <w:t xml:space="preserve">[309]  </w:t>
      </w:r>
      <w:r>
        <w:rPr/>
        <w:t>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pStyle w:val="Normal"/>
        <w:spacing w:before="0" w:after="80"/>
        <w:ind w:firstLine="432"/>
        <w:jc w:val="both"/>
        <w:rPr>
          <w:rFonts w:hint="eastAsia"/>
        </w:rPr>
      </w:pPr>
      <w:r>
        <w:rPr>
          <w:b/>
          <w:color w:val="555555"/>
        </w:rPr>
        <w:t xml:space="preserve">[310]  </w:t>
      </w:r>
      <w:r>
        <w:rPr/>
        <w: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**Ingestion-time question generation and the author supplemental layer (claims 31–39)**</w:t>
      </w:r>
    </w:p>
    <w:p>
      <w:pPr>
        <w:pStyle w:val="Normal"/>
        <w:spacing w:before="0" w:after="80"/>
        <w:ind w:firstLine="432"/>
        <w:jc w:val="both"/>
        <w:rPr>
          <w:rFonts w:hint="eastAsia"/>
        </w:rPr>
      </w:pPr>
      <w:r>
        <w:rPr>
          <w:b/>
          <w:color w:val="555555"/>
        </w:rPr>
        <w:t xml:space="preserve">[311]  </w:t>
      </w:r>
      <w:r>
        <w:rPr/>
        <w: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pStyle w:val="Normal"/>
        <w:spacing w:before="0" w:after="80"/>
        <w:ind w:firstLine="432"/>
        <w:jc w:val="both"/>
        <w:rPr>
          <w:rFonts w:hint="eastAsia"/>
        </w:rPr>
      </w:pPr>
      <w:r>
        <w:rPr>
          <w:b/>
          <w:color w:val="555555"/>
        </w:rPr>
        <w:t xml:space="preserve">[312]  </w:t>
      </w:r>
      <w:r>
        <w:rPr/>
        <w:t>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pStyle w:val="Normal"/>
        <w:spacing w:before="0" w:after="80"/>
        <w:ind w:firstLine="432"/>
        <w:jc w:val="both"/>
        <w:rPr>
          <w:rFonts w:hint="eastAsia"/>
        </w:rPr>
      </w:pPr>
      <w:r>
        <w:rPr>
          <w:b/>
          <w:color w:val="555555"/>
        </w:rPr>
        <w:t xml:space="preserve">[313]  </w:t>
      </w:r>
      <w:r>
        <w:rPr/>
        <w:t>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pStyle w:val="Normal"/>
        <w:spacing w:before="0" w:after="80"/>
        <w:ind w:firstLine="432"/>
        <w:jc w:val="both"/>
        <w:rPr>
          <w:rFonts w:hint="eastAsia"/>
        </w:rPr>
      </w:pPr>
      <w:r>
        <w:rPr>
          <w:b/>
          <w:color w:val="555555"/>
        </w:rPr>
        <w:t xml:space="preserve">[314]  </w:t>
      </w:r>
      <w:r>
        <w:rPr/>
        <w:t>The method of claim 31, wherein a said candidate question generated by traversal across two or more said knowledge records is a question that no single one of said two or more knowledge records answers alone.</w:t>
      </w:r>
    </w:p>
    <w:p>
      <w:pPr>
        <w:pStyle w:val="Normal"/>
        <w:spacing w:before="0" w:after="80"/>
        <w:ind w:firstLine="432"/>
        <w:jc w:val="both"/>
        <w:rPr>
          <w:rFonts w:hint="eastAsia"/>
        </w:rPr>
      </w:pPr>
      <w:r>
        <w:rPr>
          <w:b/>
          <w:color w:val="555555"/>
        </w:rPr>
        <w:t xml:space="preserve">[315]  </w:t>
      </w:r>
      <w:r>
        <w:rPr/>
        <w:t>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pStyle w:val="Normal"/>
        <w:spacing w:before="0" w:after="80"/>
        <w:ind w:firstLine="432"/>
        <w:jc w:val="both"/>
        <w:rPr>
          <w:rFonts w:hint="eastAsia"/>
        </w:rPr>
      </w:pPr>
      <w:r>
        <w:rPr>
          <w:b/>
          <w:color w:val="555555"/>
        </w:rPr>
        <w:t xml:space="preserve">[316]  </w:t>
      </w:r>
      <w:r>
        <w:rPr/>
        <w:t>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pStyle w:val="Normal"/>
        <w:spacing w:before="0" w:after="80"/>
        <w:ind w:firstLine="432"/>
        <w:jc w:val="both"/>
        <w:rPr>
          <w:rFonts w:hint="eastAsia"/>
        </w:rPr>
      </w:pPr>
      <w:r>
        <w:rPr>
          <w:b/>
          <w:color w:val="555555"/>
        </w:rPr>
        <w:t xml:space="preserve">[317]  </w:t>
      </w:r>
      <w:r>
        <w:rPr/>
        <w:t>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pStyle w:val="Normal"/>
        <w:spacing w:before="0" w:after="80"/>
        <w:ind w:firstLine="432"/>
        <w:jc w:val="both"/>
        <w:rPr>
          <w:rFonts w:hint="eastAsia"/>
        </w:rPr>
      </w:pPr>
      <w:r>
        <w:rPr>
          <w:b/>
          <w:color w:val="555555"/>
        </w:rPr>
        <w:t xml:space="preserve">[318]  </w:t>
      </w:r>
      <w:r>
        <w:rPr/>
        <w:t>The method of claim 37, wherein said derived-inference record is traceable to the knowledge records whose logical entailment said derived-inference record represents, and is not traceable to a single source passage of said digital work.</w:t>
      </w:r>
    </w:p>
    <w:p>
      <w:pPr>
        <w:pStyle w:val="Normal"/>
        <w:spacing w:before="0" w:after="80"/>
        <w:ind w:firstLine="432"/>
        <w:jc w:val="both"/>
        <w:rPr>
          <w:rFonts w:hint="eastAsia"/>
        </w:rPr>
      </w:pPr>
      <w:r>
        <w:rPr>
          <w:b/>
          <w:color w:val="555555"/>
        </w:rPr>
        <w:t xml:space="preserve">[319]  </w:t>
      </w:r>
      <w:r>
        <w:rPr/>
        <w:t>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pStyle w:val="Normal"/>
        <w:spacing w:before="0" w:after="80"/>
        <w:ind w:firstLine="432"/>
        <w:jc w:val="both"/>
        <w:rPr>
          <w:rFonts w:hint="eastAsia"/>
        </w:rPr>
      </w:pPr>
      <w:r>
        <w:rPr>
          <w:b/>
          <w:color w:val="555555"/>
        </w:rPr>
        <w:t xml:space="preserve">[320]  </w:t>
      </w:r>
      <w:r>
        <w:rPr/>
        <w:t>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pStyle w:val="Normal"/>
        <w:spacing w:before="0" w:after="80"/>
        <w:ind w:firstLine="432"/>
        <w:jc w:val="both"/>
        <w:rPr>
          <w:rFonts w:hint="eastAsia"/>
        </w:rPr>
      </w:pPr>
      <w:r>
        <w:rPr>
          <w:b/>
          <w:color w:val="555555"/>
        </w:rPr>
        <w:t xml:space="preserve">[321]  </w:t>
      </w:r>
      <w:r>
        <w:rPr/>
        <w:t>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**Retrieval-phase boundary and sampling criticality control (claims 40–44)**</w:t>
      </w:r>
    </w:p>
    <w:p>
      <w:pPr>
        <w:pStyle w:val="Normal"/>
        <w:spacing w:before="0" w:after="80"/>
        <w:ind w:firstLine="432"/>
        <w:jc w:val="both"/>
        <w:rPr>
          <w:rFonts w:hint="eastAsia"/>
        </w:rPr>
      </w:pPr>
      <w:r>
        <w:rPr>
          <w:b/>
          <w:color w:val="555555"/>
        </w:rPr>
        <w:t xml:space="preserve">[322]  </w:t>
      </w:r>
      <w:r>
        <w:rPr/>
        <w: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pStyle w:val="Normal"/>
        <w:spacing w:before="0" w:after="80"/>
        <w:ind w:firstLine="432"/>
        <w:jc w:val="both"/>
        <w:rPr>
          <w:rFonts w:hint="eastAsia"/>
        </w:rPr>
      </w:pPr>
      <w:r>
        <w:rPr>
          <w:b/>
          <w:color w:val="555555"/>
        </w:rPr>
        <w:t xml:space="preserve">[323]  </w:t>
      </w:r>
      <w:r>
        <w:rPr/>
        <w:t>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pStyle w:val="Normal"/>
        <w:spacing w:before="0" w:after="80"/>
        <w:ind w:firstLine="432"/>
        <w:jc w:val="both"/>
        <w:rPr>
          <w:rFonts w:hint="eastAsia"/>
        </w:rPr>
      </w:pPr>
      <w:r>
        <w:rPr>
          <w:b/>
          <w:color w:val="555555"/>
        </w:rPr>
        <w:t xml:space="preserve">[324]  </w:t>
      </w:r>
      <w:r>
        <w:rPr/>
        <w:t>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pStyle w:val="Normal"/>
        <w:spacing w:before="0" w:after="80"/>
        <w:ind w:firstLine="432"/>
        <w:jc w:val="both"/>
        <w:rPr>
          <w:rFonts w:hint="eastAsia"/>
        </w:rPr>
      </w:pPr>
      <w:r>
        <w:rPr>
          <w:b/>
          <w:color w:val="555555"/>
        </w:rPr>
        <w:t xml:space="preserve">[325]  </w:t>
      </w:r>
      <w:r>
        <w:rPr/>
        <w:t>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pStyle w:val="Normal"/>
        <w:spacing w:before="0" w:after="80"/>
        <w:ind w:firstLine="432"/>
        <w:jc w:val="both"/>
        <w:rPr>
          <w:rFonts w:hint="eastAsia"/>
        </w:rPr>
      </w:pPr>
      <w:r>
        <w:rPr>
          <w:b/>
          <w:color w:val="555555"/>
        </w:rPr>
        <w:t xml:space="preserve">[326]  </w:t>
      </w:r>
      <w:r>
        <w:rPr/>
        <w:t>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**Wording-operative spans and idiom equivalence (claims 50–53)**</w:t>
      </w:r>
    </w:p>
    <w:p>
      <w:pPr>
        <w:pStyle w:val="Normal"/>
        <w:spacing w:before="0" w:after="80"/>
        <w:ind w:firstLine="432"/>
        <w:jc w:val="both"/>
        <w:rPr>
          <w:rFonts w:hint="eastAsia"/>
        </w:rPr>
      </w:pPr>
      <w:r>
        <w:rPr>
          <w:b/>
          <w:color w:val="555555"/>
        </w:rPr>
        <w:t xml:space="preserve">[327]  </w:t>
      </w:r>
      <w:r>
        <w:rPr/>
        <w: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pStyle w:val="Normal"/>
        <w:spacing w:before="0" w:after="80"/>
        <w:ind w:firstLine="432"/>
        <w:jc w:val="both"/>
        <w:rPr>
          <w:rFonts w:hint="eastAsia"/>
        </w:rPr>
      </w:pPr>
      <w:r>
        <w:rPr>
          <w:b/>
          <w:color w:val="555555"/>
        </w:rPr>
        <w:t xml:space="preserve">[328]  </w:t>
      </w:r>
      <w:r>
        <w:rPr/>
        <w:t>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pStyle w:val="Normal"/>
        <w:spacing w:before="0" w:after="80"/>
        <w:ind w:firstLine="432"/>
        <w:jc w:val="both"/>
        <w:rPr>
          <w:rFonts w:hint="eastAsia"/>
        </w:rPr>
      </w:pPr>
      <w:r>
        <w:rPr>
          <w:b/>
          <w:color w:val="555555"/>
        </w:rPr>
        <w:t xml:space="preserve">[329]  </w:t>
      </w:r>
      <w:r>
        <w:rPr/>
        <w:t>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pStyle w:val="Normal"/>
        <w:spacing w:before="0" w:after="80"/>
        <w:ind w:firstLine="432"/>
        <w:jc w:val="both"/>
        <w:rPr>
          <w:rFonts w:hint="eastAsia"/>
        </w:rPr>
      </w:pPr>
      <w:r>
        <w:rPr>
          <w:b/>
          <w:color w:val="555555"/>
        </w:rPr>
        <w:t xml:space="preserve">[330]  </w:t>
      </w:r>
      <w:r>
        <w:rPr/>
        <w:t>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**Linguistic resource registry and derived-artifact-only ingestion (claims 54–57)**</w:t>
      </w:r>
    </w:p>
    <w:p>
      <w:pPr>
        <w:pStyle w:val="Normal"/>
        <w:spacing w:before="0" w:after="80"/>
        <w:ind w:firstLine="432"/>
        <w:jc w:val="both"/>
        <w:rPr>
          <w:rFonts w:hint="eastAsia"/>
        </w:rPr>
      </w:pPr>
      <w:r>
        <w:rPr>
          <w:b/>
          <w:color w:val="555555"/>
        </w:rPr>
        <w:t xml:space="preserve">[331]  </w:t>
      </w:r>
      <w:r>
        <w:rPr/>
        <w: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Normal"/>
        <w:spacing w:before="0" w:after="80"/>
        <w:ind w:firstLine="432"/>
        <w:jc w:val="both"/>
        <w:rPr>
          <w:rFonts w:hint="eastAsia"/>
        </w:rPr>
      </w:pPr>
      <w:r>
        <w:rPr>
          <w:b/>
          <w:color w:val="555555"/>
        </w:rPr>
        <w:t xml:space="preserve">[332]  </w:t>
      </w:r>
      <w:r>
        <w:rPr/>
        <w:t>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pStyle w:val="Normal"/>
        <w:spacing w:before="0" w:after="80"/>
        <w:ind w:firstLine="432"/>
        <w:jc w:val="both"/>
        <w:rPr>
          <w:rFonts w:hint="eastAsia"/>
        </w:rPr>
      </w:pPr>
      <w:r>
        <w:rPr>
          <w:b/>
          <w:color w:val="555555"/>
        </w:rPr>
        <w:t xml:space="preserve">[333]  </w:t>
      </w:r>
      <w:r>
        <w:rPr/>
        <w:t>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pStyle w:val="Normal"/>
        <w:spacing w:before="0" w:after="80"/>
        <w:ind w:firstLine="432"/>
        <w:jc w:val="both"/>
        <w:rPr>
          <w:rFonts w:hint="eastAsia"/>
        </w:rPr>
      </w:pPr>
      <w:r>
        <w:rPr>
          <w:b/>
          <w:color w:val="555555"/>
        </w:rPr>
        <w:t xml:space="preserve">[334]  </w:t>
      </w:r>
      <w:r>
        <w:rPr/>
        <w:t>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pStyle w:val="Normal"/>
        <w:spacing w:before="0" w:after="80"/>
        <w:ind w:firstLine="432"/>
        <w:jc w:val="both"/>
        <w:rPr>
          <w:rFonts w:hint="eastAsia"/>
        </w:rPr>
      </w:pPr>
      <w:r>
        <w:rPr>
          <w:b/>
          <w:color w:val="555555"/>
        </w:rPr>
        <w:t xml:space="preserve">[335]  </w:t>
      </w:r>
      <w:r>
        <w:rPr/>
        <w:t>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pStyle w:val="Normal"/>
        <w:spacing w:before="0" w:after="80"/>
        <w:ind w:firstLine="432"/>
        <w:jc w:val="both"/>
        <w:rPr>
          <w:rFonts w:hint="eastAsia"/>
        </w:rPr>
      </w:pPr>
      <w:r>
        <w:rPr>
          <w:b/>
          <w:color w:val="555555"/>
        </w:rPr>
        <w:t xml:space="preserve">[336]  </w:t>
      </w:r>
      <w:r>
        <w:rPr/>
        <w:t>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pStyle w:val="Normal"/>
        <w:spacing w:before="0" w:after="80"/>
        <w:ind w:firstLine="432"/>
        <w:jc w:val="both"/>
        <w:rPr>
          <w:rFonts w:hint="eastAsia"/>
        </w:rPr>
      </w:pPr>
      <w:r>
        <w:rPr>
          <w:b/>
          <w:color w:val="555555"/>
        </w:rPr>
        <w:t xml:space="preserve">[337]  </w:t>
      </w:r>
      <w:r>
        <w:rPr/>
        <w:t>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pStyle w:val="Normal"/>
        <w:spacing w:before="0" w:after="80"/>
        <w:ind w:firstLine="432"/>
        <w:jc w:val="both"/>
        <w:rPr>
          <w:rFonts w:hint="eastAsia"/>
        </w:rPr>
      </w:pPr>
      <w:r>
        <w:rPr>
          <w:b/>
          <w:color w:val="555555"/>
        </w:rPr>
        <w:t xml:space="preserve">[338]  </w:t>
      </w:r>
      <w:r>
        <w:rPr/>
        <w:t>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**Deployment topology, module replacement and substrate independence (claims 174–182)**</w:t>
      </w:r>
    </w:p>
    <w:p>
      <w:pPr>
        <w:pStyle w:val="Normal"/>
        <w:spacing w:before="0" w:after="80"/>
        <w:ind w:firstLine="432"/>
        <w:jc w:val="both"/>
        <w:rPr>
          <w:rFonts w:hint="eastAsia"/>
        </w:rPr>
      </w:pPr>
      <w:r>
        <w:rPr>
          <w:b/>
          <w:color w:val="555555"/>
        </w:rPr>
        <w:t xml:space="preserve">[339]  </w:t>
      </w:r>
      <w:r>
        <w:rPr/>
        <w:t>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pStyle w:val="Normal"/>
        <w:spacing w:before="0" w:after="80"/>
        <w:ind w:firstLine="432"/>
        <w:jc w:val="both"/>
        <w:rPr>
          <w:rFonts w:hint="eastAsia"/>
        </w:rPr>
      </w:pPr>
      <w:r>
        <w:rPr>
          <w:b/>
          <w:color w:val="555555"/>
        </w:rPr>
        <w:t xml:space="preserve">[340]  </w:t>
      </w:r>
      <w:r>
        <w:rPr/>
        <w:t>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pStyle w:val="Normal"/>
        <w:spacing w:before="0" w:after="80"/>
        <w:ind w:firstLine="432"/>
        <w:jc w:val="both"/>
        <w:rPr>
          <w:rFonts w:hint="eastAsia"/>
        </w:rPr>
      </w:pPr>
      <w:r>
        <w:rPr>
          <w:b/>
          <w:color w:val="555555"/>
        </w:rPr>
        <w:t xml:space="preserve">[341]  </w:t>
      </w:r>
      <w:r>
        <w:rPr/>
        <w:t>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**Event type catalogue, environment vectors and causal validation (claims 119–124)**</w:t>
      </w:r>
    </w:p>
    <w:p>
      <w:pPr>
        <w:pStyle w:val="Normal"/>
        <w:rPr>
          <w:rFonts w:hint="eastAsia"/>
        </w:rPr>
      </w:pPr>
      <w:r>
        <w:rPr>
          <w:b/>
          <w:color w:val="1A2235"/>
        </w:rPr>
        <w:t xml:space="preserve">— </w:t>
      </w:r>
      <w:r>
        <w:rPr>
          <w:b/>
          <w:color w:val="1A2235"/>
        </w:rPr>
        <w:t>New claims 342–354 (Passes 117–118) —</w:t>
      </w:r>
    </w:p>
    <w:p>
      <w:pPr>
        <w:pStyle w:val="Normal"/>
        <w:spacing w:before="0" w:after="100"/>
        <w:ind w:firstLine="432"/>
        <w:jc w:val="both"/>
        <w:rPr>
          <w:rFonts w:hint="eastAsia"/>
        </w:rPr>
      </w:pPr>
      <w:r>
        <w:rPr>
          <w:b/>
        </w:rPr>
        <w:t xml:space="preserve">342.  </w:t>
      </w:r>
      <w:r>
        <w:rPr/>
        <w:t>A computer-implemented method as in claim 1, wherein each knowledge record is expressed in a formal, language-independent assertion notation whose vocabulary is a governed predicate catalogue, whose grammar is a fixed record schema, and whose identity function is a semantic fingerprint, such that two statements asserting the same proposition in different natural languages resolve to the same statement, and a candidate not conforming to said notation is refused at admission.</w:t>
      </w:r>
    </w:p>
    <w:p>
      <w:pPr>
        <w:pStyle w:val="Normal"/>
        <w:spacing w:before="0" w:after="100"/>
        <w:ind w:firstLine="432"/>
        <w:jc w:val="both"/>
        <w:rPr>
          <w:rFonts w:hint="eastAsia"/>
        </w:rPr>
      </w:pPr>
      <w:r>
        <w:rPr>
          <w:b/>
        </w:rPr>
        <w:t xml:space="preserve">343.  </w:t>
      </w:r>
      <w:r>
        <w:rPr/>
        <w:t>The method of claim 1, further comprising maintaining procedural knowledge as provenance-tracked procedural concept models formed from repeated observation, including sensory experience and ingested video, said procedural concept models informing scenario simulation and equipment-control command compilation while never themselves emitting a command.</w:t>
      </w:r>
    </w:p>
    <w:p>
      <w:pPr>
        <w:pStyle w:val="Normal"/>
        <w:spacing w:before="0" w:after="100"/>
        <w:ind w:firstLine="432"/>
        <w:jc w:val="both"/>
        <w:rPr>
          <w:rFonts w:hint="eastAsia"/>
        </w:rPr>
      </w:pPr>
      <w:r>
        <w:rPr>
          <w:b/>
        </w:rPr>
        <w:t xml:space="preserve">344.  </w:t>
      </w:r>
      <w:r>
        <w:rPr/>
        <w:t>The method of claim 1, further comprising decomposing an uncertainty of a knowledge record into an epistemic component and an aleatory component each carrying explicit sub-parameters, and terminating an evidence-accumulation loop upon a condition defined over said components.</w:t>
      </w:r>
    </w:p>
    <w:p>
      <w:pPr>
        <w:pStyle w:val="Normal"/>
        <w:spacing w:before="0" w:after="100"/>
        <w:ind w:firstLine="432"/>
        <w:jc w:val="both"/>
        <w:rPr>
          <w:rFonts w:hint="eastAsia"/>
        </w:rPr>
      </w:pPr>
      <w:r>
        <w:rPr>
          <w:b/>
        </w:rPr>
        <w:t xml:space="preserve">345.  </w:t>
      </w:r>
      <w:r>
        <w:rPr/>
        <w:t>The method of claim 1, wherein a knowledge record carries an explicit assertion-polarity field, and said polarity participates in the semantic fingerprint such that an assertion and its negation are distinguished.</w:t>
      </w:r>
    </w:p>
    <w:p>
      <w:pPr>
        <w:pStyle w:val="Normal"/>
        <w:spacing w:before="0" w:after="100"/>
        <w:ind w:firstLine="432"/>
        <w:jc w:val="both"/>
        <w:rPr>
          <w:rFonts w:hint="eastAsia"/>
        </w:rPr>
      </w:pPr>
      <w:r>
        <w:rPr>
          <w:b/>
        </w:rPr>
        <w:t xml:space="preserve">346.  </w:t>
      </w:r>
      <w:r>
        <w:rPr/>
        <w:t>The method of claim 1, further comprising representing an assertion of more than two participants as a native n-ary structure under a single identifier, a single semantic fingerprint, and a single evidence pair.</w:t>
      </w:r>
    </w:p>
    <w:p>
      <w:pPr>
        <w:pStyle w:val="Normal"/>
        <w:spacing w:before="0" w:after="100"/>
        <w:ind w:firstLine="432"/>
        <w:jc w:val="both"/>
        <w:rPr>
          <w:rFonts w:hint="eastAsia"/>
        </w:rPr>
      </w:pPr>
      <w:r>
        <w:rPr>
          <w:b/>
        </w:rPr>
        <w:t xml:space="preserve">347.  </w:t>
      </w:r>
      <w:r>
        <w:rPr/>
        <w:t>The method of claim 1, wherein a knowledge record carries an applicability-scope field constituting a record-side complement of a context lock, and a contradiction between two records is evaluated within scope-aware conflict slots defined by said field.</w:t>
      </w:r>
    </w:p>
    <w:p>
      <w:pPr>
        <w:pStyle w:val="Normal"/>
        <w:spacing w:before="0" w:after="100"/>
        <w:ind w:firstLine="432"/>
        <w:jc w:val="both"/>
        <w:rPr>
          <w:rFonts w:hint="eastAsia"/>
        </w:rPr>
      </w:pPr>
      <w:r>
        <w:rPr>
          <w:b/>
        </w:rPr>
        <w:t xml:space="preserve">348.  </w:t>
      </w:r>
      <w:r>
        <w:rPr/>
        <w:t>The method of claim 1, further comprising maintaining an immutable adjustment-history layer recording each adjustment to a confidence value, whereby said confidence value is deterministically replayable from the record content and an observation stream.</w:t>
      </w:r>
    </w:p>
    <w:p>
      <w:pPr>
        <w:pStyle w:val="Normal"/>
        <w:spacing w:before="0" w:after="100"/>
        <w:ind w:firstLine="432"/>
        <w:jc w:val="both"/>
        <w:rPr>
          <w:rFonts w:hint="eastAsia"/>
        </w:rPr>
      </w:pPr>
      <w:r>
        <w:rPr>
          <w:b/>
        </w:rPr>
        <w:t xml:space="preserve">349.  </w:t>
      </w:r>
      <w:r>
        <w:rPr/>
        <w:t>The method of claim 1, further comprising hash-linking each superseding version of a knowledge record to its predecessor in a cryptographic integrity chain, without a distributed ledger, token, or ownership-identity node.</w:t>
      </w:r>
    </w:p>
    <w:p>
      <w:pPr>
        <w:pStyle w:val="Normal"/>
        <w:spacing w:before="0" w:after="100"/>
        <w:ind w:firstLine="432"/>
        <w:jc w:val="both"/>
        <w:rPr>
          <w:rFonts w:hint="eastAsia"/>
        </w:rPr>
      </w:pPr>
      <w:r>
        <w:rPr>
          <w:b/>
        </w:rPr>
        <w:t xml:space="preserve">350.  </w:t>
      </w:r>
      <w:r>
        <w:rPr/>
        <w:t>The method of claim 1, further comprising serializing a knowledge record in a canonical compact encoding for micro-embedded and offline deployment, said canonical compact encoding yielding an identifier and a semantic fingerprint identical to those of a full form of the record.</w:t>
      </w:r>
    </w:p>
    <w:p>
      <w:pPr>
        <w:pStyle w:val="Normal"/>
        <w:spacing w:before="0" w:after="100"/>
        <w:ind w:firstLine="432"/>
        <w:jc w:val="both"/>
        <w:rPr>
          <w:rFonts w:hint="eastAsia"/>
        </w:rPr>
      </w:pPr>
      <w:r>
        <w:rPr>
          <w:b/>
        </w:rPr>
        <w:t xml:space="preserve">351.  </w:t>
      </w:r>
      <w:r>
        <w:rPr/>
        <w:t>The method of claim 350, wherein said canonical compact encoding constitutes the record's at-rest and wire form fused to the record and not to any store, said encoding being self-describing.</w:t>
      </w:r>
    </w:p>
    <w:p>
      <w:pPr>
        <w:pStyle w:val="Normal"/>
        <w:spacing w:before="0" w:after="100"/>
        <w:ind w:firstLine="432"/>
        <w:jc w:val="both"/>
        <w:rPr>
          <w:rFonts w:hint="eastAsia"/>
        </w:rPr>
      </w:pPr>
      <w:r>
        <w:rPr>
          <w:b/>
        </w:rPr>
        <w:t xml:space="preserve">352.  </w:t>
      </w:r>
      <w:r>
        <w:rPr/>
        <w:t>The method of claim 351, further comprising storing the encoded record in a host store as an opaque value that the host store does not parse, index, or interpret, an obligation of the host store being to accept and return bytes.</w:t>
      </w:r>
    </w:p>
    <w:p>
      <w:pPr>
        <w:pStyle w:val="Normal"/>
        <w:spacing w:before="0" w:after="100"/>
        <w:ind w:firstLine="432"/>
        <w:jc w:val="both"/>
        <w:rPr>
          <w:rFonts w:hint="eastAsia"/>
        </w:rPr>
      </w:pPr>
      <w:r>
        <w:rPr>
          <w:b/>
        </w:rPr>
        <w:t xml:space="preserve">353.  </w:t>
      </w:r>
      <w:r>
        <w:rPr/>
        <w:t>The method of claim 352, further comprising expressing a query internally over the record and translating said query at an adapter into a native query language of the host store, whereby the host store never receives the internal query form.</w:t>
      </w:r>
    </w:p>
    <w:p>
      <w:pPr>
        <w:pStyle w:val="Normal"/>
        <w:spacing w:before="0" w:after="100"/>
        <w:ind w:firstLine="432"/>
        <w:jc w:val="both"/>
        <w:rPr>
          <w:rFonts w:hint="eastAsia"/>
        </w:rPr>
      </w:pPr>
      <w:r>
        <w:rPr>
          <w:b/>
        </w:rPr>
        <w:t xml:space="preserve">354.  </w:t>
      </w:r>
      <w:r>
        <w:rPr/>
        <w:t>The method of claim 351, further comprising carrying an integrity hash chain, an in-record safety classification and access-control list, and an elected zero-knowledge encryption with the encoded record across a storage boundary, whereby the host store can neither read, reorder, nor leak a meaning of the record.</w:t>
      </w:r>
    </w:p>
    <w:p>
      <w:pPr>
        <w:pStyle w:val="Normal"/>
        <w:spacing w:before="0" w:after="100"/>
        <w:ind w:firstLine="432"/>
        <w:jc w:val="both"/>
        <w:rPr>
          <w:rFonts w:hint="eastAsia"/>
        </w:rPr>
      </w:pPr>
      <w:r>
        <w:rPr>
          <w:b/>
        </w:rPr>
        <w:t xml:space="preserve">355.  </w:t>
      </w:r>
      <w:r>
        <w:rPr/>
        <w:t xml:space="preserve">A method of verifying communications of an artificial-intelligence agent, comprising: receiving, at a relay interposed between the agent and a network, a message sent by the agent; encoding the message as one or more frames each having a header that identifies a message type, at least one frame carrying a factual statement expressed as a Fact Unit having a content fingerprint; determining, at a verification service, a verdict for the Fact Unit by looking up said fingerprint among certified Fact Units and, absent a match, executing a query for certified Fact Units having the same subject and predicate and a conflicting value; transmitting a signed verdict frame on a control lane separate from the lane carrying the message; appending the frame and the verdict to a hash-chained record; and issuing, at the end of a session, a session certificate stating counts of verdicts and a Merkle root over the hash-chained record.</w:t>
      </w:r>
    </w:p>
    <w:p>
      <w:pPr>
        <w:pStyle w:val="Normal"/>
        <w:spacing w:before="0" w:after="100"/>
        <w:ind w:firstLine="432"/>
        <w:jc w:val="both"/>
        <w:rPr>
          <w:rFonts w:hint="eastAsia"/>
        </w:rPr>
      </w:pPr>
      <w:r>
        <w:rPr>
          <w:b/>
        </w:rPr>
        <w:t xml:space="preserve">356.  </w:t>
      </w:r>
      <w:r>
        <w:rPr/>
        <w:t xml:space="preserve">The method of claim 355, wherein a message containing a Fact Unit whose verdict is contradicted is blocked, held for review, or forwarded with an annotation identifying the certified Fact Units that contradict it.</w:t>
      </w:r>
    </w:p>
    <w:p>
      <w:pPr>
        <w:pStyle w:val="Normal"/>
        <w:spacing w:before="0" w:after="100"/>
        <w:ind w:firstLine="432"/>
        <w:jc w:val="both"/>
        <w:rPr>
          <w:rFonts w:hint="eastAsia"/>
        </w:rPr>
      </w:pPr>
      <w:r>
        <w:rPr>
          <w:b/>
        </w:rPr>
        <w:t xml:space="preserve">357.  </w:t>
      </w:r>
      <w:r>
        <w:rPr/>
        <w:t xml:space="preserve">The method of claim 355, further comprising receiving from the agent an intent frame declaring a tool, a target and a purpose; comparing each subsequent action frame with the declared intent; comparing each result reported by the agent with a record returned by the tool; and issuing a contradicted verdict upon a mismatch.</w:t>
      </w:r>
    </w:p>
    <w:p>
      <w:pPr>
        <w:pStyle w:val="Normal"/>
        <w:spacing w:before="0" w:after="100"/>
        <w:ind w:firstLine="432"/>
        <w:jc w:val="both"/>
        <w:rPr>
          <w:rFonts w:hint="eastAsia"/>
        </w:rPr>
      </w:pPr>
      <w:r>
        <w:rPr>
          <w:b/>
        </w:rPr>
        <w:t xml:space="preserve">358.  </w:t>
      </w:r>
      <w:r>
        <w:rPr/>
        <w:t xml:space="preserve">The method of claim 355, further comprising exchanging between relays have and want frames identifying fingerprints held and needed, represented as a Bloom filter when their number exceeds a threshold, and transmitting only Fact Units identified as needed.</w:t>
      </w:r>
    </w:p>
    <w:p>
      <w:pPr>
        <w:pStyle w:val="Normal"/>
        <w:spacing w:before="0" w:after="100"/>
        <w:ind w:firstLine="432"/>
        <w:jc w:val="both"/>
        <w:rPr>
          <w:rFonts w:hint="eastAsia"/>
        </w:rPr>
      </w:pPr>
      <w:r>
        <w:rPr>
          <w:b/>
        </w:rPr>
        <w:t xml:space="preserve">359.  </w:t>
      </w:r>
      <w:r>
        <w:rPr/>
        <w:t xml:space="preserve">The method of claim 355, wherein in a privacy mode the relay transmits fingerprints without message content and the verdict is determined from the fingerprints alone.</w:t>
      </w:r>
    </w:p>
    <w:p>
      <w:pPr>
        <w:pStyle w:val="Normal"/>
        <w:spacing w:before="0" w:after="100"/>
        <w:ind w:firstLine="432"/>
        <w:jc w:val="both"/>
        <w:rPr>
          <w:rFonts w:hint="eastAsia"/>
        </w:rPr>
      </w:pPr>
      <w:r>
        <w:rPr>
          <w:b/>
        </w:rPr>
        <w:t xml:space="preserve">360.  </w:t>
      </w:r>
      <w:r>
        <w:rPr/>
        <w:t xml:space="preserve">The method of claim 355, wherein the control lane, a normal lane and a bulk lane are carried as independent streams of a QUIC connection, and, where QUIC is unavailable, as separate connections over TLS on TCP.</w:t>
      </w:r>
    </w:p>
    <w:p>
      <w:pPr>
        <w:pStyle w:val="Normal"/>
        <w:spacing w:before="0" w:after="100"/>
        <w:ind w:firstLine="432"/>
        <w:jc w:val="both"/>
        <w:rPr>
          <w:rFonts w:hint="eastAsia"/>
        </w:rPr>
      </w:pPr>
      <w:r>
        <w:rPr>
          <w:b/>
        </w:rPr>
        <w:t xml:space="preserve">361.  </w:t>
      </w:r>
      <w:r>
        <w:rPr/>
        <w:t xml:space="preserve">The method of claim 355, wherein the relay is a sidecar co-located with the agent, outbound network access of the agent is restricted by an egress rule to the sidecar, and the sidecar translates Model Context Protocol, agent-to-agent and HTTP traffic into said frames.</w:t>
      </w:r>
    </w:p>
    <w:p>
      <w:pPr>
        <w:pStyle w:val="Normal"/>
        <w:spacing w:before="0" w:after="100"/>
        <w:ind w:firstLine="432"/>
        <w:jc w:val="both"/>
        <w:rPr>
          <w:rFonts w:hint="eastAsia"/>
        </w:rPr>
      </w:pPr>
      <w:r>
        <w:rPr>
          <w:b/>
        </w:rPr>
        <w:t xml:space="preserve">362.  </w:t>
      </w:r>
      <w:r>
        <w:rPr/>
        <w:t xml:space="preserve">The method of claim 355, wherein the session certificate further states a coverage measure equal to the share of factual statements in the session that were verified or contradicted, statements not checked being reported as unchecked.</w:t>
      </w:r>
    </w:p>
    <w:p>
      <w:pPr>
        <w:pStyle w:val="Normal"/>
        <w:spacing w:before="0" w:after="100"/>
        <w:ind w:firstLine="432"/>
        <w:jc w:val="both"/>
        <w:rPr>
          <w:rFonts w:hint="eastAsia"/>
        </w:rPr>
      </w:pPr>
      <w:r>
        <w:rPr>
          <w:b/>
        </w:rPr>
        <w:t xml:space="preserve">363.  </w:t>
      </w:r>
      <w:r>
        <w:rPr/>
        <w:t xml:space="preserve">The method of claim 355, further comprising maintaining for the agent an evidence pair of verified and contradicted counts, computing a reputation from said pair, and restricting or isolating the agent when the reputation falls below a threshold.</w:t>
      </w:r>
    </w:p>
    <w:p>
      <w:pPr>
        <w:pStyle w:val="Normal"/>
        <w:spacing w:before="0" w:after="100"/>
        <w:ind w:firstLine="432"/>
        <w:jc w:val="both"/>
        <w:rPr>
          <w:rFonts w:hint="eastAsia"/>
        </w:rPr>
      </w:pPr>
      <w:r>
        <w:rPr>
          <w:b/>
        </w:rPr>
        <w:t xml:space="preserve">364.  </w:t>
      </w:r>
      <w:r>
        <w:rPr/>
        <w:t xml:space="preserve">The method of claim 355, wherein the session certificate is sealed as a Fact Unit, is optionally anchored to a public ledger, and is verifiable by a party holding neither the agent nor the verification service.</w:t>
      </w:r>
    </w:p>
    <w:p>
      <w:pPr>
        <w:pStyle w:val="Normal"/>
        <w:spacing w:before="0" w:after="100"/>
        <w:ind w:firstLine="432"/>
        <w:jc w:val="both"/>
        <w:rPr>
          <w:rFonts w:hint="eastAsia"/>
        </w:rPr>
      </w:pPr>
      <w:r>
        <w:rPr>
          <w:b/>
        </w:rPr>
        <w:t xml:space="preserve">365.  </w:t>
      </w:r>
      <w:r>
        <w:rPr/>
        <w:t xml:space="preserve">A non-transitory computer-readable medium storing instructions that, when executed by one or more processors, cause the processors to perform the method of any one of claims 355 to 364.</w:t>
      </w:r>
    </w:p>
    <w:p>
      <w:pPr>
        <w:pStyle w:val="Normal"/>
        <w:spacing w:before="0" w:after="120"/>
        <w:jc w:val="both"/>
      </w:pPr>
      <w:r>
        <w:rPr>
          <w:rFonts w:ascii="Times New Roman" w:hAnsi="Times New Roman"/>
          <w:i/>
          <w:sz w:val="24"/>
          <w:szCs w:val="24"/>
        </w:rPr>
        <w:t xml:space="preserve">[Drafting note: claims 355–365 are added for Verified Agent Transport (FIG. 56–57); the claim count in the Claim Set heading is to be read as 365.]</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hint="eastAsia"/>
        </w:rPr>
      </w:pPr>
      <w:r>
        <w:rPr>
          <w:rFonts w:hint="eastAsia"/>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Fonts w:ascii="Times New Roman" w:hAnsi="Times New Roman"/>
          <w:sz w:val="24"/>
          <w:szCs w:val="24"/>
        </w:rPr>
      </w:pPr>
      <w:bookmarkStart w:id="10" w:name="__RefHeading___Toc46822_805184229"/>
      <w:bookmarkEnd w:id="10"/>
      <w:r>
        <w:rPr>
          <w:rFonts w:ascii="Times New Roman" w:hAnsi="Times New Roman"/>
          <w:sz w:val="24"/>
          <w:szCs w:val="24"/>
        </w:rPr>
        <w:t>ABSTRACT</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jc w:val="both"/>
        <w:rPr/>
      </w:pPr>
      <w:r>
        <w:rPr/>
        <w:t>QueryBook represents a new model of AI - a synthetic cortex and deterministic world</w:t>
        <w:noBreakHyphen/>
        <w:t xml:space="preserve">model AI engine built on a new primitive—the Fact Unit, an atomic sub-language semantic unit. QueryBook’s engine provides neuromorphic reasoning, multimodal cognition, and an open, flexible architecture. It represents a new paradigm in AI—one that is structured, explainable, multimodal, and universally deployable across virtually every current AI application. QueryBook’s ability can be micro-encapsulated for Q&amp;A of single or multiple books and documents in smart devices, used for data analysis, and provide SaaS, ChatBot, Agent, deterministic hybrid additions to current LLMs, specialized  LLM-like applications including private AI computational and analysis systems (within option for live data inputs) for those with specialized knowledge, plus unique Fact Unit compressed data search engine capability that can operate alone for specialized fields or as adjunct to current search engines to off load centralized data computation, storage and transmission costs -- bringing to each application a distinct and measurable set of advantages. </w:t>
      </w:r>
    </w:p>
    <w:p>
      <w:pPr>
        <w:pStyle w:val="Normal"/>
        <w:jc w:val="both"/>
        <w:rPr/>
      </w:pPr>
      <w:r>
        <w:rPr/>
        <w:t xml:space="preserve"> </w:t>
      </w:r>
      <w:r>
        <w:rPr/>
        <w:t>These deployment models have modular capability editions (light, medium, and full) selectable at launch, and with a version-independent, provenance-continuous data store that keeps collected Fact Units in one fixed location so that software upgrades never lose or orphan previously harvested facts. QueryBook transforms digital content into a coherent, navigable, intelligent world</w:t>
        <w:noBreakHyphen/>
        <w:t>model, enabling users to understand, explore, and apply knowledge with unprecedented clarity and precision with option for speech recognition and natural language response that includes emotional inflection as if hearing a human voice-- deterministic, non-hallucinogenic, with citations. Across all applications, internal controls ensure humanistic action and prohibition of rogue actions, and its innovative multi- layer security infrastructure provides a model for AI and computer systems offering an anti-intrusion shield against viral attacks including Agent Worms. Further additions strengthen this security and integrity posture: an independent Universal Integrity Audit Service (UIAS) produces pre-dispute, tamper-evident proof over the content-addressed Fact Unit ledger for a third party's system, returning only a factual determination (verified, contradicted, or unknown) and never a legal conclusion; and a key-safe external-service mediation layer holds any external-service credential on the server side of the query/presentation boundary so it is never exposed to a client.</w:t>
      </w:r>
      <w:r>
        <w:rPr>
          <w:highlight w:val="yellow"/>
        </w:rPr>
        <w:t xml:space="preserve"> This protection is extended to AI agents: every agent call passes a single gateway with traps and an AI-aware firewall, a hostile caller is isolated in a decoy with no path to real data, security decisions are sealed in a tamper-evident log, and Fact Units may optionally be certified on a public blockchain for independent verification.</w:t>
      </w:r>
    </w:p>
    <w:p>
      <w:pPr>
        <w:pStyle w:val="Normal"/>
        <w:jc w:val="both"/>
        <w:rPr/>
      </w:pPr>
      <w:r>
        <w:rPr/>
        <w:t>QueryBook Fact Unit graph structure simultaneously permits a (a) new level of enhanced multi-language provision and translation that includes deterministic, dictionary-grounded multilingual acquisition and offline speech with no large language model in the grounding path, regional Dialect Parameter Clusters, a Lecture Query mode that ingests a live or recorded talk as attributed utterances (never promoted to world-truth), (b) Scene Director and Scene Reconstructor that assemble grounded video prompts and reconstruct scenes from prose with all generated media clearly marked as reconstruction, (c) simplified colorization capability, (d) video and audio compression benefits for security applications, video expansion (not yet tested) and, (e) a new Fact Unit based, enhanced TCP/IP hybrid protocol carrying Fact Unit identifiers and provenance references alongside network payload data.</w:t>
      </w:r>
      <w:r>
        <w:rPr>
          <w:highlight w:val="yellow"/>
        </w:rPr>
        <w:t xml:space="preserve"> Files of any format can be ingested as data, never as instructions, and external AI agents such as OpenClaw connect through a standard tool interface limited to their allow-list. </w:t>
      </w:r>
      <w:r>
        <w:rPr/>
        <w:t>QueryBooks Fact Unit graph architecture also reduces data storage by orders of magnitude, works on commodity server or product hardware, and in larger complex application significantly reduce power consumption, cooling costs and deployment real estate.</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ascii="Times New Roman" w:hAnsi="Times New Roman"/>
        </w:rPr>
      </w:pPr>
      <w:r>
        <w:rPr>
          <w:rFonts w:ascii="Times New Roman" w:hAnsi="Times New Roman"/>
        </w:rPr>
        <w:b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420" w:hanging="360"/>
      </w:pPr>
      <w:rPr/>
    </w:lvl>
    <w:lvl w:ilvl="1">
      <w:start w:val="1"/>
      <w:numFmt w:val="lowerLetter"/>
      <w:lvlText w:val="%2."/>
      <w:lvlJc w:val="start"/>
      <w:pPr>
        <w:tabs>
          <w:tab w:val="num" w:pos="0"/>
        </w:tabs>
        <w:ind w:start="1140" w:hanging="360"/>
      </w:pPr>
      <w:rPr/>
    </w:lvl>
    <w:lvl w:ilvl="2">
      <w:start w:val="1"/>
      <w:numFmt w:val="lowerRoman"/>
      <w:lvlText w:val="%3."/>
      <w:lvlJc w:val="end"/>
      <w:pPr>
        <w:tabs>
          <w:tab w:val="num" w:pos="0"/>
        </w:tabs>
        <w:ind w:start="1860" w:hanging="180"/>
      </w:pPr>
      <w:rPr/>
    </w:lvl>
    <w:lvl w:ilvl="3">
      <w:start w:val="1"/>
      <w:numFmt w:val="decimal"/>
      <w:lvlText w:val="%4."/>
      <w:lvlJc w:val="start"/>
      <w:pPr>
        <w:tabs>
          <w:tab w:val="num" w:pos="0"/>
        </w:tabs>
        <w:ind w:start="2580" w:hanging="360"/>
      </w:pPr>
      <w:rPr/>
    </w:lvl>
    <w:lvl w:ilvl="4">
      <w:start w:val="1"/>
      <w:numFmt w:val="lowerLetter"/>
      <w:lvlText w:val="%5."/>
      <w:lvlJc w:val="start"/>
      <w:pPr>
        <w:tabs>
          <w:tab w:val="num" w:pos="0"/>
        </w:tabs>
        <w:ind w:start="3300" w:hanging="360"/>
      </w:pPr>
      <w:rPr/>
    </w:lvl>
    <w:lvl w:ilvl="5">
      <w:start w:val="1"/>
      <w:numFmt w:val="lowerRoman"/>
      <w:lvlText w:val="%6."/>
      <w:lvlJc w:val="end"/>
      <w:pPr>
        <w:tabs>
          <w:tab w:val="num" w:pos="0"/>
        </w:tabs>
        <w:ind w:start="4020" w:hanging="180"/>
      </w:pPr>
      <w:rPr/>
    </w:lvl>
    <w:lvl w:ilvl="6">
      <w:start w:val="1"/>
      <w:numFmt w:val="decimal"/>
      <w:lvlText w:val="%7."/>
      <w:lvlJc w:val="start"/>
      <w:pPr>
        <w:tabs>
          <w:tab w:val="num" w:pos="0"/>
        </w:tabs>
        <w:ind w:start="4740" w:hanging="360"/>
      </w:pPr>
      <w:rPr/>
    </w:lvl>
    <w:lvl w:ilvl="7">
      <w:start w:val="1"/>
      <w:numFmt w:val="lowerLetter"/>
      <w:lvlText w:val="%8."/>
      <w:lvlJc w:val="start"/>
      <w:pPr>
        <w:tabs>
          <w:tab w:val="num" w:pos="0"/>
        </w:tabs>
        <w:ind w:start="5460" w:hanging="360"/>
      </w:pPr>
      <w:rPr/>
    </w:lvl>
    <w:lvl w:ilvl="8">
      <w:start w:val="1"/>
      <w:numFmt w:val="lowerRoman"/>
      <w:lvlText w:val="%9."/>
      <w:lvlJc w:val="end"/>
      <w:pPr>
        <w:tabs>
          <w:tab w:val="num" w:pos="0"/>
        </w:tabs>
        <w:ind w:start="61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4"/>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IndexLink" w:customStyle="1">
    <w:name w:val="Index Link"/>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2">
    <w:name w:val="toc 2"/>
    <w:basedOn w:val="Index"/>
    <w:pPr>
      <w:tabs>
        <w:tab w:val="clear" w:pos="709"/>
        <w:tab w:val="right" w:pos="10255" w:leader="dot"/>
      </w:tabs>
      <w:ind w:start="283"/>
    </w:pPr>
    <w:rPr/>
  </w:style>
  <w:style w:type="paragraph" w:styleId="ListParagraph">
    <w:name w:val="List Paragraph"/>
    <w:basedOn w:val="Normal"/>
    <w:uiPriority w:val="34"/>
    <w:qFormat/>
    <w:rsid w:val="008a4236"/>
    <w:pPr>
      <w:spacing w:before="0" w:after="0"/>
      <w:ind w:start="720"/>
      <w:contextualSpacing/>
    </w:pPr>
    <w:rPr>
      <w:rFonts w:cs="Mangal"/>
      <w:szCs w:val="2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639</TotalTime>
  <Application>LibreOffice/26.2.5.2$Windows_X86_64 LibreOffice_project/cd7284b4cbbfeb507e630c1aac019f4157393acb</Application>
  <AppVersion>15.0000</AppVersion>
  <Pages>86</Pages>
  <Words>50047</Words>
  <Characters>291709</Characters>
  <CharactersWithSpaces>341576</CharactersWithSpaces>
  <Paragraphs>730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2026-10-08T21:46:00Z</dcterms:created>
  <dc:creator>Grant Caile</dc:creator>
  <dc:description/>
  <dc:language>en-US</dc:language>
  <cp:lastModifiedBy/>
  <dcterms:modified xsi:type="dcterms:W3CDTF">2026-10-09T02:36:22Z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