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i/>
          <w:color w:val="883311"/>
          <w:sz w:val="20"/>
        </w:rPr>
        <w:t>Draft — Not Filed — For Review by Qualified Patent Counsel Prior to Filing</w:t>
      </w:r>
    </w:p>
    <w:p>
      <w:pPr>
        <w:jc w:val="center"/>
      </w:pPr>
      <w:r>
        <w:rPr>
          <w:b/>
          <w:color w:val="5A554B"/>
          <w:sz w:val="21"/>
        </w:rPr>
        <w:t>QUERYBOOK PROVISIONAL PATENT APPLICATION — COMPANION VOLUME</w:t>
      </w:r>
    </w:p>
    <w:p>
      <w:pPr>
        <w:pStyle w:val="Title"/>
        <w:jc w:val="center"/>
      </w:pPr>
      <w:r>
        <w:t>QueryBook — Drawings, Reference Numerals &amp; Brief Description of the Drawings</w:t>
      </w:r>
    </w:p>
    <w:p>
      <w:r>
        <w:rPr>
          <w:b/>
        </w:rPr>
        <w:t xml:space="preserve">Scope: </w:t>
      </w:r>
      <w:r>
        <w:t xml:space="preserve">the complete, current QueryBook figure set — FIG. 1–FIG. 49 — as one unified, contiguously numbered set, with no gaps. It comprises the integral language &amp; speech subsystem (LEL; FIG. 1–8 and FIG. 31–32); the QueryBook cognitive platform — Prime Directive / Domain 0, the Fact Unit, UFCS, FQL, the neuromorphic cognitive layer, the user-owned agent system, the enhanced TCP/IP hybrid protocol, and the media pipeline (FIG. 9–30); the Language &amp; Identity Linking (LIL) voiceprint subsystem (FIG. 33–34); the Universal Integrity Audit Service (UIAS; FIG. 35–36); the Paralinguistic &amp; Pragmatic Interpretation Layer (PIL; FIG. 37–38); Lecture Query mode (FIG. 39–40); the recent extensions (FIG. 41–47); and the application embodiments — the cited Q&amp;A / ChatBot application and the application-and-deployment surfaces over the invariant core (FIG. 48–49). </w:t>
      </w:r>
      <w:r>
        <w:rPr>
          <w:b/>
        </w:rPr>
        <w:t>Companion to</w:t>
      </w:r>
      <w:r>
        <w:t xml:space="preserve"> the consolidated QueryBook Provisional Patent Application; the figures, reference numerals, and brief descriptions here are identical to those in that application. </w:t>
      </w:r>
      <w:r>
        <w:rPr>
          <w:b/>
        </w:rPr>
        <w:t xml:space="preserve">Document date: </w:t>
      </w:r>
      <w:r>
        <w:t>October 7, 2026. Draft — to be finalized to USPTO drawing standards (37 CFR 1.84) by a patent draftsperson before filing.</w:t>
      </w:r>
    </w:p>
    <w:p>
      <w:r>
        <w:br w:type="page"/>
      </w:r>
    </w:p>
    <w:p>
      <w:pPr>
        <w:pStyle w:val="Heading1"/>
      </w:pPr>
      <w:r>
        <w:t>Feature Inventory and Figure Map</w:t>
      </w:r>
    </w:p>
    <w:p>
      <w:r>
        <w:t xml:space="preserve">This inventory lists the major QueryBook features and the figure that depicts each, confirming that every major feature — the cognitive core (Fact Units, UFCS, FQL, the Prime Directive, the neuromorphic layer), the agent and ChatBot applications, security, media, language and speech, and the identity / integrity / interpretation / lecture subsystems — is drawn. </w:t>
      </w:r>
      <w:r>
        <w:rPr>
          <w:b/>
        </w:rPr>
        <w:t>Status</w:t>
      </w:r>
      <w:r>
        <w:t xml:space="preserve"> is conservative: “Prototype” marks a capability exercised in the current prototype; “Specified” marks a described embodiment; the semantic media pipeline of FIG. 24 is identified as specified and not yet built or measured. 49 features are mapped across FIG. 1–FIG. 49.</w:t>
      </w:r>
    </w:p>
    <w:tbl>
      <w:tblPr>
        <w:tblStyle w:val="TableGrid"/>
        <w:tblW w:type="auto" w:w="0"/>
        <w:jc w:val="center"/>
        <w:tblLook w:firstColumn="1" w:firstRow="1" w:lastColumn="0" w:lastRow="0" w:noHBand="0" w:noVBand="1" w:val="04A0"/>
      </w:tblPr>
      <w:tblGrid>
        <w:gridCol w:w="6624"/>
        <w:gridCol w:w="1296"/>
        <w:gridCol w:w="1440"/>
      </w:tblGrid>
      <w:tr>
        <w:tc>
          <w:tcPr>
            <w:tcW w:type="dxa" w:w="6624"/>
            <w:shd w:val="clear" w:fill="E8E4DA"/>
          </w:tcPr>
          <w:p>
            <w:r/>
            <w:r>
              <w:rPr>
                <w:b/>
                <w:sz w:val="20"/>
              </w:rPr>
              <w:t>Feature</w:t>
            </w:r>
          </w:p>
        </w:tc>
        <w:tc>
          <w:tcPr>
            <w:tcW w:type="dxa" w:w="6624"/>
            <w:shd w:val="clear" w:fill="E8E4DA"/>
          </w:tcPr>
          <w:p>
            <w:r/>
            <w:r>
              <w:rPr>
                <w:b/>
                <w:sz w:val="20"/>
              </w:rPr>
              <w:t>Figure</w:t>
            </w:r>
          </w:p>
        </w:tc>
        <w:tc>
          <w:tcPr>
            <w:tcW w:type="dxa" w:w="6624"/>
            <w:shd w:val="clear" w:fill="E8E4DA"/>
          </w:tcPr>
          <w:p>
            <w:r/>
            <w:r>
              <w:rPr>
                <w:b/>
                <w:sz w:val="20"/>
              </w:rPr>
              <w:t>Status</w:t>
            </w:r>
          </w:p>
        </w:tc>
      </w:tr>
      <w:tr>
        <w:tc>
          <w:tcPr>
            <w:tcW w:type="dxa" w:w="9360"/>
            <w:gridSpan w:val="3"/>
            <w:shd w:val="clear" w:fill="F0EDE6"/>
          </w:tcPr>
          <w:p>
            <w:r/>
            <w:r>
              <w:rPr>
                <w:b/>
                <w:sz w:val="20"/>
              </w:rPr>
              <w:t>A. Primitive and substrate</w:t>
            </w:r>
          </w:p>
        </w:tc>
      </w:tr>
      <w:tr>
        <w:tc>
          <w:tcPr>
            <w:tcW w:type="dxa" w:w="6624"/>
          </w:tcPr>
          <w:p>
            <w:r/>
            <w:r>
              <w:rPr>
                <w:sz w:val="19"/>
              </w:rPr>
              <w:t>Fact Unit — atomic subject·predicate·object·polarity with content-derived identity (FUID)</w:t>
            </w:r>
          </w:p>
        </w:tc>
        <w:tc>
          <w:tcPr>
            <w:tcW w:type="dxa" w:w="1296"/>
          </w:tcPr>
          <w:p>
            <w:pPr>
              <w:jc w:val="center"/>
            </w:pPr>
            <w:r/>
            <w:r>
              <w:rPr>
                <w:b/>
                <w:sz w:val="19"/>
              </w:rPr>
              <w:t>FIG. 10</w:t>
            </w:r>
          </w:p>
        </w:tc>
        <w:tc>
          <w:tcPr>
            <w:tcW w:type="dxa" w:w="1440"/>
          </w:tcPr>
          <w:p>
            <w:r/>
            <w:r>
              <w:rPr>
                <w:sz w:val="17"/>
              </w:rPr>
              <w:t>Prototype</w:t>
            </w:r>
          </w:p>
        </w:tc>
      </w:tr>
      <w:tr>
        <w:tc>
          <w:tcPr>
            <w:tcW w:type="dxa" w:w="6624"/>
          </w:tcPr>
          <w:p>
            <w:r/>
            <w:r>
              <w:rPr>
                <w:sz w:val="19"/>
              </w:rPr>
              <w:t>Fact Unit confidence and evidence model (Bayesian / Beta)</w:t>
            </w:r>
          </w:p>
        </w:tc>
        <w:tc>
          <w:tcPr>
            <w:tcW w:type="dxa" w:w="1296"/>
          </w:tcPr>
          <w:p>
            <w:pPr>
              <w:jc w:val="center"/>
            </w:pPr>
            <w:r/>
            <w:r>
              <w:rPr>
                <w:b/>
                <w:sz w:val="19"/>
              </w:rPr>
              <w:t>FIG. 27</w:t>
            </w:r>
          </w:p>
        </w:tc>
        <w:tc>
          <w:tcPr>
            <w:tcW w:type="dxa" w:w="1440"/>
          </w:tcPr>
          <w:p>
            <w:r/>
            <w:r>
              <w:rPr>
                <w:sz w:val="17"/>
              </w:rPr>
              <w:t>Prototype</w:t>
            </w:r>
          </w:p>
        </w:tc>
      </w:tr>
      <w:tr>
        <w:tc>
          <w:tcPr>
            <w:tcW w:type="dxa" w:w="6624"/>
          </w:tcPr>
          <w:p>
            <w:r/>
            <w:r>
              <w:rPr>
                <w:sz w:val="19"/>
              </w:rPr>
              <w:t>Fact-certification authority hierarchy</w:t>
            </w:r>
          </w:p>
        </w:tc>
        <w:tc>
          <w:tcPr>
            <w:tcW w:type="dxa" w:w="1296"/>
          </w:tcPr>
          <w:p>
            <w:pPr>
              <w:jc w:val="center"/>
            </w:pPr>
            <w:r/>
            <w:r>
              <w:rPr>
                <w:b/>
                <w:sz w:val="19"/>
              </w:rPr>
              <w:t>FIG. 11</w:t>
            </w:r>
          </w:p>
        </w:tc>
        <w:tc>
          <w:tcPr>
            <w:tcW w:type="dxa" w:w="1440"/>
          </w:tcPr>
          <w:p>
            <w:r/>
            <w:r>
              <w:rPr>
                <w:sz w:val="17"/>
              </w:rPr>
              <w:t>Specified</w:t>
            </w:r>
          </w:p>
        </w:tc>
      </w:tr>
      <w:tr>
        <w:tc>
          <w:tcPr>
            <w:tcW w:type="dxa" w:w="6624"/>
          </w:tcPr>
          <w:p>
            <w:r/>
            <w:r>
              <w:rPr>
                <w:sz w:val="19"/>
              </w:rPr>
              <w:t>UFCS — Universal Federated Connectivity Substrate (three-store)</w:t>
            </w:r>
          </w:p>
        </w:tc>
        <w:tc>
          <w:tcPr>
            <w:tcW w:type="dxa" w:w="1296"/>
          </w:tcPr>
          <w:p>
            <w:pPr>
              <w:jc w:val="center"/>
            </w:pPr>
            <w:r/>
            <w:r>
              <w:rPr>
                <w:b/>
                <w:sz w:val="19"/>
              </w:rPr>
              <w:t>FIG. 12</w:t>
            </w:r>
          </w:p>
        </w:tc>
        <w:tc>
          <w:tcPr>
            <w:tcW w:type="dxa" w:w="1440"/>
          </w:tcPr>
          <w:p>
            <w:r/>
            <w:r>
              <w:rPr>
                <w:sz w:val="17"/>
              </w:rPr>
              <w:t>Prototype</w:t>
            </w:r>
          </w:p>
        </w:tc>
      </w:tr>
      <w:tr>
        <w:tc>
          <w:tcPr>
            <w:tcW w:type="dxa" w:w="6624"/>
          </w:tcPr>
          <w:p>
            <w:r/>
            <w:r>
              <w:rPr>
                <w:sz w:val="19"/>
              </w:rPr>
              <w:t>UFCS packet structure — serialized Fact Unit record</w:t>
            </w:r>
          </w:p>
        </w:tc>
        <w:tc>
          <w:tcPr>
            <w:tcW w:type="dxa" w:w="1296"/>
          </w:tcPr>
          <w:p>
            <w:pPr>
              <w:jc w:val="center"/>
            </w:pPr>
            <w:r/>
            <w:r>
              <w:rPr>
                <w:b/>
                <w:sz w:val="19"/>
              </w:rPr>
              <w:t>FIG. 28</w:t>
            </w:r>
          </w:p>
        </w:tc>
        <w:tc>
          <w:tcPr>
            <w:tcW w:type="dxa" w:w="1440"/>
          </w:tcPr>
          <w:p>
            <w:r/>
            <w:r>
              <w:rPr>
                <w:sz w:val="17"/>
              </w:rPr>
              <w:t>Specified</w:t>
            </w:r>
          </w:p>
        </w:tc>
      </w:tr>
      <w:tr>
        <w:tc>
          <w:tcPr>
            <w:tcW w:type="dxa" w:w="6624"/>
          </w:tcPr>
          <w:p>
            <w:r/>
            <w:r>
              <w:rPr>
                <w:sz w:val="19"/>
              </w:rPr>
              <w:t>UFCS content-addressed block framing</w:t>
            </w:r>
          </w:p>
        </w:tc>
        <w:tc>
          <w:tcPr>
            <w:tcW w:type="dxa" w:w="1296"/>
          </w:tcPr>
          <w:p>
            <w:pPr>
              <w:jc w:val="center"/>
            </w:pPr>
            <w:r/>
            <w:r>
              <w:rPr>
                <w:b/>
                <w:sz w:val="19"/>
              </w:rPr>
              <w:t>FIG. 29</w:t>
            </w:r>
          </w:p>
        </w:tc>
        <w:tc>
          <w:tcPr>
            <w:tcW w:type="dxa" w:w="1440"/>
          </w:tcPr>
          <w:p>
            <w:r/>
            <w:r>
              <w:rPr>
                <w:sz w:val="17"/>
              </w:rPr>
              <w:t>Specified</w:t>
            </w:r>
          </w:p>
        </w:tc>
      </w:tr>
      <w:tr>
        <w:tc>
          <w:tcPr>
            <w:tcW w:type="dxa" w:w="9360"/>
            <w:gridSpan w:val="3"/>
            <w:shd w:val="clear" w:fill="F0EDE6"/>
          </w:tcPr>
          <w:p>
            <w:r/>
            <w:r>
              <w:rPr>
                <w:b/>
                <w:sz w:val="20"/>
              </w:rPr>
              <w:t>B. Query, reasoning and governance core</w:t>
            </w:r>
          </w:p>
        </w:tc>
      </w:tr>
      <w:tr>
        <w:tc>
          <w:tcPr>
            <w:tcW w:type="dxa" w:w="6624"/>
          </w:tcPr>
          <w:p>
            <w:r/>
            <w:r>
              <w:rPr>
                <w:sz w:val="19"/>
              </w:rPr>
              <w:t>Fifteen-domain architecture; Prime Directive (Domain 0)</w:t>
            </w:r>
          </w:p>
        </w:tc>
        <w:tc>
          <w:tcPr>
            <w:tcW w:type="dxa" w:w="1296"/>
          </w:tcPr>
          <w:p>
            <w:pPr>
              <w:jc w:val="center"/>
            </w:pPr>
            <w:r/>
            <w:r>
              <w:rPr>
                <w:b/>
                <w:sz w:val="19"/>
              </w:rPr>
              <w:t>FIG. 9</w:t>
            </w:r>
          </w:p>
        </w:tc>
        <w:tc>
          <w:tcPr>
            <w:tcW w:type="dxa" w:w="1440"/>
          </w:tcPr>
          <w:p>
            <w:r/>
            <w:r>
              <w:rPr>
                <w:sz w:val="17"/>
              </w:rPr>
              <w:t>Prototype</w:t>
            </w:r>
          </w:p>
        </w:tc>
      </w:tr>
      <w:tr>
        <w:tc>
          <w:tcPr>
            <w:tcW w:type="dxa" w:w="6624"/>
          </w:tcPr>
          <w:p>
            <w:r/>
            <w:r>
              <w:rPr>
                <w:sz w:val="19"/>
              </w:rPr>
              <w:t>FQL — Federated Query Language: joint structure + trust execution</w:t>
            </w:r>
          </w:p>
        </w:tc>
        <w:tc>
          <w:tcPr>
            <w:tcW w:type="dxa" w:w="1296"/>
          </w:tcPr>
          <w:p>
            <w:pPr>
              <w:jc w:val="center"/>
            </w:pPr>
            <w:r/>
            <w:r>
              <w:rPr>
                <w:b/>
                <w:sz w:val="19"/>
              </w:rPr>
              <w:t>FIG. 14</w:t>
            </w:r>
          </w:p>
        </w:tc>
        <w:tc>
          <w:tcPr>
            <w:tcW w:type="dxa" w:w="1440"/>
          </w:tcPr>
          <w:p>
            <w:r/>
            <w:r>
              <w:rPr>
                <w:sz w:val="17"/>
              </w:rPr>
              <w:t>Prototype</w:t>
            </w:r>
          </w:p>
        </w:tc>
      </w:tr>
      <w:tr>
        <w:tc>
          <w:tcPr>
            <w:tcW w:type="dxa" w:w="6624"/>
          </w:tcPr>
          <w:p>
            <w:r/>
            <w:r>
              <w:rPr>
                <w:sz w:val="19"/>
              </w:rPr>
              <w:t>FQL — query anatomy and worked example (cite or refuse)</w:t>
            </w:r>
          </w:p>
        </w:tc>
        <w:tc>
          <w:tcPr>
            <w:tcW w:type="dxa" w:w="1296"/>
          </w:tcPr>
          <w:p>
            <w:pPr>
              <w:jc w:val="center"/>
            </w:pPr>
            <w:r/>
            <w:r>
              <w:rPr>
                <w:b/>
                <w:sz w:val="19"/>
              </w:rPr>
              <w:t>FIG. 30</w:t>
            </w:r>
          </w:p>
        </w:tc>
        <w:tc>
          <w:tcPr>
            <w:tcW w:type="dxa" w:w="1440"/>
          </w:tcPr>
          <w:p>
            <w:r/>
            <w:r>
              <w:rPr>
                <w:sz w:val="17"/>
              </w:rPr>
              <w:t>Prototype</w:t>
            </w:r>
          </w:p>
        </w:tc>
      </w:tr>
      <w:tr>
        <w:tc>
          <w:tcPr>
            <w:tcW w:type="dxa" w:w="6624"/>
          </w:tcPr>
          <w:p>
            <w:r/>
            <w:r>
              <w:rPr>
                <w:sz w:val="19"/>
              </w:rPr>
              <w:t>Neuromorphic cognitive layer — attractor convergence</w:t>
            </w:r>
          </w:p>
        </w:tc>
        <w:tc>
          <w:tcPr>
            <w:tcW w:type="dxa" w:w="1296"/>
          </w:tcPr>
          <w:p>
            <w:pPr>
              <w:jc w:val="center"/>
            </w:pPr>
            <w:r/>
            <w:r>
              <w:rPr>
                <w:b/>
                <w:sz w:val="19"/>
              </w:rPr>
              <w:t>FIG. 26</w:t>
            </w:r>
          </w:p>
        </w:tc>
        <w:tc>
          <w:tcPr>
            <w:tcW w:type="dxa" w:w="1440"/>
          </w:tcPr>
          <w:p>
            <w:r/>
            <w:r>
              <w:rPr>
                <w:sz w:val="17"/>
              </w:rPr>
              <w:t>Specified</w:t>
            </w:r>
          </w:p>
        </w:tc>
      </w:tr>
      <w:tr>
        <w:tc>
          <w:tcPr>
            <w:tcW w:type="dxa" w:w="6624"/>
          </w:tcPr>
          <w:p>
            <w:r/>
            <w:r>
              <w:rPr>
                <w:sz w:val="19"/>
              </w:rPr>
              <w:t>Adaptive response engine — directive fixed before generation</w:t>
            </w:r>
          </w:p>
        </w:tc>
        <w:tc>
          <w:tcPr>
            <w:tcW w:type="dxa" w:w="1296"/>
          </w:tcPr>
          <w:p>
            <w:pPr>
              <w:jc w:val="center"/>
            </w:pPr>
            <w:r/>
            <w:r>
              <w:rPr>
                <w:b/>
                <w:sz w:val="19"/>
              </w:rPr>
              <w:t>FIG. 21</w:t>
            </w:r>
          </w:p>
        </w:tc>
        <w:tc>
          <w:tcPr>
            <w:tcW w:type="dxa" w:w="1440"/>
          </w:tcPr>
          <w:p>
            <w:r/>
            <w:r>
              <w:rPr>
                <w:sz w:val="17"/>
              </w:rPr>
              <w:t>Prototype</w:t>
            </w:r>
          </w:p>
        </w:tc>
      </w:tr>
      <w:tr>
        <w:tc>
          <w:tcPr>
            <w:tcW w:type="dxa" w:w="6624"/>
          </w:tcPr>
          <w:p>
            <w:r/>
            <w:r>
              <w:rPr>
                <w:sz w:val="19"/>
              </w:rPr>
              <w:t>Verifying machine-generated text against certified records</w:t>
            </w:r>
          </w:p>
        </w:tc>
        <w:tc>
          <w:tcPr>
            <w:tcW w:type="dxa" w:w="1296"/>
          </w:tcPr>
          <w:p>
            <w:pPr>
              <w:jc w:val="center"/>
            </w:pPr>
            <w:r/>
            <w:r>
              <w:rPr>
                <w:b/>
                <w:sz w:val="19"/>
              </w:rPr>
              <w:t>FIG. 15</w:t>
            </w:r>
          </w:p>
        </w:tc>
        <w:tc>
          <w:tcPr>
            <w:tcW w:type="dxa" w:w="1440"/>
          </w:tcPr>
          <w:p>
            <w:r/>
            <w:r>
              <w:rPr>
                <w:sz w:val="17"/>
              </w:rPr>
              <w:t>Specified</w:t>
            </w:r>
          </w:p>
        </w:tc>
      </w:tr>
      <w:tr>
        <w:tc>
          <w:tcPr>
            <w:tcW w:type="dxa" w:w="9360"/>
            <w:gridSpan w:val="3"/>
            <w:shd w:val="clear" w:fill="F0EDE6"/>
          </w:tcPr>
          <w:p>
            <w:r/>
            <w:r>
              <w:rPr>
                <w:b/>
                <w:sz w:val="20"/>
              </w:rPr>
              <w:t>C. Knowledge operations and deployment</w:t>
            </w:r>
          </w:p>
        </w:tc>
      </w:tr>
      <w:tr>
        <w:tc>
          <w:tcPr>
            <w:tcW w:type="dxa" w:w="6624"/>
          </w:tcPr>
          <w:p>
            <w:r/>
            <w:r>
              <w:rPr>
                <w:sz w:val="19"/>
              </w:rPr>
              <w:t>Authored tour / exhibition sequencing</w:t>
            </w:r>
          </w:p>
        </w:tc>
        <w:tc>
          <w:tcPr>
            <w:tcW w:type="dxa" w:w="1296"/>
          </w:tcPr>
          <w:p>
            <w:pPr>
              <w:jc w:val="center"/>
            </w:pPr>
            <w:r/>
            <w:r>
              <w:rPr>
                <w:b/>
                <w:sz w:val="19"/>
              </w:rPr>
              <w:t>FIG. 13</w:t>
            </w:r>
          </w:p>
        </w:tc>
        <w:tc>
          <w:tcPr>
            <w:tcW w:type="dxa" w:w="1440"/>
          </w:tcPr>
          <w:p>
            <w:r/>
            <w:r>
              <w:rPr>
                <w:sz w:val="17"/>
              </w:rPr>
              <w:t>Specified</w:t>
            </w:r>
          </w:p>
        </w:tc>
      </w:tr>
      <w:tr>
        <w:tc>
          <w:tcPr>
            <w:tcW w:type="dxa" w:w="6624"/>
          </w:tcPr>
          <w:p>
            <w:r/>
            <w:r>
              <w:rPr>
                <w:sz w:val="19"/>
              </w:rPr>
              <w:t>Federation — cross-boundary re-validation</w:t>
            </w:r>
          </w:p>
        </w:tc>
        <w:tc>
          <w:tcPr>
            <w:tcW w:type="dxa" w:w="1296"/>
          </w:tcPr>
          <w:p>
            <w:pPr>
              <w:jc w:val="center"/>
            </w:pPr>
            <w:r/>
            <w:r>
              <w:rPr>
                <w:b/>
                <w:sz w:val="19"/>
              </w:rPr>
              <w:t>FIG. 16</w:t>
            </w:r>
          </w:p>
        </w:tc>
        <w:tc>
          <w:tcPr>
            <w:tcW w:type="dxa" w:w="1440"/>
          </w:tcPr>
          <w:p>
            <w:r/>
            <w:r>
              <w:rPr>
                <w:sz w:val="17"/>
              </w:rPr>
              <w:t>Specified</w:t>
            </w:r>
          </w:p>
        </w:tc>
      </w:tr>
      <w:tr>
        <w:tc>
          <w:tcPr>
            <w:tcW w:type="dxa" w:w="6624"/>
          </w:tcPr>
          <w:p>
            <w:r/>
            <w:r>
              <w:rPr>
                <w:sz w:val="19"/>
              </w:rPr>
              <w:t>Fact-level erasure by external-key destruction</w:t>
            </w:r>
          </w:p>
        </w:tc>
        <w:tc>
          <w:tcPr>
            <w:tcW w:type="dxa" w:w="1296"/>
          </w:tcPr>
          <w:p>
            <w:pPr>
              <w:jc w:val="center"/>
            </w:pPr>
            <w:r/>
            <w:r>
              <w:rPr>
                <w:b/>
                <w:sz w:val="19"/>
              </w:rPr>
              <w:t>FIG. 17</w:t>
            </w:r>
          </w:p>
        </w:tc>
        <w:tc>
          <w:tcPr>
            <w:tcW w:type="dxa" w:w="1440"/>
          </w:tcPr>
          <w:p>
            <w:r/>
            <w:r>
              <w:rPr>
                <w:sz w:val="17"/>
              </w:rPr>
              <w:t>Specified</w:t>
            </w:r>
          </w:p>
        </w:tc>
      </w:tr>
      <w:tr>
        <w:tc>
          <w:tcPr>
            <w:tcW w:type="dxa" w:w="6624"/>
          </w:tcPr>
          <w:p>
            <w:r/>
            <w:r>
              <w:rPr>
                <w:sz w:val="19"/>
              </w:rPr>
              <w:t>User-owned Agent system with governance and kill switch</w:t>
            </w:r>
          </w:p>
        </w:tc>
        <w:tc>
          <w:tcPr>
            <w:tcW w:type="dxa" w:w="1296"/>
          </w:tcPr>
          <w:p>
            <w:pPr>
              <w:jc w:val="center"/>
            </w:pPr>
            <w:r/>
            <w:r>
              <w:rPr>
                <w:b/>
                <w:sz w:val="19"/>
              </w:rPr>
              <w:t>FIG. 22</w:t>
            </w:r>
          </w:p>
        </w:tc>
        <w:tc>
          <w:tcPr>
            <w:tcW w:type="dxa" w:w="1440"/>
          </w:tcPr>
          <w:p>
            <w:r/>
            <w:r>
              <w:rPr>
                <w:sz w:val="17"/>
              </w:rPr>
              <w:t>Specified</w:t>
            </w:r>
          </w:p>
        </w:tc>
      </w:tr>
      <w:tr>
        <w:tc>
          <w:tcPr>
            <w:tcW w:type="dxa" w:w="6624"/>
          </w:tcPr>
          <w:p>
            <w:r/>
            <w:r>
              <w:rPr>
                <w:sz w:val="19"/>
              </w:rPr>
              <w:t>Deployment topologies over an invariant common layer</w:t>
            </w:r>
          </w:p>
        </w:tc>
        <w:tc>
          <w:tcPr>
            <w:tcW w:type="dxa" w:w="1296"/>
          </w:tcPr>
          <w:p>
            <w:pPr>
              <w:jc w:val="center"/>
            </w:pPr>
            <w:r/>
            <w:r>
              <w:rPr>
                <w:b/>
                <w:sz w:val="19"/>
              </w:rPr>
              <w:t>FIG. 20</w:t>
            </w:r>
          </w:p>
        </w:tc>
        <w:tc>
          <w:tcPr>
            <w:tcW w:type="dxa" w:w="1440"/>
          </w:tcPr>
          <w:p>
            <w:r/>
            <w:r>
              <w:rPr>
                <w:sz w:val="17"/>
              </w:rPr>
              <w:t>Specified</w:t>
            </w:r>
          </w:p>
        </w:tc>
      </w:tr>
      <w:tr>
        <w:tc>
          <w:tcPr>
            <w:tcW w:type="dxa" w:w="6624"/>
          </w:tcPr>
          <w:p>
            <w:r/>
            <w:r>
              <w:rPr>
                <w:sz w:val="19"/>
              </w:rPr>
              <w:t>Modular capability editions (light / medium / full)</w:t>
            </w:r>
          </w:p>
        </w:tc>
        <w:tc>
          <w:tcPr>
            <w:tcW w:type="dxa" w:w="1296"/>
          </w:tcPr>
          <w:p>
            <w:pPr>
              <w:jc w:val="center"/>
            </w:pPr>
            <w:r/>
            <w:r>
              <w:rPr>
                <w:b/>
                <w:sz w:val="19"/>
              </w:rPr>
              <w:t>FIG. 46</w:t>
            </w:r>
          </w:p>
        </w:tc>
        <w:tc>
          <w:tcPr>
            <w:tcW w:type="dxa" w:w="1440"/>
          </w:tcPr>
          <w:p>
            <w:r/>
            <w:r>
              <w:rPr>
                <w:sz w:val="17"/>
              </w:rPr>
              <w:t>Prototype</w:t>
            </w:r>
          </w:p>
        </w:tc>
      </w:tr>
      <w:tr>
        <w:tc>
          <w:tcPr>
            <w:tcW w:type="dxa" w:w="6624"/>
          </w:tcPr>
          <w:p>
            <w:r/>
            <w:r>
              <w:rPr>
                <w:sz w:val="19"/>
              </w:rPr>
              <w:t>Version-independent, provenance-continuous store</w:t>
            </w:r>
          </w:p>
        </w:tc>
        <w:tc>
          <w:tcPr>
            <w:tcW w:type="dxa" w:w="1296"/>
          </w:tcPr>
          <w:p>
            <w:pPr>
              <w:jc w:val="center"/>
            </w:pPr>
            <w:r/>
            <w:r>
              <w:rPr>
                <w:b/>
                <w:sz w:val="19"/>
              </w:rPr>
              <w:t>FIG. 47</w:t>
            </w:r>
          </w:p>
        </w:tc>
        <w:tc>
          <w:tcPr>
            <w:tcW w:type="dxa" w:w="1440"/>
          </w:tcPr>
          <w:p>
            <w:r/>
            <w:r>
              <w:rPr>
                <w:sz w:val="17"/>
              </w:rPr>
              <w:t>Prototype</w:t>
            </w:r>
          </w:p>
        </w:tc>
      </w:tr>
      <w:tr>
        <w:tc>
          <w:tcPr>
            <w:tcW w:type="dxa" w:w="9360"/>
            <w:gridSpan w:val="3"/>
            <w:shd w:val="clear" w:fill="F0EDE6"/>
          </w:tcPr>
          <w:p>
            <w:r/>
            <w:r>
              <w:rPr>
                <w:b/>
                <w:sz w:val="20"/>
              </w:rPr>
              <w:t>D. Security</w:t>
            </w:r>
          </w:p>
        </w:tc>
      </w:tr>
      <w:tr>
        <w:tc>
          <w:tcPr>
            <w:tcW w:type="dxa" w:w="6624"/>
          </w:tcPr>
          <w:p>
            <w:r/>
            <w:r>
              <w:rPr>
                <w:sz w:val="19"/>
              </w:rPr>
              <w:t>Universal multi-layer security architecture</w:t>
            </w:r>
          </w:p>
        </w:tc>
        <w:tc>
          <w:tcPr>
            <w:tcW w:type="dxa" w:w="1296"/>
          </w:tcPr>
          <w:p>
            <w:pPr>
              <w:jc w:val="center"/>
            </w:pPr>
            <w:r/>
            <w:r>
              <w:rPr>
                <w:b/>
                <w:sz w:val="19"/>
              </w:rPr>
              <w:t>FIG. 18</w:t>
            </w:r>
          </w:p>
        </w:tc>
        <w:tc>
          <w:tcPr>
            <w:tcW w:type="dxa" w:w="1440"/>
          </w:tcPr>
          <w:p>
            <w:r/>
            <w:r>
              <w:rPr>
                <w:sz w:val="17"/>
              </w:rPr>
              <w:t>Specified</w:t>
            </w:r>
          </w:p>
        </w:tc>
      </w:tr>
      <w:tr>
        <w:tc>
          <w:tcPr>
            <w:tcW w:type="dxa" w:w="6624"/>
          </w:tcPr>
          <w:p>
            <w:r/>
            <w:r>
              <w:rPr>
                <w:sz w:val="19"/>
              </w:rPr>
              <w:t>Universal honeypot saturation / data firehose (anti-Agent-Worm)</w:t>
            </w:r>
          </w:p>
        </w:tc>
        <w:tc>
          <w:tcPr>
            <w:tcW w:type="dxa" w:w="1296"/>
          </w:tcPr>
          <w:p>
            <w:pPr>
              <w:jc w:val="center"/>
            </w:pPr>
            <w:r/>
            <w:r>
              <w:rPr>
                <w:b/>
                <w:sz w:val="19"/>
              </w:rPr>
              <w:t>FIG. 19</w:t>
            </w:r>
          </w:p>
        </w:tc>
        <w:tc>
          <w:tcPr>
            <w:tcW w:type="dxa" w:w="1440"/>
          </w:tcPr>
          <w:p>
            <w:r/>
            <w:r>
              <w:rPr>
                <w:sz w:val="17"/>
              </w:rPr>
              <w:t>Specified</w:t>
            </w:r>
          </w:p>
        </w:tc>
      </w:tr>
      <w:tr>
        <w:tc>
          <w:tcPr>
            <w:tcW w:type="dxa" w:w="9360"/>
            <w:gridSpan w:val="3"/>
            <w:shd w:val="clear" w:fill="F0EDE6"/>
          </w:tcPr>
          <w:p>
            <w:r/>
            <w:r>
              <w:rPr>
                <w:b/>
                <w:sz w:val="20"/>
              </w:rPr>
              <w:t>E. Media and protocol</w:t>
            </w:r>
          </w:p>
        </w:tc>
      </w:tr>
      <w:tr>
        <w:tc>
          <w:tcPr>
            <w:tcW w:type="dxa" w:w="6624"/>
          </w:tcPr>
          <w:p>
            <w:r/>
            <w:r>
              <w:rPr>
                <w:sz w:val="19"/>
              </w:rPr>
              <w:t>Deterministic multi-language regeneration</w:t>
            </w:r>
          </w:p>
        </w:tc>
        <w:tc>
          <w:tcPr>
            <w:tcW w:type="dxa" w:w="1296"/>
          </w:tcPr>
          <w:p>
            <w:pPr>
              <w:jc w:val="center"/>
            </w:pPr>
            <w:r/>
            <w:r>
              <w:rPr>
                <w:b/>
                <w:sz w:val="19"/>
              </w:rPr>
              <w:t>FIG. 23</w:t>
            </w:r>
          </w:p>
        </w:tc>
        <w:tc>
          <w:tcPr>
            <w:tcW w:type="dxa" w:w="1440"/>
          </w:tcPr>
          <w:p>
            <w:r/>
            <w:r>
              <w:rPr>
                <w:sz w:val="17"/>
              </w:rPr>
              <w:t>Specified</w:t>
            </w:r>
          </w:p>
        </w:tc>
      </w:tr>
      <w:tr>
        <w:tc>
          <w:tcPr>
            <w:tcW w:type="dxa" w:w="6624"/>
          </w:tcPr>
          <w:p>
            <w:r/>
            <w:r>
              <w:rPr>
                <w:sz w:val="19"/>
              </w:rPr>
              <w:t>Semantic media pipeline — compression · expansion · colorization · upscaling</w:t>
            </w:r>
          </w:p>
        </w:tc>
        <w:tc>
          <w:tcPr>
            <w:tcW w:type="dxa" w:w="1296"/>
          </w:tcPr>
          <w:p>
            <w:pPr>
              <w:jc w:val="center"/>
            </w:pPr>
            <w:r/>
            <w:r>
              <w:rPr>
                <w:b/>
                <w:sz w:val="19"/>
              </w:rPr>
              <w:t>FIG. 24</w:t>
            </w:r>
          </w:p>
        </w:tc>
        <w:tc>
          <w:tcPr>
            <w:tcW w:type="dxa" w:w="1440"/>
          </w:tcPr>
          <w:p>
            <w:r/>
            <w:r>
              <w:rPr>
                <w:sz w:val="17"/>
              </w:rPr>
              <w:t>Specified — not yet built or measured</w:t>
            </w:r>
          </w:p>
        </w:tc>
      </w:tr>
      <w:tr>
        <w:tc>
          <w:tcPr>
            <w:tcW w:type="dxa" w:w="6624"/>
          </w:tcPr>
          <w:p>
            <w:r/>
            <w:r>
              <w:rPr>
                <w:sz w:val="19"/>
              </w:rPr>
              <w:t>Grounded scene compilation to an external generative media engine</w:t>
            </w:r>
          </w:p>
        </w:tc>
        <w:tc>
          <w:tcPr>
            <w:tcW w:type="dxa" w:w="1296"/>
          </w:tcPr>
          <w:p>
            <w:pPr>
              <w:jc w:val="center"/>
            </w:pPr>
            <w:r/>
            <w:r>
              <w:rPr>
                <w:b/>
                <w:sz w:val="19"/>
              </w:rPr>
              <w:t>FIG. 43</w:t>
            </w:r>
          </w:p>
        </w:tc>
        <w:tc>
          <w:tcPr>
            <w:tcW w:type="dxa" w:w="1440"/>
          </w:tcPr>
          <w:p>
            <w:r/>
            <w:r>
              <w:rPr>
                <w:sz w:val="17"/>
              </w:rPr>
              <w:t>Prototype</w:t>
            </w:r>
          </w:p>
        </w:tc>
      </w:tr>
      <w:tr>
        <w:tc>
          <w:tcPr>
            <w:tcW w:type="dxa" w:w="6624"/>
          </w:tcPr>
          <w:p>
            <w:r/>
            <w:r>
              <w:rPr>
                <w:sz w:val="19"/>
              </w:rPr>
              <w:t>Key-safe external-service mediation</w:t>
            </w:r>
          </w:p>
        </w:tc>
        <w:tc>
          <w:tcPr>
            <w:tcW w:type="dxa" w:w="1296"/>
          </w:tcPr>
          <w:p>
            <w:pPr>
              <w:jc w:val="center"/>
            </w:pPr>
            <w:r/>
            <w:r>
              <w:rPr>
                <w:b/>
                <w:sz w:val="19"/>
              </w:rPr>
              <w:t>FIG. 44</w:t>
            </w:r>
          </w:p>
        </w:tc>
        <w:tc>
          <w:tcPr>
            <w:tcW w:type="dxa" w:w="1440"/>
          </w:tcPr>
          <w:p>
            <w:r/>
            <w:r>
              <w:rPr>
                <w:sz w:val="17"/>
              </w:rPr>
              <w:t>Prototype</w:t>
            </w:r>
          </w:p>
        </w:tc>
      </w:tr>
      <w:tr>
        <w:tc>
          <w:tcPr>
            <w:tcW w:type="dxa" w:w="6624"/>
          </w:tcPr>
          <w:p>
            <w:r/>
            <w:r>
              <w:rPr>
                <w:sz w:val="19"/>
              </w:rPr>
              <w:t>Scene reconstruction from prose (silhouette-protected)</w:t>
            </w:r>
          </w:p>
        </w:tc>
        <w:tc>
          <w:tcPr>
            <w:tcW w:type="dxa" w:w="1296"/>
          </w:tcPr>
          <w:p>
            <w:pPr>
              <w:jc w:val="center"/>
            </w:pPr>
            <w:r/>
            <w:r>
              <w:rPr>
                <w:b/>
                <w:sz w:val="19"/>
              </w:rPr>
              <w:t>FIG. 45</w:t>
            </w:r>
          </w:p>
        </w:tc>
        <w:tc>
          <w:tcPr>
            <w:tcW w:type="dxa" w:w="1440"/>
          </w:tcPr>
          <w:p>
            <w:r/>
            <w:r>
              <w:rPr>
                <w:sz w:val="17"/>
              </w:rPr>
              <w:t>Prototype</w:t>
            </w:r>
          </w:p>
        </w:tc>
      </w:tr>
      <w:tr>
        <w:tc>
          <w:tcPr>
            <w:tcW w:type="dxa" w:w="6624"/>
          </w:tcPr>
          <w:p>
            <w:r/>
            <w:r>
              <w:rPr>
                <w:sz w:val="19"/>
              </w:rPr>
              <w:t>QueryBook-enhanced TCP/IP hybrid protocol packet</w:t>
            </w:r>
          </w:p>
        </w:tc>
        <w:tc>
          <w:tcPr>
            <w:tcW w:type="dxa" w:w="1296"/>
          </w:tcPr>
          <w:p>
            <w:pPr>
              <w:jc w:val="center"/>
            </w:pPr>
            <w:r/>
            <w:r>
              <w:rPr>
                <w:b/>
                <w:sz w:val="19"/>
              </w:rPr>
              <w:t>FIG. 25</w:t>
            </w:r>
          </w:p>
        </w:tc>
        <w:tc>
          <w:tcPr>
            <w:tcW w:type="dxa" w:w="1440"/>
          </w:tcPr>
          <w:p>
            <w:r/>
            <w:r>
              <w:rPr>
                <w:sz w:val="17"/>
              </w:rPr>
              <w:t>Specified</w:t>
            </w:r>
          </w:p>
        </w:tc>
      </w:tr>
      <w:tr>
        <w:tc>
          <w:tcPr>
            <w:tcW w:type="dxa" w:w="9360"/>
            <w:gridSpan w:val="3"/>
            <w:shd w:val="clear" w:fill="F0EDE6"/>
          </w:tcPr>
          <w:p>
            <w:r/>
            <w:r>
              <w:rPr>
                <w:b/>
                <w:sz w:val="20"/>
              </w:rPr>
              <w:t>F. Language and speech (LEL)</w:t>
            </w:r>
          </w:p>
        </w:tc>
      </w:tr>
      <w:tr>
        <w:tc>
          <w:tcPr>
            <w:tcW w:type="dxa" w:w="6624"/>
          </w:tcPr>
          <w:p>
            <w:r/>
            <w:r>
              <w:rPr>
                <w:sz w:val="19"/>
              </w:rPr>
              <w:t>LEL overall system architecture</w:t>
            </w:r>
          </w:p>
        </w:tc>
        <w:tc>
          <w:tcPr>
            <w:tcW w:type="dxa" w:w="1296"/>
          </w:tcPr>
          <w:p>
            <w:pPr>
              <w:jc w:val="center"/>
            </w:pPr>
            <w:r/>
            <w:r>
              <w:rPr>
                <w:b/>
                <w:sz w:val="19"/>
              </w:rPr>
              <w:t>FIG. 1</w:t>
            </w:r>
          </w:p>
        </w:tc>
        <w:tc>
          <w:tcPr>
            <w:tcW w:type="dxa" w:w="1440"/>
          </w:tcPr>
          <w:p>
            <w:r/>
            <w:r>
              <w:rPr>
                <w:sz w:val="17"/>
              </w:rPr>
              <w:t>Specified</w:t>
            </w:r>
          </w:p>
        </w:tc>
      </w:tr>
      <w:tr>
        <w:tc>
          <w:tcPr>
            <w:tcW w:type="dxa" w:w="6624"/>
          </w:tcPr>
          <w:p>
            <w:r/>
            <w:r>
              <w:rPr>
                <w:sz w:val="19"/>
              </w:rPr>
              <w:t>Sub-Language Priming Layer (SLPL)</w:t>
            </w:r>
          </w:p>
        </w:tc>
        <w:tc>
          <w:tcPr>
            <w:tcW w:type="dxa" w:w="1296"/>
          </w:tcPr>
          <w:p>
            <w:pPr>
              <w:jc w:val="center"/>
            </w:pPr>
            <w:r/>
            <w:r>
              <w:rPr>
                <w:b/>
                <w:sz w:val="19"/>
              </w:rPr>
              <w:t>FIG. 2</w:t>
            </w:r>
          </w:p>
        </w:tc>
        <w:tc>
          <w:tcPr>
            <w:tcW w:type="dxa" w:w="1440"/>
          </w:tcPr>
          <w:p>
            <w:r/>
            <w:r>
              <w:rPr>
                <w:sz w:val="17"/>
              </w:rPr>
              <w:t>Specified</w:t>
            </w:r>
          </w:p>
        </w:tc>
      </w:tr>
      <w:tr>
        <w:tc>
          <w:tcPr>
            <w:tcW w:type="dxa" w:w="6624"/>
          </w:tcPr>
          <w:p>
            <w:r/>
            <w:r>
              <w:rPr>
                <w:sz w:val="19"/>
              </w:rPr>
              <w:t>Developmental learning sequence and one-way transition gate</w:t>
            </w:r>
          </w:p>
        </w:tc>
        <w:tc>
          <w:tcPr>
            <w:tcW w:type="dxa" w:w="1296"/>
          </w:tcPr>
          <w:p>
            <w:pPr>
              <w:jc w:val="center"/>
            </w:pPr>
            <w:r/>
            <w:r>
              <w:rPr>
                <w:b/>
                <w:sz w:val="19"/>
              </w:rPr>
              <w:t>FIG. 3</w:t>
            </w:r>
          </w:p>
        </w:tc>
        <w:tc>
          <w:tcPr>
            <w:tcW w:type="dxa" w:w="1440"/>
          </w:tcPr>
          <w:p>
            <w:r/>
            <w:r>
              <w:rPr>
                <w:sz w:val="17"/>
              </w:rPr>
              <w:t>Prototype</w:t>
            </w:r>
          </w:p>
        </w:tc>
      </w:tr>
      <w:tr>
        <w:tc>
          <w:tcPr>
            <w:tcW w:type="dxa" w:w="6624"/>
          </w:tcPr>
          <w:p>
            <w:r/>
            <w:r>
              <w:rPr>
                <w:sz w:val="19"/>
              </w:rPr>
              <w:t>Multilingual delta acquisition and acceleration flywheel</w:t>
            </w:r>
          </w:p>
        </w:tc>
        <w:tc>
          <w:tcPr>
            <w:tcW w:type="dxa" w:w="1296"/>
          </w:tcPr>
          <w:p>
            <w:pPr>
              <w:jc w:val="center"/>
            </w:pPr>
            <w:r/>
            <w:r>
              <w:rPr>
                <w:b/>
                <w:sz w:val="19"/>
              </w:rPr>
              <w:t>FIG. 4</w:t>
            </w:r>
          </w:p>
        </w:tc>
        <w:tc>
          <w:tcPr>
            <w:tcW w:type="dxa" w:w="1440"/>
          </w:tcPr>
          <w:p>
            <w:r/>
            <w:r>
              <w:rPr>
                <w:sz w:val="17"/>
              </w:rPr>
              <w:t>Specified</w:t>
            </w:r>
          </w:p>
        </w:tc>
      </w:tr>
      <w:tr>
        <w:tc>
          <w:tcPr>
            <w:tcW w:type="dxa" w:w="6624"/>
          </w:tcPr>
          <w:p>
            <w:r/>
            <w:r>
              <w:rPr>
                <w:sz w:val="19"/>
              </w:rPr>
              <w:t>Speech output pipeline (seven learned stages)</w:t>
            </w:r>
          </w:p>
        </w:tc>
        <w:tc>
          <w:tcPr>
            <w:tcW w:type="dxa" w:w="1296"/>
          </w:tcPr>
          <w:p>
            <w:pPr>
              <w:jc w:val="center"/>
            </w:pPr>
            <w:r/>
            <w:r>
              <w:rPr>
                <w:b/>
                <w:sz w:val="19"/>
              </w:rPr>
              <w:t>FIG. 5</w:t>
            </w:r>
          </w:p>
        </w:tc>
        <w:tc>
          <w:tcPr>
            <w:tcW w:type="dxa" w:w="1440"/>
          </w:tcPr>
          <w:p>
            <w:r/>
            <w:r>
              <w:rPr>
                <w:sz w:val="17"/>
              </w:rPr>
              <w:t>Specified</w:t>
            </w:r>
          </w:p>
        </w:tc>
      </w:tr>
      <w:tr>
        <w:tc>
          <w:tcPr>
            <w:tcW w:type="dxa" w:w="6624"/>
          </w:tcPr>
          <w:p>
            <w:r/>
            <w:r>
              <w:rPr>
                <w:sz w:val="19"/>
              </w:rPr>
              <w:t>Co-grounded integration (LEL + FQL + UFCS)</w:t>
            </w:r>
          </w:p>
        </w:tc>
        <w:tc>
          <w:tcPr>
            <w:tcW w:type="dxa" w:w="1296"/>
          </w:tcPr>
          <w:p>
            <w:pPr>
              <w:jc w:val="center"/>
            </w:pPr>
            <w:r/>
            <w:r>
              <w:rPr>
                <w:b/>
                <w:sz w:val="19"/>
              </w:rPr>
              <w:t>FIG. 6</w:t>
            </w:r>
          </w:p>
        </w:tc>
        <w:tc>
          <w:tcPr>
            <w:tcW w:type="dxa" w:w="1440"/>
          </w:tcPr>
          <w:p>
            <w:r/>
            <w:r>
              <w:rPr>
                <w:sz w:val="17"/>
              </w:rPr>
              <w:t>Specified</w:t>
            </w:r>
          </w:p>
        </w:tc>
      </w:tr>
      <w:tr>
        <w:tc>
          <w:tcPr>
            <w:tcW w:type="dxa" w:w="6624"/>
          </w:tcPr>
          <w:p>
            <w:r/>
            <w:r>
              <w:rPr>
                <w:sz w:val="19"/>
              </w:rPr>
              <w:t>Language Lab reduced-to-practice prototype (Phases 1-2)</w:t>
            </w:r>
          </w:p>
        </w:tc>
        <w:tc>
          <w:tcPr>
            <w:tcW w:type="dxa" w:w="1296"/>
          </w:tcPr>
          <w:p>
            <w:pPr>
              <w:jc w:val="center"/>
            </w:pPr>
            <w:r/>
            <w:r>
              <w:rPr>
                <w:b/>
                <w:sz w:val="19"/>
              </w:rPr>
              <w:t>FIG. 7</w:t>
            </w:r>
          </w:p>
        </w:tc>
        <w:tc>
          <w:tcPr>
            <w:tcW w:type="dxa" w:w="1440"/>
          </w:tcPr>
          <w:p>
            <w:r/>
            <w:r>
              <w:rPr>
                <w:sz w:val="17"/>
              </w:rPr>
              <w:t>Prototype</w:t>
            </w:r>
          </w:p>
        </w:tc>
      </w:tr>
      <w:tr>
        <w:tc>
          <w:tcPr>
            <w:tcW w:type="dxa" w:w="6624"/>
          </w:tcPr>
          <w:p>
            <w:r/>
            <w:r>
              <w:rPr>
                <w:sz w:val="19"/>
              </w:rPr>
              <w:t>Deterministic Phase-2 semantic grounding (dictionary + store, no LLM)</w:t>
            </w:r>
          </w:p>
        </w:tc>
        <w:tc>
          <w:tcPr>
            <w:tcW w:type="dxa" w:w="1296"/>
          </w:tcPr>
          <w:p>
            <w:pPr>
              <w:jc w:val="center"/>
            </w:pPr>
            <w:r/>
            <w:r>
              <w:rPr>
                <w:b/>
                <w:sz w:val="19"/>
              </w:rPr>
              <w:t>FIG. 8</w:t>
            </w:r>
          </w:p>
        </w:tc>
        <w:tc>
          <w:tcPr>
            <w:tcW w:type="dxa" w:w="1440"/>
          </w:tcPr>
          <w:p>
            <w:r/>
            <w:r>
              <w:rPr>
                <w:sz w:val="17"/>
              </w:rPr>
              <w:t>Prototype</w:t>
            </w:r>
          </w:p>
        </w:tc>
      </w:tr>
      <w:tr>
        <w:tc>
          <w:tcPr>
            <w:tcW w:type="dxa" w:w="6624"/>
          </w:tcPr>
          <w:p>
            <w:r/>
            <w:r>
              <w:rPr>
                <w:sz w:val="19"/>
              </w:rPr>
              <w:t>Advanced multilingual pronunciation and self-contained speech</w:t>
            </w:r>
          </w:p>
        </w:tc>
        <w:tc>
          <w:tcPr>
            <w:tcW w:type="dxa" w:w="1296"/>
          </w:tcPr>
          <w:p>
            <w:pPr>
              <w:jc w:val="center"/>
            </w:pPr>
            <w:r/>
            <w:r>
              <w:rPr>
                <w:b/>
                <w:sz w:val="19"/>
              </w:rPr>
              <w:t>FIG. 31</w:t>
            </w:r>
          </w:p>
        </w:tc>
        <w:tc>
          <w:tcPr>
            <w:tcW w:type="dxa" w:w="1440"/>
          </w:tcPr>
          <w:p>
            <w:r/>
            <w:r>
              <w:rPr>
                <w:sz w:val="17"/>
              </w:rPr>
              <w:t>Prototype</w:t>
            </w:r>
          </w:p>
        </w:tc>
      </w:tr>
      <w:tr>
        <w:tc>
          <w:tcPr>
            <w:tcW w:type="dxa" w:w="6624"/>
          </w:tcPr>
          <w:p>
            <w:r/>
            <w:r>
              <w:rPr>
                <w:sz w:val="19"/>
              </w:rPr>
              <w:t>Permanent pronunciation / speech quality-control battery</w:t>
            </w:r>
          </w:p>
        </w:tc>
        <w:tc>
          <w:tcPr>
            <w:tcW w:type="dxa" w:w="1296"/>
          </w:tcPr>
          <w:p>
            <w:pPr>
              <w:jc w:val="center"/>
            </w:pPr>
            <w:r/>
            <w:r>
              <w:rPr>
                <w:b/>
                <w:sz w:val="19"/>
              </w:rPr>
              <w:t>FIG. 32</w:t>
            </w:r>
          </w:p>
        </w:tc>
        <w:tc>
          <w:tcPr>
            <w:tcW w:type="dxa" w:w="1440"/>
          </w:tcPr>
          <w:p>
            <w:r/>
            <w:r>
              <w:rPr>
                <w:sz w:val="17"/>
              </w:rPr>
              <w:t>Prototype</w:t>
            </w:r>
          </w:p>
        </w:tc>
      </w:tr>
      <w:tr>
        <w:tc>
          <w:tcPr>
            <w:tcW w:type="dxa" w:w="6624"/>
          </w:tcPr>
          <w:p>
            <w:r/>
            <w:r>
              <w:rPr>
                <w:sz w:val="19"/>
              </w:rPr>
              <w:t>Deterministic multilingual acquisition (no generative model)</w:t>
            </w:r>
          </w:p>
        </w:tc>
        <w:tc>
          <w:tcPr>
            <w:tcW w:type="dxa" w:w="1296"/>
          </w:tcPr>
          <w:p>
            <w:pPr>
              <w:jc w:val="center"/>
            </w:pPr>
            <w:r/>
            <w:r>
              <w:rPr>
                <w:b/>
                <w:sz w:val="19"/>
              </w:rPr>
              <w:t>FIG. 41</w:t>
            </w:r>
          </w:p>
        </w:tc>
        <w:tc>
          <w:tcPr>
            <w:tcW w:type="dxa" w:w="1440"/>
          </w:tcPr>
          <w:p>
            <w:r/>
            <w:r>
              <w:rPr>
                <w:sz w:val="17"/>
              </w:rPr>
              <w:t>Prototype</w:t>
            </w:r>
          </w:p>
        </w:tc>
      </w:tr>
      <w:tr>
        <w:tc>
          <w:tcPr>
            <w:tcW w:type="dxa" w:w="6624"/>
          </w:tcPr>
          <w:p>
            <w:r/>
            <w:r>
              <w:rPr>
                <w:sz w:val="19"/>
              </w:rPr>
              <w:t>Dialect Parameter Clusters (DPC)</w:t>
            </w:r>
          </w:p>
        </w:tc>
        <w:tc>
          <w:tcPr>
            <w:tcW w:type="dxa" w:w="1296"/>
          </w:tcPr>
          <w:p>
            <w:pPr>
              <w:jc w:val="center"/>
            </w:pPr>
            <w:r/>
            <w:r>
              <w:rPr>
                <w:b/>
                <w:sz w:val="19"/>
              </w:rPr>
              <w:t>FIG. 42</w:t>
            </w:r>
          </w:p>
        </w:tc>
        <w:tc>
          <w:tcPr>
            <w:tcW w:type="dxa" w:w="1440"/>
          </w:tcPr>
          <w:p>
            <w:r/>
            <w:r>
              <w:rPr>
                <w:sz w:val="17"/>
              </w:rPr>
              <w:t>Prototype</w:t>
            </w:r>
          </w:p>
        </w:tc>
      </w:tr>
      <w:tr>
        <w:tc>
          <w:tcPr>
            <w:tcW w:type="dxa" w:w="9360"/>
            <w:gridSpan w:val="3"/>
            <w:shd w:val="clear" w:fill="F0EDE6"/>
          </w:tcPr>
          <w:p>
            <w:r/>
            <w:r>
              <w:rPr>
                <w:b/>
                <w:sz w:val="20"/>
              </w:rPr>
              <w:t>G. Identity, integrity, interpretation and lectures</w:t>
            </w:r>
          </w:p>
        </w:tc>
      </w:tr>
      <w:tr>
        <w:tc>
          <w:tcPr>
            <w:tcW w:type="dxa" w:w="6624"/>
          </w:tcPr>
          <w:p>
            <w:r/>
            <w:r>
              <w:rPr>
                <w:sz w:val="19"/>
              </w:rPr>
              <w:t>LIL — voiceprint enrollment and matching over the identity graph</w:t>
            </w:r>
          </w:p>
        </w:tc>
        <w:tc>
          <w:tcPr>
            <w:tcW w:type="dxa" w:w="1296"/>
          </w:tcPr>
          <w:p>
            <w:pPr>
              <w:jc w:val="center"/>
            </w:pPr>
            <w:r/>
            <w:r>
              <w:rPr>
                <w:b/>
                <w:sz w:val="19"/>
              </w:rPr>
              <w:t>FIG. 33</w:t>
            </w:r>
          </w:p>
        </w:tc>
        <w:tc>
          <w:tcPr>
            <w:tcW w:type="dxa" w:w="1440"/>
          </w:tcPr>
          <w:p>
            <w:r/>
            <w:r>
              <w:rPr>
                <w:sz w:val="17"/>
              </w:rPr>
              <w:t>Prototype</w:t>
            </w:r>
          </w:p>
        </w:tc>
      </w:tr>
      <w:tr>
        <w:tc>
          <w:tcPr>
            <w:tcW w:type="dxa" w:w="6624"/>
          </w:tcPr>
          <w:p>
            <w:r/>
            <w:r>
              <w:rPr>
                <w:sz w:val="19"/>
              </w:rPr>
              <w:t>LIL — trust-gated voice authentication with anti-spoofing</w:t>
            </w:r>
          </w:p>
        </w:tc>
        <w:tc>
          <w:tcPr>
            <w:tcW w:type="dxa" w:w="1296"/>
          </w:tcPr>
          <w:p>
            <w:pPr>
              <w:jc w:val="center"/>
            </w:pPr>
            <w:r/>
            <w:r>
              <w:rPr>
                <w:b/>
                <w:sz w:val="19"/>
              </w:rPr>
              <w:t>FIG. 34</w:t>
            </w:r>
          </w:p>
        </w:tc>
        <w:tc>
          <w:tcPr>
            <w:tcW w:type="dxa" w:w="1440"/>
          </w:tcPr>
          <w:p>
            <w:r/>
            <w:r>
              <w:rPr>
                <w:sz w:val="17"/>
              </w:rPr>
              <w:t>Specified</w:t>
            </w:r>
          </w:p>
        </w:tc>
      </w:tr>
      <w:tr>
        <w:tc>
          <w:tcPr>
            <w:tcW w:type="dxa" w:w="6624"/>
          </w:tcPr>
          <w:p>
            <w:r/>
            <w:r>
              <w:rPr>
                <w:sz w:val="19"/>
              </w:rPr>
              <w:t>UIAS — pre-dispute sealing and cross-submission similarity</w:t>
            </w:r>
          </w:p>
        </w:tc>
        <w:tc>
          <w:tcPr>
            <w:tcW w:type="dxa" w:w="1296"/>
          </w:tcPr>
          <w:p>
            <w:pPr>
              <w:jc w:val="center"/>
            </w:pPr>
            <w:r/>
            <w:r>
              <w:rPr>
                <w:b/>
                <w:sz w:val="19"/>
              </w:rPr>
              <w:t>FIG. 35</w:t>
            </w:r>
          </w:p>
        </w:tc>
        <w:tc>
          <w:tcPr>
            <w:tcW w:type="dxa" w:w="1440"/>
          </w:tcPr>
          <w:p>
            <w:r/>
            <w:r>
              <w:rPr>
                <w:sz w:val="17"/>
              </w:rPr>
              <w:t>Specified</w:t>
            </w:r>
          </w:p>
        </w:tc>
      </w:tr>
      <w:tr>
        <w:tc>
          <w:tcPr>
            <w:tcW w:type="dxa" w:w="6624"/>
          </w:tcPr>
          <w:p>
            <w:r/>
            <w:r>
              <w:rPr>
                <w:sz w:val="19"/>
              </w:rPr>
              <w:t>UIAS — signed Proof Package generation</w:t>
            </w:r>
          </w:p>
        </w:tc>
        <w:tc>
          <w:tcPr>
            <w:tcW w:type="dxa" w:w="1296"/>
          </w:tcPr>
          <w:p>
            <w:pPr>
              <w:jc w:val="center"/>
            </w:pPr>
            <w:r/>
            <w:r>
              <w:rPr>
                <w:b/>
                <w:sz w:val="19"/>
              </w:rPr>
              <w:t>FIG. 36</w:t>
            </w:r>
          </w:p>
        </w:tc>
        <w:tc>
          <w:tcPr>
            <w:tcW w:type="dxa" w:w="1440"/>
          </w:tcPr>
          <w:p>
            <w:r/>
            <w:r>
              <w:rPr>
                <w:sz w:val="17"/>
              </w:rPr>
              <w:t>Specified</w:t>
            </w:r>
          </w:p>
        </w:tc>
      </w:tr>
      <w:tr>
        <w:tc>
          <w:tcPr>
            <w:tcW w:type="dxa" w:w="6624"/>
          </w:tcPr>
          <w:p>
            <w:r/>
            <w:r>
              <w:rPr>
                <w:sz w:val="19"/>
              </w:rPr>
              <w:t>PIL — paralinguistic and pragmatic interpretation of an ingested voice</w:t>
            </w:r>
          </w:p>
        </w:tc>
        <w:tc>
          <w:tcPr>
            <w:tcW w:type="dxa" w:w="1296"/>
          </w:tcPr>
          <w:p>
            <w:pPr>
              <w:jc w:val="center"/>
            </w:pPr>
            <w:r/>
            <w:r>
              <w:rPr>
                <w:b/>
                <w:sz w:val="19"/>
              </w:rPr>
              <w:t>FIG. 37</w:t>
            </w:r>
          </w:p>
        </w:tc>
        <w:tc>
          <w:tcPr>
            <w:tcW w:type="dxa" w:w="1440"/>
          </w:tcPr>
          <w:p>
            <w:r/>
            <w:r>
              <w:rPr>
                <w:sz w:val="17"/>
              </w:rPr>
              <w:t>Prototype</w:t>
            </w:r>
          </w:p>
        </w:tc>
      </w:tr>
      <w:tr>
        <w:tc>
          <w:tcPr>
            <w:tcW w:type="dxa" w:w="6624"/>
          </w:tcPr>
          <w:p>
            <w:r/>
            <w:r>
              <w:rPr>
                <w:sz w:val="19"/>
              </w:rPr>
              <w:t>PIL — human query interpretation (clarify-or-answer)</w:t>
            </w:r>
          </w:p>
        </w:tc>
        <w:tc>
          <w:tcPr>
            <w:tcW w:type="dxa" w:w="1296"/>
          </w:tcPr>
          <w:p>
            <w:pPr>
              <w:jc w:val="center"/>
            </w:pPr>
            <w:r/>
            <w:r>
              <w:rPr>
                <w:b/>
                <w:sz w:val="19"/>
              </w:rPr>
              <w:t>FIG. 38</w:t>
            </w:r>
          </w:p>
        </w:tc>
        <w:tc>
          <w:tcPr>
            <w:tcW w:type="dxa" w:w="1440"/>
          </w:tcPr>
          <w:p>
            <w:r/>
            <w:r>
              <w:rPr>
                <w:sz w:val="17"/>
              </w:rPr>
              <w:t>Prototype</w:t>
            </w:r>
          </w:p>
        </w:tc>
      </w:tr>
      <w:tr>
        <w:tc>
          <w:tcPr>
            <w:tcW w:type="dxa" w:w="6624"/>
          </w:tcPr>
          <w:p>
            <w:r/>
            <w:r>
              <w:rPr>
                <w:sz w:val="19"/>
              </w:rPr>
              <w:t>Lecture Query — ingestion pipeline</w:t>
            </w:r>
          </w:p>
        </w:tc>
        <w:tc>
          <w:tcPr>
            <w:tcW w:type="dxa" w:w="1296"/>
          </w:tcPr>
          <w:p>
            <w:pPr>
              <w:jc w:val="center"/>
            </w:pPr>
            <w:r/>
            <w:r>
              <w:rPr>
                <w:b/>
                <w:sz w:val="19"/>
              </w:rPr>
              <w:t>FIG. 39</w:t>
            </w:r>
          </w:p>
        </w:tc>
        <w:tc>
          <w:tcPr>
            <w:tcW w:type="dxa" w:w="1440"/>
          </w:tcPr>
          <w:p>
            <w:r/>
            <w:r>
              <w:rPr>
                <w:sz w:val="17"/>
              </w:rPr>
              <w:t>Prototype</w:t>
            </w:r>
          </w:p>
        </w:tc>
      </w:tr>
      <w:tr>
        <w:tc>
          <w:tcPr>
            <w:tcW w:type="dxa" w:w="6624"/>
          </w:tcPr>
          <w:p>
            <w:r/>
            <w:r>
              <w:rPr>
                <w:sz w:val="19"/>
              </w:rPr>
              <w:t>Lecture Query — forever-linked record and its querying</w:t>
            </w:r>
          </w:p>
        </w:tc>
        <w:tc>
          <w:tcPr>
            <w:tcW w:type="dxa" w:w="1296"/>
          </w:tcPr>
          <w:p>
            <w:pPr>
              <w:jc w:val="center"/>
            </w:pPr>
            <w:r/>
            <w:r>
              <w:rPr>
                <w:b/>
                <w:sz w:val="19"/>
              </w:rPr>
              <w:t>FIG. 40</w:t>
            </w:r>
          </w:p>
        </w:tc>
        <w:tc>
          <w:tcPr>
            <w:tcW w:type="dxa" w:w="1440"/>
          </w:tcPr>
          <w:p>
            <w:r/>
            <w:r>
              <w:rPr>
                <w:sz w:val="17"/>
              </w:rPr>
              <w:t>Prototype</w:t>
            </w:r>
          </w:p>
        </w:tc>
      </w:tr>
      <w:tr>
        <w:tc>
          <w:tcPr>
            <w:tcW w:type="dxa" w:w="9360"/>
            <w:gridSpan w:val="3"/>
            <w:shd w:val="clear" w:fill="F0EDE6"/>
          </w:tcPr>
          <w:p>
            <w:r/>
            <w:r>
              <w:rPr>
                <w:b/>
                <w:sz w:val="20"/>
              </w:rPr>
              <w:t>H. Application embodiments</w:t>
            </w:r>
          </w:p>
        </w:tc>
      </w:tr>
      <w:tr>
        <w:tc>
          <w:tcPr>
            <w:tcW w:type="dxa" w:w="6624"/>
          </w:tcPr>
          <w:p>
            <w:r/>
            <w:r>
              <w:rPr>
                <w:sz w:val="19"/>
              </w:rPr>
              <w:t>Cited Q&amp;A / ChatBot application (citation-or-UNKNOWN end to end)</w:t>
            </w:r>
          </w:p>
        </w:tc>
        <w:tc>
          <w:tcPr>
            <w:tcW w:type="dxa" w:w="1296"/>
          </w:tcPr>
          <w:p>
            <w:pPr>
              <w:jc w:val="center"/>
            </w:pPr>
            <w:r/>
            <w:r>
              <w:rPr>
                <w:b/>
                <w:sz w:val="19"/>
              </w:rPr>
              <w:t>FIG. 48</w:t>
            </w:r>
          </w:p>
        </w:tc>
        <w:tc>
          <w:tcPr>
            <w:tcW w:type="dxa" w:w="1440"/>
          </w:tcPr>
          <w:p>
            <w:r/>
            <w:r>
              <w:rPr>
                <w:sz w:val="17"/>
              </w:rPr>
              <w:t>Prototype</w:t>
            </w:r>
          </w:p>
        </w:tc>
      </w:tr>
      <w:tr>
        <w:tc>
          <w:tcPr>
            <w:tcW w:type="dxa" w:w="6624"/>
          </w:tcPr>
          <w:p>
            <w:r/>
            <w:r>
              <w:rPr>
                <w:sz w:val="19"/>
              </w:rPr>
              <w:t>Application and deployment surfaces over the invariant core</w:t>
            </w:r>
          </w:p>
        </w:tc>
        <w:tc>
          <w:tcPr>
            <w:tcW w:type="dxa" w:w="1296"/>
          </w:tcPr>
          <w:p>
            <w:pPr>
              <w:jc w:val="center"/>
            </w:pPr>
            <w:r/>
            <w:r>
              <w:rPr>
                <w:b/>
                <w:sz w:val="19"/>
              </w:rPr>
              <w:t>FIG. 49</w:t>
            </w:r>
          </w:p>
        </w:tc>
        <w:tc>
          <w:tcPr>
            <w:tcW w:type="dxa" w:w="1440"/>
          </w:tcPr>
          <w:p>
            <w:r/>
            <w:r>
              <w:rPr>
                <w:sz w:val="17"/>
              </w:rPr>
              <w:t>Prototype</w:t>
            </w:r>
          </w:p>
        </w:tc>
      </w:tr>
    </w:tbl>
    <w:p>
      <w:r>
        <w:br w:type="page"/>
      </w:r>
    </w:p>
    <w:p>
      <w:pPr>
        <w:pStyle w:val="Heading1"/>
      </w:pPr>
      <w:r>
        <w:t>Brief Description of the Drawings</w:t>
      </w:r>
    </w:p>
    <w:p>
      <w:pPr>
        <w:spacing w:after="80"/>
      </w:pPr>
      <w:r>
        <w:rPr>
          <w:b/>
        </w:rPr>
        <w:t xml:space="preserve">FIG. 1  </w:t>
      </w:r>
      <w:r>
        <w:t>is a block diagram of the overall QueryBook Language Expression Layer (LEL) system architecture.</w:t>
      </w:r>
    </w:p>
    <w:p>
      <w:pPr>
        <w:spacing w:after="80"/>
      </w:pPr>
      <w:r>
        <w:rPr>
          <w:b/>
        </w:rPr>
        <w:t xml:space="preserve">FIG. 2  </w:t>
      </w:r>
      <w:r>
        <w:t>is a block diagram of the Sub-Language Priming Layer (SLPL) and the measurable representation produced by each of its six components.</w:t>
      </w:r>
    </w:p>
    <w:p>
      <w:pPr>
        <w:spacing w:after="80"/>
      </w:pPr>
      <w:r>
        <w:rPr>
          <w:b/>
        </w:rPr>
        <w:t xml:space="preserve">FIG. 3  </w:t>
      </w:r>
      <w:r>
        <w:t>is a flow diagram of the developmental learning sequence and the one-way Transition Gate having four readiness thresholds.</w:t>
      </w:r>
    </w:p>
    <w:p>
      <w:pPr>
        <w:spacing w:after="80"/>
      </w:pPr>
      <w:r>
        <w:rPr>
          <w:b/>
        </w:rPr>
        <w:t xml:space="preserve">FIG. 4  </w:t>
      </w:r>
      <w:r>
        <w:t>is a block diagram of the multilingual Delta Acquisition Model and the acquisition acceleration flywheel.</w:t>
      </w:r>
    </w:p>
    <w:p>
      <w:pPr>
        <w:spacing w:after="80"/>
      </w:pPr>
      <w:r>
        <w:rPr>
          <w:b/>
        </w:rPr>
        <w:t xml:space="preserve">FIG. 5  </w:t>
      </w:r>
      <w:r>
        <w:t>is a block diagram of the seven-stage Speech Output Pipeline.</w:t>
      </w:r>
    </w:p>
    <w:p>
      <w:pPr>
        <w:spacing w:after="80"/>
      </w:pPr>
      <w:r>
        <w:rPr>
          <w:b/>
        </w:rPr>
        <w:t xml:space="preserve">FIG. 6  </w:t>
      </w:r>
      <w:r>
        <w:t>is a data-flow diagram of the co-grounded integration of the LEL with the Federated Query Language (FQL) and the Universal Federated Connectivity System (UFCS).</w:t>
      </w:r>
    </w:p>
    <w:p>
      <w:pPr>
        <w:spacing w:after="80"/>
      </w:pPr>
      <w:r>
        <w:rPr>
          <w:b/>
        </w:rPr>
        <w:t xml:space="preserve">FIG. 7  </w:t>
      </w:r>
      <w:r>
        <w:t>is a block diagram of a reduced-to-practice embodiment (the Language Lab) implementing Phase One, the Transition Gate, and a deterministic Phase Two, per Section VII.</w:t>
      </w:r>
    </w:p>
    <w:p>
      <w:pPr>
        <w:spacing w:after="80"/>
      </w:pPr>
      <w:r>
        <w:rPr>
          <w:b/>
        </w:rPr>
        <w:t xml:space="preserve">FIG. 8  </w:t>
      </w:r>
      <w:r>
        <w:t>is a data-flow diagram of the deterministic Phase-Two semantic grounding of the reduced-to-practice embodiment, in which word meanings are attached only from auditable sources — a bundled public-domain dictionary and self-grounding against verified Fact Units in the store — with any large-language-model meaning source excluded from the grounding path.</w:t>
      </w:r>
    </w:p>
    <w:p>
      <w:pPr>
        <w:spacing w:after="80"/>
      </w:pPr>
      <w:r>
        <w:rPr>
          <w:b/>
        </w:rPr>
        <w:t xml:space="preserve">FIG. 9  </w:t>
      </w:r>
      <w:r>
        <w:t>is a diagram of the queryBook system architecture (Prime Directive as Domain 0).</w:t>
      </w:r>
    </w:p>
    <w:p>
      <w:pPr>
        <w:spacing w:after="80"/>
      </w:pPr>
      <w:r>
        <w:rPr>
          <w:b/>
        </w:rPr>
        <w:t xml:space="preserve">FIG. 10  </w:t>
      </w:r>
      <w:r>
        <w:t>is a diagram of the fact Unit — atom, envelope, and content-derived identity.</w:t>
      </w:r>
    </w:p>
    <w:p>
      <w:pPr>
        <w:spacing w:after="80"/>
      </w:pPr>
      <w:r>
        <w:rPr>
          <w:b/>
        </w:rPr>
        <w:t xml:space="preserve">FIG. 11  </w:t>
      </w:r>
      <w:r>
        <w:t>is a diagram of the fact-certification authority hierarchy.</w:t>
      </w:r>
    </w:p>
    <w:p>
      <w:pPr>
        <w:spacing w:after="80"/>
      </w:pPr>
      <w:r>
        <w:rPr>
          <w:b/>
        </w:rPr>
        <w:t xml:space="preserve">FIG. 12  </w:t>
      </w:r>
      <w:r>
        <w:t>is a diagram of the uFCS substrate — three-store architecture.</w:t>
      </w:r>
    </w:p>
    <w:p>
      <w:pPr>
        <w:spacing w:after="80"/>
      </w:pPr>
      <w:r>
        <w:rPr>
          <w:b/>
        </w:rPr>
        <w:t xml:space="preserve">FIG. 13  </w:t>
      </w:r>
      <w:r>
        <w:t>is a diagram of the authored tour and exhibition sequencing.</w:t>
      </w:r>
    </w:p>
    <w:p>
      <w:pPr>
        <w:spacing w:after="80"/>
      </w:pPr>
      <w:r>
        <w:rPr>
          <w:b/>
        </w:rPr>
        <w:t xml:space="preserve">FIG. 14  </w:t>
      </w:r>
      <w:r>
        <w:t>is a diagram of the fQL — joint structure and trust execution.</w:t>
      </w:r>
    </w:p>
    <w:p>
      <w:pPr>
        <w:spacing w:after="80"/>
      </w:pPr>
      <w:r>
        <w:rPr>
          <w:b/>
        </w:rPr>
        <w:t xml:space="preserve">FIG. 15  </w:t>
      </w:r>
      <w:r>
        <w:t>is a diagram of the verifying machine-generated text against certified records.</w:t>
      </w:r>
    </w:p>
    <w:p>
      <w:pPr>
        <w:spacing w:after="80"/>
      </w:pPr>
      <w:r>
        <w:rPr>
          <w:b/>
        </w:rPr>
        <w:t xml:space="preserve">FIG. 16  </w:t>
      </w:r>
      <w:r>
        <w:t>is a diagram of the federation — cross-boundary re-validation.</w:t>
      </w:r>
    </w:p>
    <w:p>
      <w:pPr>
        <w:spacing w:after="80"/>
      </w:pPr>
      <w:r>
        <w:rPr>
          <w:b/>
        </w:rPr>
        <w:t xml:space="preserve">FIG. 17  </w:t>
      </w:r>
      <w:r>
        <w:t>is a diagram of the fact-level erasure by external-key destruction.</w:t>
      </w:r>
    </w:p>
    <w:p>
      <w:pPr>
        <w:spacing w:after="80"/>
      </w:pPr>
      <w:r>
        <w:rPr>
          <w:b/>
        </w:rPr>
        <w:t xml:space="preserve">FIG. 18  </w:t>
      </w:r>
      <w:r>
        <w:t>is a diagram of the universal security architecture.</w:t>
      </w:r>
    </w:p>
    <w:p>
      <w:pPr>
        <w:spacing w:after="80"/>
      </w:pPr>
      <w:r>
        <w:rPr>
          <w:b/>
        </w:rPr>
        <w:t xml:space="preserve">FIG. 19  </w:t>
      </w:r>
      <w:r>
        <w:t>is a diagram of the universal honeypot saturation and data firehose.</w:t>
      </w:r>
    </w:p>
    <w:p>
      <w:pPr>
        <w:spacing w:after="80"/>
      </w:pPr>
      <w:r>
        <w:rPr>
          <w:b/>
        </w:rPr>
        <w:t xml:space="preserve">FIG. 20  </w:t>
      </w:r>
      <w:r>
        <w:t>is a diagram of the deployment topologies over an invariant common layer.</w:t>
      </w:r>
    </w:p>
    <w:p>
      <w:pPr>
        <w:spacing w:after="80"/>
      </w:pPr>
      <w:r>
        <w:rPr>
          <w:b/>
        </w:rPr>
        <w:t xml:space="preserve">FIG. 21  </w:t>
      </w:r>
      <w:r>
        <w:t>is a diagram of the adaptive response engine — directive fixed before generation.</w:t>
      </w:r>
    </w:p>
    <w:p>
      <w:pPr>
        <w:spacing w:after="80"/>
      </w:pPr>
      <w:r>
        <w:rPr>
          <w:b/>
        </w:rPr>
        <w:t xml:space="preserve">FIG. 22  </w:t>
      </w:r>
      <w:r>
        <w:t>is a diagram of the user-owned agent system with governance and kill switch.</w:t>
      </w:r>
    </w:p>
    <w:p>
      <w:pPr>
        <w:spacing w:after="80"/>
      </w:pPr>
      <w:r>
        <w:rPr>
          <w:b/>
        </w:rPr>
        <w:t xml:space="preserve">FIG. 23  </w:t>
      </w:r>
      <w:r>
        <w:t>is a diagram of the deterministic multi-language regeneration.</w:t>
      </w:r>
    </w:p>
    <w:p>
      <w:pPr>
        <w:spacing w:after="80"/>
      </w:pPr>
      <w:r>
        <w:rPr>
          <w:b/>
        </w:rPr>
        <w:t xml:space="preserve">FIG. 24  </w:t>
      </w:r>
      <w:r>
        <w:t>is a diagram of the semantic compression, expansion, colorization and upscaling.</w:t>
      </w:r>
    </w:p>
    <w:p>
      <w:pPr>
        <w:spacing w:after="80"/>
      </w:pPr>
      <w:r>
        <w:rPr>
          <w:b/>
        </w:rPr>
        <w:t xml:space="preserve">FIG. 25  </w:t>
      </w:r>
      <w:r>
        <w:t>is a diagram of the queryBook-enhanced TCP/IP hybrid protocol packet.</w:t>
      </w:r>
    </w:p>
    <w:p>
      <w:pPr>
        <w:spacing w:after="80"/>
      </w:pPr>
      <w:r>
        <w:rPr>
          <w:b/>
        </w:rPr>
        <w:t xml:space="preserve">FIG. 26  </w:t>
      </w:r>
      <w:r>
        <w:t>is a diagram of the neuromorphic cognitive layer — attractor convergence.</w:t>
      </w:r>
    </w:p>
    <w:p>
      <w:pPr>
        <w:spacing w:after="80"/>
      </w:pPr>
      <w:r>
        <w:rPr>
          <w:b/>
        </w:rPr>
        <w:t xml:space="preserve">FIG. 27  </w:t>
      </w:r>
      <w:r>
        <w:t>is a diagram of the fact Unit — confidence and evidence model.</w:t>
      </w:r>
    </w:p>
    <w:p>
      <w:pPr>
        <w:spacing w:after="80"/>
      </w:pPr>
      <w:r>
        <w:rPr>
          <w:b/>
        </w:rPr>
        <w:t xml:space="preserve">FIG. 28  </w:t>
      </w:r>
      <w:r>
        <w:t>is a diagram of the uFCS packet structure — serialized Fact Unit record.</w:t>
      </w:r>
    </w:p>
    <w:p>
      <w:pPr>
        <w:spacing w:after="80"/>
      </w:pPr>
      <w:r>
        <w:rPr>
          <w:b/>
        </w:rPr>
        <w:t xml:space="preserve">FIG. 29  </w:t>
      </w:r>
      <w:r>
        <w:t>is a diagram of the uFCS packet framing — content-addressed block storage.</w:t>
      </w:r>
    </w:p>
    <w:p>
      <w:pPr>
        <w:spacing w:after="80"/>
      </w:pPr>
      <w:r>
        <w:rPr>
          <w:b/>
        </w:rPr>
        <w:t xml:space="preserve">FIG. 30  </w:t>
      </w:r>
      <w:r>
        <w:t>is a diagram of the fQL — query anatomy and worked example.</w:t>
      </w:r>
    </w:p>
    <w:p>
      <w:pPr>
        <w:spacing w:after="80"/>
      </w:pPr>
      <w:r>
        <w:rPr>
          <w:b/>
        </w:rPr>
        <w:t xml:space="preserve">FIG. 31  </w:t>
      </w:r>
      <w:r>
        <w:t>is a block diagram of the advanced multilingual pronunciation subsystem and self-contained speech output of the reduced-to-practice embodiment, showing the pronunciation preference ladder (bundled open-source phonemizer, then per-language rule-seeded grapheme-to-phoneme tables, then an explicit non-fabricated null), the single-call phrase transcription that keeps the displayed transcription consistent with the synthesized audio, and the self-contained bundle and engine-selection ladder that produce offline audio or an honest refusal without fabricating audio, per Section VIII.</w:t>
      </w:r>
    </w:p>
    <w:p>
      <w:pPr>
        <w:spacing w:after="80"/>
      </w:pPr>
      <w:r>
        <w:rPr>
          <w:b/>
        </w:rPr>
        <w:t xml:space="preserve">FIG. 32  </w:t>
      </w:r>
      <w:r>
        <w:t>is a flow diagram of the permanent, deterministic pronunciation-and-speech quality-control battery of the reduced-to-practice embodiment, which, for each supported language and without a large language model, verifies that a phonemic transcription is produced, that the syllable count is within tolerance, and that a short phrase synthesizes to a valid audio waveform, returning a per-language report and an overall pass score, per Section VIII.</w:t>
      </w:r>
    </w:p>
    <w:p>
      <w:pPr>
        <w:spacing w:after="80"/>
      </w:pPr>
      <w:r>
        <w:rPr>
          <w:b/>
        </w:rPr>
        <w:t xml:space="preserve">FIG. 33  </w:t>
      </w:r>
      <w:r>
        <w:t>is a data-flow diagram of the Language &amp; Identity Linking (LIL) voiceprint enrollment and matching subsystem, in which a consent-gated capture produces an acoustic speaker embedding (voiceprint), a match against stored voiceprints is passed through a QueryBook trust gate returning VERIFIED, CONTRADICTED, or UNKNOWN, and verified identity links are written as provenance-tracked, trust-scored Fact Units in the identity graph, with cross-script name and entity resolution performed by the language subsystem, per Section IX.</w:t>
      </w:r>
    </w:p>
    <w:p>
      <w:pPr>
        <w:spacing w:after="80"/>
      </w:pPr>
      <w:r>
        <w:rPr>
          <w:b/>
        </w:rPr>
        <w:t xml:space="preserve">FIG. 34  </w:t>
      </w:r>
      <w:r>
        <w:t>is a flow diagram of the LIL trust-gated voice authentication process, in which a claimed-identity verification produces a match score and anti-spoofing signals that feed a deterministic risk-scoring policy and a decision gate returning accept, challenge (second factor), or reject, each decision recorded as a provenance-tracked auth-event Fact Unit, per Section IX.</w:t>
      </w:r>
    </w:p>
    <w:p>
      <w:pPr>
        <w:spacing w:after="80"/>
      </w:pPr>
      <w:r>
        <w:rPr>
          <w:b/>
        </w:rPr>
        <w:t xml:space="preserve">FIG. 35  </w:t>
      </w:r>
      <w:r>
        <w:t>is a block diagram of the Universal Integrity Audit Service (UIAS), in which connector and ingestion agents observe an unmodified monitored system at multiple workflow positions and seal each observable event as a content-addressed Fact Unit carrying a content hash, a one-way submitter-identity hash, an independent nanosecond timestamp, a source fingerprint, and the sealing agent’s identity; a similarity-detection agent sets a contemporaneous cross-party anomaly flag over content signatures without storing content; and a verification agent continuously re-verifies the append-only Fact-Unit ledger, per Section X.</w:t>
      </w:r>
    </w:p>
    <w:p>
      <w:pPr>
        <w:spacing w:after="80"/>
      </w:pPr>
      <w:r>
        <w:rPr>
          <w:b/>
        </w:rPr>
        <w:t xml:space="preserve">FIG. 36  </w:t>
      </w:r>
      <w:r>
        <w:t>is a flow diagram of the UIAS signed Proof Package generation, in which, on an accusation or inquiry, a proof-package agent assembles verified sealed Fact Units, the similarity-log entry, a chronological ledger extract bound by the response-provenance hash, and a factual determination from the arbitration agent under the Prime-Directive gate, and signs the package under the UIAS independent identity to produce independent, pre-dispute, tamper-proof, complete, and admissible evidence, per Section X.</w:t>
      </w:r>
    </w:p>
    <w:p>
      <w:pPr>
        <w:spacing w:after="80"/>
      </w:pPr>
      <w:r>
        <w:rPr>
          <w:b/>
        </w:rPr>
        <w:t xml:space="preserve">FIG. 37  </w:t>
      </w:r>
      <w:r>
        <w:t>is a data-flow diagram of the Paralinguistic &amp; Pragmatic Interpretation Layer (PIL) applied to an ingested voice, in which a paralinguistic analyzer produces measured acoustic readings and a labeled arousal estimate while a pragmatic framer applies sourced context, perspective, ergonomics, culture, and social-mores frames, the two combining into an Interpretation Frame written as provenance-tracked Fact Units, with estimates labeled and never asserted as true feelings, per Section XI.</w:t>
      </w:r>
    </w:p>
    <w:p>
      <w:pPr>
        <w:spacing w:after="80"/>
      </w:pPr>
      <w:r>
        <w:rPr>
          <w:b/>
        </w:rPr>
        <w:t xml:space="preserve">FIG. 38  </w:t>
      </w:r>
      <w:r>
        <w:t>is a flow diagram of the PIL human-query interpretation, in which a query is reduced to an Interpretation Frame, intent is disambiguated from context and perspective, an ambiguity gate asks one clarifying question when intent is materially uncertain, a register-and-ergonomic-mode selector sets the reply style and delivery from sourced culture/mores/ergonomics packs, and the existing retrieve-gate-compose pipeline answers from verified Fact Units in that register without altering the facts, per Section XI.</w:t>
      </w:r>
    </w:p>
    <w:p>
      <w:pPr>
        <w:spacing w:after="80"/>
      </w:pPr>
      <w:r>
        <w:rPr>
          <w:b/>
        </w:rPr>
        <w:t xml:space="preserve">FIG. 39  </w:t>
      </w:r>
      <w:r>
        <w:t>is a block diagram of the Lecture Query mode ingestion pipeline, in which a live or recorded audio/video program is captured under consent, transcribed and diarized, analyzed by the paralinguistic layer over time and by the language layer for structure and claims, summarized deterministically, and ingested as a Lecture Record whose claims are stored as attributed utterance facts and which is forever-linked to the speaker, venue, event, organization, and date by immutable provenance-tracked, trust-gated identity links, per Section XII.</w:t>
      </w:r>
    </w:p>
    <w:p>
      <w:pPr>
        <w:spacing w:after="80"/>
      </w:pPr>
      <w:r>
        <w:rPr>
          <w:b/>
        </w:rPr>
        <w:t xml:space="preserve">FIG. 40  </w:t>
      </w:r>
      <w:r>
        <w:t>is a data-flow diagram of the forever-linked Lecture Record in the Fact-Unit identity graph and its querying, showing the record bound to speaker, venue, event, and organization entities and to the transcript and paralinguistic track, its attributed claims gated as corroborated, contradicted, or open, and a query answered with citations to the record and attribution to the speaker, refused where unknown, per Section XII.</w:t>
      </w:r>
    </w:p>
    <w:p>
      <w:pPr>
        <w:spacing w:after="80"/>
      </w:pPr>
      <w:r>
        <w:rPr>
          <w:b/>
        </w:rPr>
        <w:t xml:space="preserve">FIG. 41  </w:t>
      </w:r>
      <w:r>
        <w:t>is a data-flow diagram of deterministic multilingual acquisition without a generative model, in which a per-language learning agent acquires vocabulary, phonology (IPA), and grammatical regularities from a lawful public-domain corpus and a governed bilingual dictionary, an IPA transcription is verified against a reference phonemizer and withheld rather than asserted when verification fails, and each accepted item is written as a provenance-tracked lexical record reproducible from the same inputs, with no large or generative language model in the grounding path.</w:t>
      </w:r>
    </w:p>
    <w:p>
      <w:pPr>
        <w:spacing w:after="80"/>
      </w:pPr>
      <w:r>
        <w:rPr>
          <w:b/>
        </w:rPr>
        <w:t xml:space="preserve">FIG. 42  </w:t>
      </w:r>
      <w:r>
        <w:t>is a block diagram of a Dialect Parameter Cluster (DPC), a declared and versioned cluster of phonological, lexical, and orthographic parameters by which an input utterance is attributed to a dialect by a deterministic parameter-match score, the cluster modulating expression only and never altering admission, applicability scope, confidence, or the governed vocabulary.</w:t>
      </w:r>
    </w:p>
    <w:p>
      <w:pPr>
        <w:spacing w:after="80"/>
      </w:pPr>
      <w:r>
        <w:rPr>
          <w:b/>
        </w:rPr>
        <w:t xml:space="preserve">FIG. 43  </w:t>
      </w:r>
      <w:r>
        <w:t>is a data-flow diagram of grounded scene compilation to an external generative media engine, in which a grounded scene representation derived from verified Fact Units is compiled and validated into a prompt bundle for an external generative video engine and any returned media is admitted only as a derived artifact marked as a reconstruction and never as a grounding source.</w:t>
      </w:r>
    </w:p>
    <w:p>
      <w:pPr>
        <w:spacing w:after="80"/>
      </w:pPr>
      <w:r>
        <w:rPr>
          <w:b/>
        </w:rPr>
        <w:t xml:space="preserve">FIG. 44  </w:t>
      </w:r>
      <w:r>
        <w:t>is a block diagram of key-safe external-service mediation, in which a credential for an external service is held on the server side of the query/presentation boundary and never transmitted to the client, the server performing the external call and serving the result to the client by an opaque cache identifier so that the credential never crosses the boundary.</w:t>
      </w:r>
    </w:p>
    <w:p>
      <w:pPr>
        <w:spacing w:after="80"/>
      </w:pPr>
      <w:r>
        <w:rPr>
          <w:b/>
        </w:rPr>
        <w:t xml:space="preserve">FIG. 45  </w:t>
      </w:r>
      <w:r>
        <w:t>is a flow diagram of scene reconstruction from prose, in which a deterministic reconstructor derives a shot sequence, a timed prompt sequence, and pacing and music cues as a bounded reconstruction, renders a participant who is not an identified subject as a silhouette so that no unverified identity is fabricated, and marks the whole as a reconstruction.</w:t>
      </w:r>
    </w:p>
    <w:p>
      <w:pPr>
        <w:spacing w:after="80"/>
      </w:pPr>
      <w:r>
        <w:rPr>
          <w:b/>
        </w:rPr>
        <w:t xml:space="preserve">FIG. 46  </w:t>
      </w:r>
      <w:r>
        <w:t>is a block diagram of modular edition packaging, in which the system is deployable as one of a plurality of nested capability editions selected at launch, each edition enabling a declared subset of subsystems while the Prime Directive and the deterministic reasoning core remain invariant across every edition.</w:t>
      </w:r>
    </w:p>
    <w:p>
      <w:pPr>
        <w:spacing w:after="80"/>
      </w:pPr>
      <w:r>
        <w:rPr>
          <w:b/>
        </w:rPr>
        <w:t xml:space="preserve">FIG. 47  </w:t>
      </w:r>
      <w:r>
        <w:t>is a block diagram of the version-independent, provenance-continuous store, in which the knowledge store resides at a canonical location independent of the deployment software version so that successive software versions bind to the same provenance-tracked records, a version change never re-initializes the store, and the system refuses to substitute an empty store where a populated store exists.</w:t>
      </w:r>
    </w:p>
    <w:p>
      <w:pPr>
        <w:spacing w:after="80"/>
      </w:pPr>
      <w:r>
        <w:rPr>
          <w:b/>
        </w:rPr>
        <w:t xml:space="preserve">FIG. 48  </w:t>
      </w:r>
      <w:r>
        <w:t>is a data-flow diagram of a cited question-and-answer (ChatBot) application embodiment, in which a user question is interpreted for intent and register, answered by Federated Query Language retrieval over verified Fact Units, passed through the Prime-Directive gate, and returned either as a composed answer carrying per-fact citations or, where the evidence is insufficient, as an honest UNKNOWN, the same citation-or-UNKNOWN contract holding when the embodiment is deployed as a ChatBot or assistant surface.</w:t>
      </w:r>
    </w:p>
    <w:p>
      <w:pPr>
        <w:spacing w:after="80"/>
      </w:pPr>
      <w:r>
        <w:rPr>
          <w:b/>
        </w:rPr>
        <w:t xml:space="preserve">FIG. 49  </w:t>
      </w:r>
      <w:r>
        <w:t>is a block diagram of the application and deployment surfaces of the system over its invariant core, in which a single governed body of Fact Units is presented through an on-device micro-encapsulated eBook or document question-and-answer surface, a software-as-a-service or application-programming-interface service, a Fact-Unit compressed search engine, a deterministic large-language-model-hybrid adjunct, and a private or offline analysis deployment, each surface inheriting the same citation-or-UNKNOWN contract and provenance and none able to assert a fact the core would refuse.</w:t>
      </w:r>
    </w:p>
    <w:p>
      <w:r>
        <w:br w:type="page"/>
      </w:r>
    </w:p>
    <w:p>
      <w:pPr>
        <w:pStyle w:val="Heading1"/>
      </w:pPr>
      <w:r>
        <w:t>Reference Numerals</w:t>
      </w:r>
    </w:p>
    <w:tbl>
      <w:tblPr>
        <w:tblStyle w:val="TableGrid"/>
        <w:tblW w:type="auto" w:w="0"/>
        <w:tblLook w:firstColumn="1" w:firstRow="1" w:lastColumn="0" w:lastRow="0" w:noHBand="0" w:noVBand="1" w:val="04A0"/>
      </w:tblPr>
      <w:tblGrid>
        <w:gridCol w:w="2340"/>
        <w:gridCol w:w="2340"/>
        <w:gridCol w:w="2340"/>
        <w:gridCol w:w="2340"/>
      </w:tblGrid>
      <w:tr>
        <w:tc>
          <w:tcPr>
            <w:tcW w:type="dxa" w:w="1008"/>
            <w:shd w:val="clear" w:fill="E8E4DA"/>
          </w:tcPr>
          <w:p>
            <w:r/>
            <w:r>
              <w:rPr>
                <w:b/>
                <w:sz w:val="18"/>
              </w:rPr>
              <w:t>No.</w:t>
            </w:r>
          </w:p>
        </w:tc>
        <w:tc>
          <w:tcPr>
            <w:tcW w:type="dxa" w:w="3672"/>
            <w:shd w:val="clear" w:fill="E8E4DA"/>
          </w:tcPr>
          <w:p>
            <w:r/>
            <w:r>
              <w:rPr>
                <w:b/>
                <w:sz w:val="18"/>
              </w:rPr>
              <w:t>Element</w:t>
            </w:r>
          </w:p>
        </w:tc>
        <w:tc>
          <w:tcPr>
            <w:tcW w:type="dxa" w:w="1008"/>
            <w:shd w:val="clear" w:fill="E8E4DA"/>
          </w:tcPr>
          <w:p>
            <w:r/>
            <w:r>
              <w:rPr>
                <w:b/>
                <w:sz w:val="18"/>
              </w:rPr>
              <w:t>No.</w:t>
            </w:r>
          </w:p>
        </w:tc>
        <w:tc>
          <w:tcPr>
            <w:tcW w:type="dxa" w:w="3672"/>
            <w:shd w:val="clear" w:fill="E8E4DA"/>
          </w:tcPr>
          <w:p>
            <w:r/>
            <w:r>
              <w:rPr>
                <w:b/>
                <w:sz w:val="18"/>
              </w:rPr>
              <w:t>Element</w:t>
            </w:r>
          </w:p>
        </w:tc>
      </w:tr>
      <w:tr>
        <w:tc>
          <w:tcPr>
            <w:tcW w:type="dxa" w:w="1008"/>
          </w:tcPr>
          <w:p>
            <w:r/>
            <w:r>
              <w:rPr>
                <w:sz w:val="17"/>
              </w:rPr>
              <w:t>100</w:t>
            </w:r>
          </w:p>
        </w:tc>
        <w:tc>
          <w:tcPr>
            <w:tcW w:type="dxa" w:w="3672"/>
          </w:tcPr>
          <w:p>
            <w:r/>
            <w:r>
              <w:rPr>
                <w:sz w:val="17"/>
              </w:rPr>
              <w:t>QueryBook LEL system</w:t>
            </w:r>
          </w:p>
        </w:tc>
        <w:tc>
          <w:tcPr>
            <w:tcW w:type="dxa" w:w="1008"/>
          </w:tcPr>
          <w:p>
            <w:r/>
            <w:r>
              <w:rPr>
                <w:sz w:val="17"/>
              </w:rPr>
              <w:t>984</w:t>
            </w:r>
          </w:p>
        </w:tc>
        <w:tc>
          <w:tcPr>
            <w:tcW w:type="dxa" w:w="3672"/>
          </w:tcPr>
          <w:p>
            <w:r/>
            <w:r>
              <w:rPr>
                <w:sz w:val="17"/>
              </w:rPr>
              <w:t>engine-selection ladder (per OS / language)</w:t>
            </w:r>
          </w:p>
        </w:tc>
      </w:tr>
      <w:tr>
        <w:tc>
          <w:tcPr>
            <w:tcW w:type="dxa" w:w="1008"/>
          </w:tcPr>
          <w:p>
            <w:r/>
            <w:r>
              <w:rPr>
                <w:sz w:val="17"/>
              </w:rPr>
              <w:t>110</w:t>
            </w:r>
          </w:p>
        </w:tc>
        <w:tc>
          <w:tcPr>
            <w:tcW w:type="dxa" w:w="3672"/>
          </w:tcPr>
          <w:p>
            <w:r/>
            <w:r>
              <w:rPr>
                <w:sz w:val="17"/>
              </w:rPr>
              <w:t>Sub-Language Priming Layer (SLPL)</w:t>
            </w:r>
          </w:p>
        </w:tc>
        <w:tc>
          <w:tcPr>
            <w:tcW w:type="dxa" w:w="1008"/>
          </w:tcPr>
          <w:p>
            <w:r/>
            <w:r>
              <w:rPr>
                <w:sz w:val="17"/>
              </w:rPr>
              <w:t>985</w:t>
            </w:r>
          </w:p>
        </w:tc>
        <w:tc>
          <w:tcPr>
            <w:tcW w:type="dxa" w:w="3672"/>
          </w:tcPr>
          <w:p>
            <w:r/>
            <w:r>
              <w:rPr>
                <w:sz w:val="17"/>
              </w:rPr>
              <w:t>host OS built-in voice service</w:t>
            </w:r>
          </w:p>
        </w:tc>
      </w:tr>
      <w:tr>
        <w:tc>
          <w:tcPr>
            <w:tcW w:type="dxa" w:w="1008"/>
          </w:tcPr>
          <w:p>
            <w:r/>
            <w:r>
              <w:rPr>
                <w:sz w:val="17"/>
              </w:rPr>
              <w:t>120</w:t>
            </w:r>
          </w:p>
        </w:tc>
        <w:tc>
          <w:tcPr>
            <w:tcW w:type="dxa" w:w="3672"/>
          </w:tcPr>
          <w:p>
            <w:r/>
            <w:r>
              <w:rPr>
                <w:sz w:val="17"/>
              </w:rPr>
              <w:t>Language Expression Layer (LEL)</w:t>
            </w:r>
          </w:p>
        </w:tc>
        <w:tc>
          <w:tcPr>
            <w:tcW w:type="dxa" w:w="1008"/>
          </w:tcPr>
          <w:p>
            <w:r/>
            <w:r>
              <w:rPr>
                <w:sz w:val="17"/>
              </w:rPr>
              <w:t>986</w:t>
            </w:r>
          </w:p>
        </w:tc>
        <w:tc>
          <w:tcPr>
            <w:tcW w:type="dxa" w:w="3672"/>
          </w:tcPr>
          <w:p>
            <w:r/>
            <w:r>
              <w:rPr>
                <w:sz w:val="17"/>
              </w:rPr>
              <w:t>culture-matched OS voice (when installed)</w:t>
            </w:r>
          </w:p>
        </w:tc>
      </w:tr>
      <w:tr>
        <w:tc>
          <w:tcPr>
            <w:tcW w:type="dxa" w:w="1008"/>
          </w:tcPr>
          <w:p>
            <w:r/>
            <w:r>
              <w:rPr>
                <w:sz w:val="17"/>
              </w:rPr>
              <w:t>130</w:t>
            </w:r>
          </w:p>
        </w:tc>
        <w:tc>
          <w:tcPr>
            <w:tcW w:type="dxa" w:w="3672"/>
          </w:tcPr>
          <w:p>
            <w:r/>
            <w:r>
              <w:rPr>
                <w:sz w:val="17"/>
              </w:rPr>
              <w:t>Transition Gate</w:t>
            </w:r>
          </w:p>
        </w:tc>
        <w:tc>
          <w:tcPr>
            <w:tcW w:type="dxa" w:w="1008"/>
          </w:tcPr>
          <w:p>
            <w:r/>
            <w:r>
              <w:rPr>
                <w:sz w:val="17"/>
              </w:rPr>
              <w:t>987</w:t>
            </w:r>
          </w:p>
        </w:tc>
        <w:tc>
          <w:tcPr>
            <w:tcW w:type="dxa" w:w="3672"/>
          </w:tcPr>
          <w:p>
            <w:r/>
            <w:r>
              <w:rPr>
                <w:sz w:val="17"/>
              </w:rPr>
              <w:t>honest refusal with remedy (no fabricated audio)</w:t>
            </w:r>
          </w:p>
        </w:tc>
      </w:tr>
      <w:tr>
        <w:tc>
          <w:tcPr>
            <w:tcW w:type="dxa" w:w="1008"/>
          </w:tcPr>
          <w:p>
            <w:r/>
            <w:r>
              <w:rPr>
                <w:sz w:val="17"/>
              </w:rPr>
              <w:t>140</w:t>
            </w:r>
          </w:p>
        </w:tc>
        <w:tc>
          <w:tcPr>
            <w:tcW w:type="dxa" w:w="3672"/>
          </w:tcPr>
          <w:p>
            <w:r/>
            <w:r>
              <w:rPr>
                <w:sz w:val="17"/>
              </w:rPr>
              <w:t>Phase Two semantic-communicative learning</w:t>
            </w:r>
          </w:p>
        </w:tc>
        <w:tc>
          <w:tcPr>
            <w:tcW w:type="dxa" w:w="1008"/>
          </w:tcPr>
          <w:p>
            <w:r/>
            <w:r>
              <w:rPr>
                <w:sz w:val="17"/>
              </w:rPr>
              <w:t>990</w:t>
            </w:r>
          </w:p>
        </w:tc>
        <w:tc>
          <w:tcPr>
            <w:tcW w:type="dxa" w:w="3672"/>
          </w:tcPr>
          <w:p>
            <w:r/>
            <w:r>
              <w:rPr>
                <w:sz w:val="17"/>
              </w:rPr>
              <w:t>deterministic translator (through English)</w:t>
            </w:r>
          </w:p>
        </w:tc>
      </w:tr>
      <w:tr>
        <w:tc>
          <w:tcPr>
            <w:tcW w:type="dxa" w:w="1008"/>
          </w:tcPr>
          <w:p>
            <w:r/>
            <w:r>
              <w:rPr>
                <w:sz w:val="17"/>
              </w:rPr>
              <w:t>150</w:t>
            </w:r>
          </w:p>
        </w:tc>
        <w:tc>
          <w:tcPr>
            <w:tcW w:type="dxa" w:w="3672"/>
          </w:tcPr>
          <w:p>
            <w:r/>
            <w:r>
              <w:rPr>
                <w:sz w:val="17"/>
              </w:rPr>
              <w:t>Multilingual Delta Acquisition module</w:t>
            </w:r>
          </w:p>
        </w:tc>
        <w:tc>
          <w:tcPr>
            <w:tcW w:type="dxa" w:w="1008"/>
          </w:tcPr>
          <w:p>
            <w:r/>
            <w:r>
              <w:rPr>
                <w:sz w:val="17"/>
              </w:rPr>
              <w:t>991</w:t>
            </w:r>
          </w:p>
        </w:tc>
        <w:tc>
          <w:tcPr>
            <w:tcW w:type="dxa" w:w="3672"/>
          </w:tcPr>
          <w:p>
            <w:r/>
            <w:r>
              <w:rPr>
                <w:sz w:val="17"/>
              </w:rPr>
              <w:t>bundled open-source bilingual dictionary</w:t>
            </w:r>
          </w:p>
        </w:tc>
      </w:tr>
      <w:tr>
        <w:tc>
          <w:tcPr>
            <w:tcW w:type="dxa" w:w="1008"/>
          </w:tcPr>
          <w:p>
            <w:r/>
            <w:r>
              <w:rPr>
                <w:sz w:val="17"/>
              </w:rPr>
              <w:t>160</w:t>
            </w:r>
          </w:p>
        </w:tc>
        <w:tc>
          <w:tcPr>
            <w:tcW w:type="dxa" w:w="3672"/>
          </w:tcPr>
          <w:p>
            <w:r/>
            <w:r>
              <w:rPr>
                <w:sz w:val="17"/>
              </w:rPr>
              <w:t>Speech Output Pipeline</w:t>
            </w:r>
          </w:p>
        </w:tc>
        <w:tc>
          <w:tcPr>
            <w:tcW w:type="dxa" w:w="1008"/>
          </w:tcPr>
          <w:p>
            <w:r/>
            <w:r>
              <w:rPr>
                <w:sz w:val="17"/>
              </w:rPr>
              <w:t>992</w:t>
            </w:r>
          </w:p>
        </w:tc>
        <w:tc>
          <w:tcPr>
            <w:tcW w:type="dxa" w:w="3672"/>
          </w:tcPr>
          <w:p>
            <w:r/>
            <w:r>
              <w:rPr>
                <w:sz w:val="17"/>
              </w:rPr>
              <w:t>coverage accounting + unknown-word passthrough (flagged)</w:t>
            </w:r>
          </w:p>
        </w:tc>
      </w:tr>
      <w:tr>
        <w:tc>
          <w:tcPr>
            <w:tcW w:type="dxa" w:w="1008"/>
          </w:tcPr>
          <w:p>
            <w:r/>
            <w:r>
              <w:rPr>
                <w:sz w:val="17"/>
              </w:rPr>
              <w:t>165</w:t>
            </w:r>
          </w:p>
        </w:tc>
        <w:tc>
          <w:tcPr>
            <w:tcW w:type="dxa" w:w="3672"/>
          </w:tcPr>
          <w:p>
            <w:r/>
            <w:r>
              <w:rPr>
                <w:sz w:val="17"/>
              </w:rPr>
              <w:t>natural speech output</w:t>
            </w:r>
          </w:p>
        </w:tc>
        <w:tc>
          <w:tcPr>
            <w:tcW w:type="dxa" w:w="1008"/>
          </w:tcPr>
          <w:p>
            <w:r/>
            <w:r>
              <w:rPr>
                <w:sz w:val="17"/>
              </w:rPr>
              <w:t>993</w:t>
            </w:r>
          </w:p>
        </w:tc>
        <w:tc>
          <w:tcPr>
            <w:tcW w:type="dxa" w:w="3672"/>
          </w:tcPr>
          <w:p>
            <w:r/>
            <w:r>
              <w:rPr>
                <w:sz w:val="17"/>
              </w:rPr>
              <w:t>deterministic language detector</w:t>
            </w:r>
          </w:p>
        </w:tc>
      </w:tr>
      <w:tr>
        <w:tc>
          <w:tcPr>
            <w:tcW w:type="dxa" w:w="1008"/>
          </w:tcPr>
          <w:p>
            <w:r/>
            <w:r>
              <w:rPr>
                <w:sz w:val="17"/>
              </w:rPr>
              <w:t>170</w:t>
            </w:r>
          </w:p>
        </w:tc>
        <w:tc>
          <w:tcPr>
            <w:tcW w:type="dxa" w:w="3672"/>
          </w:tcPr>
          <w:p>
            <w:r/>
            <w:r>
              <w:rPr>
                <w:sz w:val="17"/>
              </w:rPr>
              <w:t>co-grounding interface</w:t>
            </w:r>
          </w:p>
        </w:tc>
        <w:tc>
          <w:tcPr>
            <w:tcW w:type="dxa" w:w="1008"/>
          </w:tcPr>
          <w:p>
            <w:r/>
            <w:r>
              <w:rPr>
                <w:sz w:val="17"/>
              </w:rPr>
              <w:t>995</w:t>
            </w:r>
          </w:p>
        </w:tc>
        <w:tc>
          <w:tcPr>
            <w:tcW w:type="dxa" w:w="3672"/>
          </w:tcPr>
          <w:p>
            <w:r/>
            <w:r>
              <w:rPr>
                <w:sz w:val="17"/>
              </w:rPr>
              <w:t>permanent quality-control battery</w:t>
            </w:r>
          </w:p>
        </w:tc>
      </w:tr>
      <w:tr>
        <w:tc>
          <w:tcPr>
            <w:tcW w:type="dxa" w:w="1008"/>
          </w:tcPr>
          <w:p>
            <w:r/>
            <w:r>
              <w:rPr>
                <w:sz w:val="17"/>
              </w:rPr>
              <w:t>180</w:t>
            </w:r>
          </w:p>
        </w:tc>
        <w:tc>
          <w:tcPr>
            <w:tcW w:type="dxa" w:w="3672"/>
          </w:tcPr>
          <w:p>
            <w:r/>
            <w:r>
              <w:rPr>
                <w:sz w:val="17"/>
              </w:rPr>
              <w:t>Federated Query Language (FQL)</w:t>
            </w:r>
          </w:p>
        </w:tc>
        <w:tc>
          <w:tcPr>
            <w:tcW w:type="dxa" w:w="1008"/>
          </w:tcPr>
          <w:p>
            <w:r/>
            <w:r>
              <w:rPr>
                <w:sz w:val="17"/>
              </w:rPr>
              <w:t>996</w:t>
            </w:r>
          </w:p>
        </w:tc>
        <w:tc>
          <w:tcPr>
            <w:tcW w:type="dxa" w:w="3672"/>
          </w:tcPr>
          <w:p>
            <w:r/>
            <w:r>
              <w:rPr>
                <w:sz w:val="17"/>
              </w:rPr>
              <w:t>IPA-produced check</w:t>
            </w:r>
          </w:p>
        </w:tc>
      </w:tr>
      <w:tr>
        <w:tc>
          <w:tcPr>
            <w:tcW w:type="dxa" w:w="1008"/>
          </w:tcPr>
          <w:p>
            <w:r/>
            <w:r>
              <w:rPr>
                <w:sz w:val="17"/>
              </w:rPr>
              <w:t>190</w:t>
            </w:r>
          </w:p>
        </w:tc>
        <w:tc>
          <w:tcPr>
            <w:tcW w:type="dxa" w:w="3672"/>
          </w:tcPr>
          <w:p>
            <w:r/>
            <w:r>
              <w:rPr>
                <w:sz w:val="17"/>
              </w:rPr>
              <w:t>Universal Federated Connectivity System (UFCS)</w:t>
            </w:r>
          </w:p>
        </w:tc>
        <w:tc>
          <w:tcPr>
            <w:tcW w:type="dxa" w:w="1008"/>
          </w:tcPr>
          <w:p>
            <w:r/>
            <w:r>
              <w:rPr>
                <w:sz w:val="17"/>
              </w:rPr>
              <w:t>997</w:t>
            </w:r>
          </w:p>
        </w:tc>
        <w:tc>
          <w:tcPr>
            <w:tcW w:type="dxa" w:w="3672"/>
          </w:tcPr>
          <w:p>
            <w:r/>
            <w:r>
              <w:rPr>
                <w:sz w:val="17"/>
              </w:rPr>
              <w:t>syllable-sanity check (±1)</w:t>
            </w:r>
          </w:p>
        </w:tc>
      </w:tr>
      <w:tr>
        <w:tc>
          <w:tcPr>
            <w:tcW w:type="dxa" w:w="1008"/>
          </w:tcPr>
          <w:p>
            <w:r/>
            <w:r>
              <w:rPr>
                <w:sz w:val="17"/>
              </w:rPr>
              <w:t>195</w:t>
            </w:r>
          </w:p>
        </w:tc>
        <w:tc>
          <w:tcPr>
            <w:tcW w:type="dxa" w:w="3672"/>
          </w:tcPr>
          <w:p>
            <w:r/>
            <w:r>
              <w:rPr>
                <w:sz w:val="17"/>
              </w:rPr>
              <w:t>federated data sources</w:t>
            </w:r>
          </w:p>
        </w:tc>
        <w:tc>
          <w:tcPr>
            <w:tcW w:type="dxa" w:w="1008"/>
          </w:tcPr>
          <w:p>
            <w:r/>
            <w:r>
              <w:rPr>
                <w:sz w:val="17"/>
              </w:rPr>
              <w:t>998</w:t>
            </w:r>
          </w:p>
        </w:tc>
        <w:tc>
          <w:tcPr>
            <w:tcW w:type="dxa" w:w="3672"/>
          </w:tcPr>
          <w:p>
            <w:r/>
            <w:r>
              <w:rPr>
                <w:sz w:val="17"/>
              </w:rPr>
              <w:t>valid-waveform synthesis check</w:t>
            </w:r>
          </w:p>
        </w:tc>
      </w:tr>
      <w:tr>
        <w:tc>
          <w:tcPr>
            <w:tcW w:type="dxa" w:w="1008"/>
          </w:tcPr>
          <w:p>
            <w:r/>
            <w:r>
              <w:rPr>
                <w:sz w:val="17"/>
              </w:rPr>
              <w:t>200</w:t>
            </w:r>
          </w:p>
        </w:tc>
        <w:tc>
          <w:tcPr>
            <w:tcW w:type="dxa" w:w="3672"/>
          </w:tcPr>
          <w:p>
            <w:r/>
            <w:r>
              <w:rPr>
                <w:sz w:val="17"/>
              </w:rPr>
              <w:t>SLPL</w:t>
            </w:r>
          </w:p>
        </w:tc>
        <w:tc>
          <w:tcPr>
            <w:tcW w:type="dxa" w:w="1008"/>
          </w:tcPr>
          <w:p>
            <w:r/>
            <w:r>
              <w:rPr>
                <w:sz w:val="17"/>
              </w:rPr>
              <w:t>999</w:t>
            </w:r>
          </w:p>
        </w:tc>
        <w:tc>
          <w:tcPr>
            <w:tcW w:type="dxa" w:w="3672"/>
          </w:tcPr>
          <w:p>
            <w:r/>
            <w:r>
              <w:rPr>
                <w:sz w:val="17"/>
              </w:rPr>
              <w:t>per-language QC report + overall pass score</w:t>
            </w:r>
          </w:p>
        </w:tc>
      </w:tr>
      <w:tr>
        <w:tc>
          <w:tcPr>
            <w:tcW w:type="dxa" w:w="1008"/>
          </w:tcPr>
          <w:p>
            <w:r/>
            <w:r>
              <w:rPr>
                <w:sz w:val="17"/>
              </w:rPr>
              <w:t>210</w:t>
            </w:r>
          </w:p>
        </w:tc>
        <w:tc>
          <w:tcPr>
            <w:tcW w:type="dxa" w:w="3672"/>
          </w:tcPr>
          <w:p>
            <w:r/>
            <w:r>
              <w:rPr>
                <w:sz w:val="17"/>
              </w:rPr>
              <w:t>acoustic phonetic processing</w:t>
            </w:r>
          </w:p>
        </w:tc>
        <w:tc>
          <w:tcPr>
            <w:tcW w:type="dxa" w:w="1008"/>
          </w:tcPr>
          <w:p>
            <w:r/>
            <w:r>
              <w:rPr>
                <w:sz w:val="17"/>
              </w:rPr>
              <w:t>1000</w:t>
            </w:r>
          </w:p>
        </w:tc>
        <w:tc>
          <w:tcPr>
            <w:tcW w:type="dxa" w:w="3672"/>
          </w:tcPr>
          <w:p>
            <w:r/>
            <w:r>
              <w:rPr>
                <w:sz w:val="17"/>
              </w:rPr>
              <w:t>LIL voiceprint &amp; identity subsystem</w:t>
            </w:r>
          </w:p>
        </w:tc>
      </w:tr>
      <w:tr>
        <w:tc>
          <w:tcPr>
            <w:tcW w:type="dxa" w:w="1008"/>
          </w:tcPr>
          <w:p>
            <w:r/>
            <w:r>
              <w:rPr>
                <w:sz w:val="17"/>
              </w:rPr>
              <w:t>211</w:t>
            </w:r>
          </w:p>
        </w:tc>
        <w:tc>
          <w:tcPr>
            <w:tcW w:type="dxa" w:w="3672"/>
          </w:tcPr>
          <w:p>
            <w:r/>
            <w:r>
              <w:rPr>
                <w:sz w:val="17"/>
              </w:rPr>
              <w:t>signal-level feature embedding</w:t>
            </w:r>
          </w:p>
        </w:tc>
        <w:tc>
          <w:tcPr>
            <w:tcW w:type="dxa" w:w="1008"/>
          </w:tcPr>
          <w:p>
            <w:r/>
            <w:r>
              <w:rPr>
                <w:sz w:val="17"/>
              </w:rPr>
              <w:t>1001</w:t>
            </w:r>
          </w:p>
        </w:tc>
        <w:tc>
          <w:tcPr>
            <w:tcW w:type="dxa" w:w="3672"/>
          </w:tcPr>
          <w:p>
            <w:r/>
            <w:r>
              <w:rPr>
                <w:sz w:val="17"/>
              </w:rPr>
              <w:t>consent gate (precondition)</w:t>
            </w:r>
          </w:p>
        </w:tc>
      </w:tr>
      <w:tr>
        <w:tc>
          <w:tcPr>
            <w:tcW w:type="dxa" w:w="1008"/>
          </w:tcPr>
          <w:p>
            <w:r/>
            <w:r>
              <w:rPr>
                <w:sz w:val="17"/>
              </w:rPr>
              <w:t>220</w:t>
            </w:r>
          </w:p>
        </w:tc>
        <w:tc>
          <w:tcPr>
            <w:tcW w:type="dxa" w:w="3672"/>
          </w:tcPr>
          <w:p>
            <w:r/>
            <w:r>
              <w:rPr>
                <w:sz w:val="17"/>
              </w:rPr>
              <w:t>phonics / phonemic awareness</w:t>
            </w:r>
          </w:p>
        </w:tc>
        <w:tc>
          <w:tcPr>
            <w:tcW w:type="dxa" w:w="1008"/>
          </w:tcPr>
          <w:p>
            <w:r/>
            <w:r>
              <w:rPr>
                <w:sz w:val="17"/>
              </w:rPr>
              <w:t>1002</w:t>
            </w:r>
          </w:p>
        </w:tc>
        <w:tc>
          <w:tcPr>
            <w:tcW w:type="dxa" w:w="3672"/>
          </w:tcPr>
          <w:p>
            <w:r/>
            <w:r>
              <w:rPr>
                <w:sz w:val="17"/>
              </w:rPr>
              <w:t>audio/video capture + VAD/segmentation</w:t>
            </w:r>
          </w:p>
        </w:tc>
      </w:tr>
      <w:tr>
        <w:tc>
          <w:tcPr>
            <w:tcW w:type="dxa" w:w="1008"/>
          </w:tcPr>
          <w:p>
            <w:r/>
            <w:r>
              <w:rPr>
                <w:sz w:val="17"/>
              </w:rPr>
              <w:t>221</w:t>
            </w:r>
          </w:p>
        </w:tc>
        <w:tc>
          <w:tcPr>
            <w:tcW w:type="dxa" w:w="3672"/>
          </w:tcPr>
          <w:p>
            <w:r/>
            <w:r>
              <w:rPr>
                <w:sz w:val="17"/>
              </w:rPr>
              <w:t>phoneme-boundary segmenter</w:t>
            </w:r>
          </w:p>
        </w:tc>
        <w:tc>
          <w:tcPr>
            <w:tcW w:type="dxa" w:w="1008"/>
          </w:tcPr>
          <w:p>
            <w:r/>
            <w:r>
              <w:rPr>
                <w:sz w:val="17"/>
              </w:rPr>
              <w:t>1003</w:t>
            </w:r>
          </w:p>
        </w:tc>
        <w:tc>
          <w:tcPr>
            <w:tcW w:type="dxa" w:w="3672"/>
          </w:tcPr>
          <w:p>
            <w:r/>
            <w:r>
              <w:rPr>
                <w:sz w:val="17"/>
              </w:rPr>
              <w:t>acoustic feature extraction</w:t>
            </w:r>
          </w:p>
        </w:tc>
      </w:tr>
      <w:tr>
        <w:tc>
          <w:tcPr>
            <w:tcW w:type="dxa" w:w="1008"/>
          </w:tcPr>
          <w:p>
            <w:r/>
            <w:r>
              <w:rPr>
                <w:sz w:val="17"/>
              </w:rPr>
              <w:t>230</w:t>
            </w:r>
          </w:p>
        </w:tc>
        <w:tc>
          <w:tcPr>
            <w:tcW w:type="dxa" w:w="3672"/>
          </w:tcPr>
          <w:p>
            <w:r/>
            <w:r>
              <w:rPr>
                <w:sz w:val="17"/>
              </w:rPr>
              <w:t>communication-science foundations</w:t>
            </w:r>
          </w:p>
        </w:tc>
        <w:tc>
          <w:tcPr>
            <w:tcW w:type="dxa" w:w="1008"/>
          </w:tcPr>
          <w:p>
            <w:r/>
            <w:r>
              <w:rPr>
                <w:sz w:val="17"/>
              </w:rPr>
              <w:t>1004</w:t>
            </w:r>
          </w:p>
        </w:tc>
        <w:tc>
          <w:tcPr>
            <w:tcW w:type="dxa" w:w="3672"/>
          </w:tcPr>
          <w:p>
            <w:r/>
            <w:r>
              <w:rPr>
                <w:sz w:val="17"/>
              </w:rPr>
              <w:t>speaker embedding (voiceprint vector)</w:t>
            </w:r>
          </w:p>
        </w:tc>
      </w:tr>
      <w:tr>
        <w:tc>
          <w:tcPr>
            <w:tcW w:type="dxa" w:w="1008"/>
          </w:tcPr>
          <w:p>
            <w:r/>
            <w:r>
              <w:rPr>
                <w:sz w:val="17"/>
              </w:rPr>
              <w:t>231</w:t>
            </w:r>
          </w:p>
        </w:tc>
        <w:tc>
          <w:tcPr>
            <w:tcW w:type="dxa" w:w="3672"/>
          </w:tcPr>
          <w:p>
            <w:r/>
            <w:r>
              <w:rPr>
                <w:sz w:val="17"/>
              </w:rPr>
              <w:t>communicative-salience weight</w:t>
            </w:r>
          </w:p>
        </w:tc>
        <w:tc>
          <w:tcPr>
            <w:tcW w:type="dxa" w:w="1008"/>
          </w:tcPr>
          <w:p>
            <w:r/>
            <w:r>
              <w:rPr>
                <w:sz w:val="17"/>
              </w:rPr>
              <w:t>1005</w:t>
            </w:r>
          </w:p>
        </w:tc>
        <w:tc>
          <w:tcPr>
            <w:tcW w:type="dxa" w:w="3672"/>
          </w:tcPr>
          <w:p>
            <w:r/>
            <w:r>
              <w:rPr>
                <w:sz w:val="17"/>
              </w:rPr>
              <w:t>enrollment — canonical voiceprint</w:t>
            </w:r>
          </w:p>
        </w:tc>
      </w:tr>
      <w:tr>
        <w:tc>
          <w:tcPr>
            <w:tcW w:type="dxa" w:w="1008"/>
          </w:tcPr>
          <w:p>
            <w:r/>
            <w:r>
              <w:rPr>
                <w:sz w:val="17"/>
              </w:rPr>
              <w:t>240</w:t>
            </w:r>
          </w:p>
        </w:tc>
        <w:tc>
          <w:tcPr>
            <w:tcW w:type="dxa" w:w="3672"/>
          </w:tcPr>
          <w:p>
            <w:r/>
            <w:r>
              <w:rPr>
                <w:sz w:val="17"/>
              </w:rPr>
              <w:t>prosody &amp; rhythm processing</w:t>
            </w:r>
          </w:p>
        </w:tc>
        <w:tc>
          <w:tcPr>
            <w:tcW w:type="dxa" w:w="1008"/>
          </w:tcPr>
          <w:p>
            <w:r/>
            <w:r>
              <w:rPr>
                <w:sz w:val="17"/>
              </w:rPr>
              <w:t>1006</w:t>
            </w:r>
          </w:p>
        </w:tc>
        <w:tc>
          <w:tcPr>
            <w:tcW w:type="dxa" w:w="3672"/>
          </w:tcPr>
          <w:p>
            <w:r/>
            <w:r>
              <w:rPr>
                <w:sz w:val="17"/>
              </w:rPr>
              <w:t>match / score (cosine · PLDA)</w:t>
            </w:r>
          </w:p>
        </w:tc>
      </w:tr>
      <w:tr>
        <w:tc>
          <w:tcPr>
            <w:tcW w:type="dxa" w:w="1008"/>
          </w:tcPr>
          <w:p>
            <w:r/>
            <w:r>
              <w:rPr>
                <w:sz w:val="17"/>
              </w:rPr>
              <w:t>241</w:t>
            </w:r>
          </w:p>
        </w:tc>
        <w:tc>
          <w:tcPr>
            <w:tcW w:type="dxa" w:w="3672"/>
          </w:tcPr>
          <w:p>
            <w:r/>
            <w:r>
              <w:rPr>
                <w:sz w:val="17"/>
              </w:rPr>
              <w:t>prosodic contour vector</w:t>
            </w:r>
          </w:p>
        </w:tc>
        <w:tc>
          <w:tcPr>
            <w:tcW w:type="dxa" w:w="1008"/>
          </w:tcPr>
          <w:p>
            <w:r/>
            <w:r>
              <w:rPr>
                <w:sz w:val="17"/>
              </w:rPr>
              <w:t>1007</w:t>
            </w:r>
          </w:p>
        </w:tc>
        <w:tc>
          <w:tcPr>
            <w:tcW w:type="dxa" w:w="3672"/>
          </w:tcPr>
          <w:p>
            <w:r/>
            <w:r>
              <w:rPr>
                <w:sz w:val="17"/>
              </w:rPr>
              <w:t>QueryBook trust gate (VERIFIED/CONTRADICTED/UNKNOWN)</w:t>
            </w:r>
          </w:p>
        </w:tc>
      </w:tr>
      <w:tr>
        <w:tc>
          <w:tcPr>
            <w:tcW w:type="dxa" w:w="1008"/>
          </w:tcPr>
          <w:p>
            <w:r/>
            <w:r>
              <w:rPr>
                <w:sz w:val="17"/>
              </w:rPr>
              <w:t>250</w:t>
            </w:r>
          </w:p>
        </w:tc>
        <w:tc>
          <w:tcPr>
            <w:tcW w:type="dxa" w:w="3672"/>
          </w:tcPr>
          <w:p>
            <w:r/>
            <w:r>
              <w:rPr>
                <w:sz w:val="17"/>
              </w:rPr>
              <w:t>information-theoretic grounding</w:t>
            </w:r>
          </w:p>
        </w:tc>
        <w:tc>
          <w:tcPr>
            <w:tcW w:type="dxa" w:w="1008"/>
          </w:tcPr>
          <w:p>
            <w:r/>
            <w:r>
              <w:rPr>
                <w:sz w:val="17"/>
              </w:rPr>
              <w:t>1008</w:t>
            </w:r>
          </w:p>
        </w:tc>
        <w:tc>
          <w:tcPr>
            <w:tcW w:type="dxa" w:w="3672"/>
          </w:tcPr>
          <w:p>
            <w:r/>
            <w:r>
              <w:rPr>
                <w:sz w:val="17"/>
              </w:rPr>
              <w:t>Fact-Unit identity graph</w:t>
            </w:r>
          </w:p>
        </w:tc>
      </w:tr>
      <w:tr>
        <w:tc>
          <w:tcPr>
            <w:tcW w:type="dxa" w:w="1008"/>
          </w:tcPr>
          <w:p>
            <w:r/>
            <w:r>
              <w:rPr>
                <w:sz w:val="17"/>
              </w:rPr>
              <w:t>251</w:t>
            </w:r>
          </w:p>
        </w:tc>
        <w:tc>
          <w:tcPr>
            <w:tcW w:type="dxa" w:w="3672"/>
          </w:tcPr>
          <w:p>
            <w:r/>
            <w:r>
              <w:rPr>
                <w:sz w:val="17"/>
              </w:rPr>
              <w:t>information weighting</w:t>
            </w:r>
          </w:p>
        </w:tc>
        <w:tc>
          <w:tcPr>
            <w:tcW w:type="dxa" w:w="1008"/>
          </w:tcPr>
          <w:p>
            <w:r/>
            <w:r>
              <w:rPr>
                <w:sz w:val="17"/>
              </w:rPr>
              <w:t>1009</w:t>
            </w:r>
          </w:p>
        </w:tc>
        <w:tc>
          <w:tcPr>
            <w:tcW w:type="dxa" w:w="3672"/>
          </w:tcPr>
          <w:p>
            <w:r/>
            <w:r>
              <w:rPr>
                <w:sz w:val="17"/>
              </w:rPr>
              <w:t>LEL cross-script name/entity resolution</w:t>
            </w:r>
          </w:p>
        </w:tc>
      </w:tr>
      <w:tr>
        <w:tc>
          <w:tcPr>
            <w:tcW w:type="dxa" w:w="1008"/>
          </w:tcPr>
          <w:p>
            <w:r/>
            <w:r>
              <w:rPr>
                <w:sz w:val="17"/>
              </w:rPr>
              <w:t>260</w:t>
            </w:r>
          </w:p>
        </w:tc>
        <w:tc>
          <w:tcPr>
            <w:tcW w:type="dxa" w:w="3672"/>
          </w:tcPr>
          <w:p>
            <w:r/>
            <w:r>
              <w:rPr>
                <w:sz w:val="17"/>
              </w:rPr>
              <w:t>neurolinguistic chunking</w:t>
            </w:r>
          </w:p>
        </w:tc>
        <w:tc>
          <w:tcPr>
            <w:tcW w:type="dxa" w:w="1008"/>
          </w:tcPr>
          <w:p>
            <w:r/>
            <w:r>
              <w:rPr>
                <w:sz w:val="17"/>
              </w:rPr>
              <w:t>1010</w:t>
            </w:r>
          </w:p>
        </w:tc>
        <w:tc>
          <w:tcPr>
            <w:tcW w:type="dxa" w:w="3672"/>
          </w:tcPr>
          <w:p>
            <w:r/>
            <w:r>
              <w:rPr>
                <w:sz w:val="17"/>
              </w:rPr>
              <w:t>provenance-tracked link Fact Unit</w:t>
            </w:r>
          </w:p>
        </w:tc>
      </w:tr>
      <w:tr>
        <w:tc>
          <w:tcPr>
            <w:tcW w:type="dxa" w:w="1008"/>
          </w:tcPr>
          <w:p>
            <w:r/>
            <w:r>
              <w:rPr>
                <w:sz w:val="17"/>
              </w:rPr>
              <w:t>261</w:t>
            </w:r>
          </w:p>
        </w:tc>
        <w:tc>
          <w:tcPr>
            <w:tcW w:type="dxa" w:w="3672"/>
          </w:tcPr>
          <w:p>
            <w:r/>
            <w:r>
              <w:rPr>
                <w:sz w:val="17"/>
              </w:rPr>
              <w:t>chunk segments</w:t>
            </w:r>
          </w:p>
        </w:tc>
        <w:tc>
          <w:tcPr>
            <w:tcW w:type="dxa" w:w="1008"/>
          </w:tcPr>
          <w:p>
            <w:r/>
            <w:r>
              <w:rPr>
                <w:sz w:val="17"/>
              </w:rPr>
              <w:t>1020</w:t>
            </w:r>
          </w:p>
        </w:tc>
        <w:tc>
          <w:tcPr>
            <w:tcW w:type="dxa" w:w="3672"/>
          </w:tcPr>
          <w:p>
            <w:r/>
            <w:r>
              <w:rPr>
                <w:sz w:val="17"/>
              </w:rPr>
              <w:t>voice authentication request</w:t>
            </w:r>
          </w:p>
        </w:tc>
      </w:tr>
      <w:tr>
        <w:tc>
          <w:tcPr>
            <w:tcW w:type="dxa" w:w="1008"/>
          </w:tcPr>
          <w:p>
            <w:r/>
            <w:r>
              <w:rPr>
                <w:sz w:val="17"/>
              </w:rPr>
              <w:t>270</w:t>
            </w:r>
          </w:p>
        </w:tc>
        <w:tc>
          <w:tcPr>
            <w:tcW w:type="dxa" w:w="3672"/>
          </w:tcPr>
          <w:p>
            <w:r/>
            <w:r>
              <w:rPr>
                <w:sz w:val="17"/>
              </w:rPr>
              <w:t>licensed multimedia input</w:t>
            </w:r>
          </w:p>
        </w:tc>
        <w:tc>
          <w:tcPr>
            <w:tcW w:type="dxa" w:w="1008"/>
          </w:tcPr>
          <w:p>
            <w:r/>
            <w:r>
              <w:rPr>
                <w:sz w:val="17"/>
              </w:rPr>
              <w:t>1021</w:t>
            </w:r>
          </w:p>
        </w:tc>
        <w:tc>
          <w:tcPr>
            <w:tcW w:type="dxa" w:w="3672"/>
          </w:tcPr>
          <w:p>
            <w:r/>
            <w:r>
              <w:rPr>
                <w:sz w:val="17"/>
              </w:rPr>
              <w:t>capture phrase + embed</w:t>
            </w:r>
          </w:p>
        </w:tc>
      </w:tr>
      <w:tr>
        <w:tc>
          <w:tcPr>
            <w:tcW w:type="dxa" w:w="1008"/>
          </w:tcPr>
          <w:p>
            <w:r/>
            <w:r>
              <w:rPr>
                <w:sz w:val="17"/>
              </w:rPr>
              <w:t>300</w:t>
            </w:r>
          </w:p>
        </w:tc>
        <w:tc>
          <w:tcPr>
            <w:tcW w:type="dxa" w:w="3672"/>
          </w:tcPr>
          <w:p>
            <w:r/>
            <w:r>
              <w:rPr>
                <w:sz w:val="17"/>
              </w:rPr>
              <w:t>developmental learning sequence</w:t>
            </w:r>
          </w:p>
        </w:tc>
        <w:tc>
          <w:tcPr>
            <w:tcW w:type="dxa" w:w="1008"/>
          </w:tcPr>
          <w:p>
            <w:r/>
            <w:r>
              <w:rPr>
                <w:sz w:val="17"/>
              </w:rPr>
              <w:t>1022</w:t>
            </w:r>
          </w:p>
        </w:tc>
        <w:tc>
          <w:tcPr>
            <w:tcW w:type="dxa" w:w="3672"/>
          </w:tcPr>
          <w:p>
            <w:r/>
            <w:r>
              <w:rPr>
                <w:sz w:val="17"/>
              </w:rPr>
              <w:t>anti-spoofing (liveness/replay/synthetic)</w:t>
            </w:r>
          </w:p>
        </w:tc>
      </w:tr>
      <w:tr>
        <w:tc>
          <w:tcPr>
            <w:tcW w:type="dxa" w:w="1008"/>
          </w:tcPr>
          <w:p>
            <w:r/>
            <w:r>
              <w:rPr>
                <w:sz w:val="17"/>
              </w:rPr>
              <w:t>310</w:t>
            </w:r>
          </w:p>
        </w:tc>
        <w:tc>
          <w:tcPr>
            <w:tcW w:type="dxa" w:w="3672"/>
          </w:tcPr>
          <w:p>
            <w:r/>
            <w:r>
              <w:rPr>
                <w:sz w:val="17"/>
              </w:rPr>
              <w:t>Phase One (structural-acoustic)</w:t>
            </w:r>
          </w:p>
        </w:tc>
        <w:tc>
          <w:tcPr>
            <w:tcW w:type="dxa" w:w="1008"/>
          </w:tcPr>
          <w:p>
            <w:r/>
            <w:r>
              <w:rPr>
                <w:sz w:val="17"/>
              </w:rPr>
              <w:t>1023</w:t>
            </w:r>
          </w:p>
        </w:tc>
        <w:tc>
          <w:tcPr>
            <w:tcW w:type="dxa" w:w="3672"/>
          </w:tcPr>
          <w:p>
            <w:r/>
            <w:r>
              <w:rPr>
                <w:sz w:val="17"/>
              </w:rPr>
              <w:t>deterministic risk-scoring policy</w:t>
            </w:r>
          </w:p>
        </w:tc>
      </w:tr>
      <w:tr>
        <w:tc>
          <w:tcPr>
            <w:tcW w:type="dxa" w:w="1008"/>
          </w:tcPr>
          <w:p>
            <w:r/>
            <w:r>
              <w:rPr>
                <w:sz w:val="17"/>
              </w:rPr>
              <w:t>311</w:t>
            </w:r>
          </w:p>
        </w:tc>
        <w:tc>
          <w:tcPr>
            <w:tcW w:type="dxa" w:w="3672"/>
          </w:tcPr>
          <w:p>
            <w:r/>
            <w:r>
              <w:rPr>
                <w:sz w:val="17"/>
              </w:rPr>
              <w:t>sound discrimination</w:t>
            </w:r>
          </w:p>
        </w:tc>
        <w:tc>
          <w:tcPr>
            <w:tcW w:type="dxa" w:w="1008"/>
          </w:tcPr>
          <w:p>
            <w:r/>
            <w:r>
              <w:rPr>
                <w:sz w:val="17"/>
              </w:rPr>
              <w:t>1024</w:t>
            </w:r>
          </w:p>
        </w:tc>
        <w:tc>
          <w:tcPr>
            <w:tcW w:type="dxa" w:w="3672"/>
          </w:tcPr>
          <w:p>
            <w:r/>
            <w:r>
              <w:rPr>
                <w:sz w:val="17"/>
              </w:rPr>
              <w:t>authentication decision gate</w:t>
            </w:r>
          </w:p>
        </w:tc>
      </w:tr>
      <w:tr>
        <w:tc>
          <w:tcPr>
            <w:tcW w:type="dxa" w:w="1008"/>
          </w:tcPr>
          <w:p>
            <w:r/>
            <w:r>
              <w:rPr>
                <w:sz w:val="17"/>
              </w:rPr>
              <w:t>312</w:t>
            </w:r>
          </w:p>
        </w:tc>
        <w:tc>
          <w:tcPr>
            <w:tcW w:type="dxa" w:w="3672"/>
          </w:tcPr>
          <w:p>
            <w:r/>
            <w:r>
              <w:rPr>
                <w:sz w:val="17"/>
              </w:rPr>
              <w:t>syllabic segmentation</w:t>
            </w:r>
          </w:p>
        </w:tc>
        <w:tc>
          <w:tcPr>
            <w:tcW w:type="dxa" w:w="1008"/>
          </w:tcPr>
          <w:p>
            <w:r/>
            <w:r>
              <w:rPr>
                <w:sz w:val="17"/>
              </w:rPr>
              <w:t>1025</w:t>
            </w:r>
          </w:p>
        </w:tc>
        <w:tc>
          <w:tcPr>
            <w:tcW w:type="dxa" w:w="3672"/>
          </w:tcPr>
          <w:p>
            <w:r/>
            <w:r>
              <w:rPr>
                <w:sz w:val="17"/>
              </w:rPr>
              <w:t>second-factor challenge</w:t>
            </w:r>
          </w:p>
        </w:tc>
      </w:tr>
      <w:tr>
        <w:tc>
          <w:tcPr>
            <w:tcW w:type="dxa" w:w="1008"/>
          </w:tcPr>
          <w:p>
            <w:r/>
            <w:r>
              <w:rPr>
                <w:sz w:val="17"/>
              </w:rPr>
              <w:t>313</w:t>
            </w:r>
          </w:p>
        </w:tc>
        <w:tc>
          <w:tcPr>
            <w:tcW w:type="dxa" w:w="3672"/>
          </w:tcPr>
          <w:p>
            <w:r/>
            <w:r>
              <w:rPr>
                <w:sz w:val="17"/>
              </w:rPr>
              <w:t>word-as-acoustic-object</w:t>
            </w:r>
          </w:p>
        </w:tc>
        <w:tc>
          <w:tcPr>
            <w:tcW w:type="dxa" w:w="1008"/>
          </w:tcPr>
          <w:p>
            <w:r/>
            <w:r>
              <w:rPr>
                <w:sz w:val="17"/>
              </w:rPr>
              <w:t>1026</w:t>
            </w:r>
          </w:p>
        </w:tc>
        <w:tc>
          <w:tcPr>
            <w:tcW w:type="dxa" w:w="3672"/>
          </w:tcPr>
          <w:p>
            <w:r/>
            <w:r>
              <w:rPr>
                <w:sz w:val="17"/>
              </w:rPr>
              <w:t>auth-event Fact Unit (provenance)</w:t>
            </w:r>
          </w:p>
        </w:tc>
      </w:tr>
      <w:tr>
        <w:tc>
          <w:tcPr>
            <w:tcW w:type="dxa" w:w="1008"/>
          </w:tcPr>
          <w:p>
            <w:r/>
            <w:r>
              <w:rPr>
                <w:sz w:val="17"/>
              </w:rPr>
              <w:t>314</w:t>
            </w:r>
          </w:p>
        </w:tc>
        <w:tc>
          <w:tcPr>
            <w:tcW w:type="dxa" w:w="3672"/>
          </w:tcPr>
          <w:p>
            <w:r/>
            <w:r>
              <w:rPr>
                <w:sz w:val="17"/>
              </w:rPr>
              <w:t>semantics suppressed</w:t>
            </w:r>
          </w:p>
        </w:tc>
        <w:tc>
          <w:tcPr>
            <w:tcW w:type="dxa" w:w="1008"/>
          </w:tcPr>
          <w:p>
            <w:r/>
            <w:r>
              <w:rPr>
                <w:sz w:val="17"/>
              </w:rPr>
              <w:t>1100</w:t>
            </w:r>
          </w:p>
        </w:tc>
        <w:tc>
          <w:tcPr>
            <w:tcW w:type="dxa" w:w="3672"/>
          </w:tcPr>
          <w:p>
            <w:r/>
            <w:r>
              <w:rPr>
                <w:sz w:val="17"/>
              </w:rPr>
              <w:t>UIAS integrity audit service</w:t>
            </w:r>
          </w:p>
        </w:tc>
      </w:tr>
      <w:tr>
        <w:tc>
          <w:tcPr>
            <w:tcW w:type="dxa" w:w="1008"/>
          </w:tcPr>
          <w:p>
            <w:r/>
            <w:r>
              <w:rPr>
                <w:sz w:val="17"/>
              </w:rPr>
              <w:t>320</w:t>
            </w:r>
          </w:p>
        </w:tc>
        <w:tc>
          <w:tcPr>
            <w:tcW w:type="dxa" w:w="3672"/>
          </w:tcPr>
          <w:p>
            <w:r/>
            <w:r>
              <w:rPr>
                <w:sz w:val="17"/>
              </w:rPr>
              <w:t>Transition Gate (one-way)</w:t>
            </w:r>
          </w:p>
        </w:tc>
        <w:tc>
          <w:tcPr>
            <w:tcW w:type="dxa" w:w="1008"/>
          </w:tcPr>
          <w:p>
            <w:r/>
            <w:r>
              <w:rPr>
                <w:sz w:val="17"/>
              </w:rPr>
              <w:t>1101</w:t>
            </w:r>
          </w:p>
        </w:tc>
        <w:tc>
          <w:tcPr>
            <w:tcW w:type="dxa" w:w="3672"/>
          </w:tcPr>
          <w:p>
            <w:r/>
            <w:r>
              <w:rPr>
                <w:sz w:val="17"/>
              </w:rPr>
              <w:t>monitored system workflow (unmodified)</w:t>
            </w:r>
          </w:p>
        </w:tc>
      </w:tr>
      <w:tr>
        <w:tc>
          <w:tcPr>
            <w:tcW w:type="dxa" w:w="1008"/>
          </w:tcPr>
          <w:p>
            <w:r/>
            <w:r>
              <w:rPr>
                <w:sz w:val="17"/>
              </w:rPr>
              <w:t>321</w:t>
            </w:r>
          </w:p>
        </w:tc>
        <w:tc>
          <w:tcPr>
            <w:tcW w:type="dxa" w:w="3672"/>
          </w:tcPr>
          <w:p>
            <w:r/>
            <w:r>
              <w:rPr>
                <w:sz w:val="17"/>
              </w:rPr>
              <w:t>phonemic-inventory completeness ≥ τ1</w:t>
            </w:r>
          </w:p>
        </w:tc>
        <w:tc>
          <w:tcPr>
            <w:tcW w:type="dxa" w:w="1008"/>
          </w:tcPr>
          <w:p>
            <w:r/>
            <w:r>
              <w:rPr>
                <w:sz w:val="17"/>
              </w:rPr>
              <w:t>1102</w:t>
            </w:r>
          </w:p>
        </w:tc>
        <w:tc>
          <w:tcPr>
            <w:tcW w:type="dxa" w:w="3672"/>
          </w:tcPr>
          <w:p>
            <w:r/>
            <w:r>
              <w:rPr>
                <w:sz w:val="17"/>
              </w:rPr>
              <w:t>input-boundary position</w:t>
            </w:r>
          </w:p>
        </w:tc>
      </w:tr>
      <w:tr>
        <w:tc>
          <w:tcPr>
            <w:tcW w:type="dxa" w:w="1008"/>
          </w:tcPr>
          <w:p>
            <w:r/>
            <w:r>
              <w:rPr>
                <w:sz w:val="17"/>
              </w:rPr>
              <w:t>322</w:t>
            </w:r>
          </w:p>
        </w:tc>
        <w:tc>
          <w:tcPr>
            <w:tcW w:type="dxa" w:w="3672"/>
          </w:tcPr>
          <w:p>
            <w:r/>
            <w:r>
              <w:rPr>
                <w:sz w:val="17"/>
              </w:rPr>
              <w:t>lexical stability ≥ τ2</w:t>
            </w:r>
          </w:p>
        </w:tc>
        <w:tc>
          <w:tcPr>
            <w:tcW w:type="dxa" w:w="1008"/>
          </w:tcPr>
          <w:p>
            <w:r/>
            <w:r>
              <w:rPr>
                <w:sz w:val="17"/>
              </w:rPr>
              <w:t>1103</w:t>
            </w:r>
          </w:p>
        </w:tc>
        <w:tc>
          <w:tcPr>
            <w:tcW w:type="dxa" w:w="3672"/>
          </w:tcPr>
          <w:p>
            <w:r/>
            <w:r>
              <w:rPr>
                <w:sz w:val="17"/>
              </w:rPr>
              <w:t>processing-layer position</w:t>
            </w:r>
          </w:p>
        </w:tc>
      </w:tr>
      <w:tr>
        <w:tc>
          <w:tcPr>
            <w:tcW w:type="dxa" w:w="1008"/>
          </w:tcPr>
          <w:p>
            <w:r/>
            <w:r>
              <w:rPr>
                <w:sz w:val="17"/>
              </w:rPr>
              <w:t>323</w:t>
            </w:r>
          </w:p>
        </w:tc>
        <w:tc>
          <w:tcPr>
            <w:tcW w:type="dxa" w:w="3672"/>
          </w:tcPr>
          <w:p>
            <w:r/>
            <w:r>
              <w:rPr>
                <w:sz w:val="17"/>
              </w:rPr>
              <w:t>co-occurrence density ≥ τ3</w:t>
            </w:r>
          </w:p>
        </w:tc>
        <w:tc>
          <w:tcPr>
            <w:tcW w:type="dxa" w:w="1008"/>
          </w:tcPr>
          <w:p>
            <w:r/>
            <w:r>
              <w:rPr>
                <w:sz w:val="17"/>
              </w:rPr>
              <w:t>1104</w:t>
            </w:r>
          </w:p>
        </w:tc>
        <w:tc>
          <w:tcPr>
            <w:tcW w:type="dxa" w:w="3672"/>
          </w:tcPr>
          <w:p>
            <w:r/>
            <w:r>
              <w:rPr>
                <w:sz w:val="17"/>
              </w:rPr>
              <w:t>storage-layer position</w:t>
            </w:r>
          </w:p>
        </w:tc>
      </w:tr>
      <w:tr>
        <w:tc>
          <w:tcPr>
            <w:tcW w:type="dxa" w:w="1008"/>
          </w:tcPr>
          <w:p>
            <w:r/>
            <w:r>
              <w:rPr>
                <w:sz w:val="17"/>
              </w:rPr>
              <w:t>324</w:t>
            </w:r>
          </w:p>
        </w:tc>
        <w:tc>
          <w:tcPr>
            <w:tcW w:type="dxa" w:w="3672"/>
          </w:tcPr>
          <w:p>
            <w:r/>
            <w:r>
              <w:rPr>
                <w:sz w:val="17"/>
              </w:rPr>
              <w:t>pattern saturation &lt; ε</w:t>
            </w:r>
          </w:p>
        </w:tc>
        <w:tc>
          <w:tcPr>
            <w:tcW w:type="dxa" w:w="1008"/>
          </w:tcPr>
          <w:p>
            <w:r/>
            <w:r>
              <w:rPr>
                <w:sz w:val="17"/>
              </w:rPr>
              <w:t>1105</w:t>
            </w:r>
          </w:p>
        </w:tc>
        <w:tc>
          <w:tcPr>
            <w:tcW w:type="dxa" w:w="3672"/>
          </w:tcPr>
          <w:p>
            <w:r/>
            <w:r>
              <w:rPr>
                <w:sz w:val="17"/>
              </w:rPr>
              <w:t>output-boundary / handoff position</w:t>
            </w:r>
          </w:p>
        </w:tc>
      </w:tr>
      <w:tr>
        <w:tc>
          <w:tcPr>
            <w:tcW w:type="dxa" w:w="1008"/>
          </w:tcPr>
          <w:p>
            <w:r/>
            <w:r>
              <w:rPr>
                <w:sz w:val="17"/>
              </w:rPr>
              <w:t>330</w:t>
            </w:r>
          </w:p>
        </w:tc>
        <w:tc>
          <w:tcPr>
            <w:tcW w:type="dxa" w:w="3672"/>
          </w:tcPr>
          <w:p>
            <w:r/>
            <w:r>
              <w:rPr>
                <w:sz w:val="17"/>
              </w:rPr>
              <w:t>Phase Two (semantic-communicative)</w:t>
            </w:r>
          </w:p>
        </w:tc>
        <w:tc>
          <w:tcPr>
            <w:tcW w:type="dxa" w:w="1008"/>
          </w:tcPr>
          <w:p>
            <w:r/>
            <w:r>
              <w:rPr>
                <w:sz w:val="17"/>
              </w:rPr>
              <w:t>1106</w:t>
            </w:r>
          </w:p>
        </w:tc>
        <w:tc>
          <w:tcPr>
            <w:tcW w:type="dxa" w:w="3672"/>
          </w:tcPr>
          <w:p>
            <w:r/>
            <w:r>
              <w:rPr>
                <w:sz w:val="17"/>
              </w:rPr>
              <w:t>Connector + Ingestion agents (seal at observation)</w:t>
            </w:r>
          </w:p>
        </w:tc>
      </w:tr>
      <w:tr>
        <w:tc>
          <w:tcPr>
            <w:tcW w:type="dxa" w:w="1008"/>
          </w:tcPr>
          <w:p>
            <w:r/>
            <w:r>
              <w:rPr>
                <w:sz w:val="17"/>
              </w:rPr>
              <w:t>331</w:t>
            </w:r>
          </w:p>
        </w:tc>
        <w:tc>
          <w:tcPr>
            <w:tcW w:type="dxa" w:w="3672"/>
          </w:tcPr>
          <w:p>
            <w:r/>
            <w:r>
              <w:rPr>
                <w:sz w:val="17"/>
              </w:rPr>
              <w:t>word-to-referent grounding</w:t>
            </w:r>
          </w:p>
        </w:tc>
        <w:tc>
          <w:tcPr>
            <w:tcW w:type="dxa" w:w="1008"/>
          </w:tcPr>
          <w:p>
            <w:r/>
            <w:r>
              <w:rPr>
                <w:sz w:val="17"/>
              </w:rPr>
              <w:t>1107</w:t>
            </w:r>
          </w:p>
        </w:tc>
        <w:tc>
          <w:tcPr>
            <w:tcW w:type="dxa" w:w="3672"/>
          </w:tcPr>
          <w:p>
            <w:r/>
            <w:r>
              <w:rPr>
                <w:sz w:val="17"/>
              </w:rPr>
              <w:t>seal = Fact Unit (hash · id-hash · independent timestamp · source · agent)</w:t>
            </w:r>
          </w:p>
        </w:tc>
      </w:tr>
      <w:tr>
        <w:tc>
          <w:tcPr>
            <w:tcW w:type="dxa" w:w="1008"/>
          </w:tcPr>
          <w:p>
            <w:r/>
            <w:r>
              <w:rPr>
                <w:sz w:val="17"/>
              </w:rPr>
              <w:t>332</w:t>
            </w:r>
          </w:p>
        </w:tc>
        <w:tc>
          <w:tcPr>
            <w:tcW w:type="dxa" w:w="3672"/>
          </w:tcPr>
          <w:p>
            <w:r/>
            <w:r>
              <w:rPr>
                <w:sz w:val="17"/>
              </w:rPr>
              <w:t>communicative discovery</w:t>
            </w:r>
          </w:p>
        </w:tc>
        <w:tc>
          <w:tcPr>
            <w:tcW w:type="dxa" w:w="1008"/>
          </w:tcPr>
          <w:p>
            <w:r/>
            <w:r>
              <w:rPr>
                <w:sz w:val="17"/>
              </w:rPr>
              <w:t>1108</w:t>
            </w:r>
          </w:p>
        </w:tc>
        <w:tc>
          <w:tcPr>
            <w:tcW w:type="dxa" w:w="3672"/>
          </w:tcPr>
          <w:p>
            <w:r/>
            <w:r>
              <w:rPr>
                <w:sz w:val="17"/>
              </w:rPr>
              <w:t>Similarity Detection Agent (semantic signatures)</w:t>
            </w:r>
          </w:p>
        </w:tc>
      </w:tr>
      <w:tr>
        <w:tc>
          <w:tcPr>
            <w:tcW w:type="dxa" w:w="1008"/>
          </w:tcPr>
          <w:p>
            <w:r/>
            <w:r>
              <w:rPr>
                <w:sz w:val="17"/>
              </w:rPr>
              <w:t>333</w:t>
            </w:r>
          </w:p>
        </w:tc>
        <w:tc>
          <w:tcPr>
            <w:tcW w:type="dxa" w:w="3672"/>
          </w:tcPr>
          <w:p>
            <w:r/>
            <w:r>
              <w:rPr>
                <w:sz w:val="17"/>
              </w:rPr>
              <w:t>emergent grammar / syntax</w:t>
            </w:r>
          </w:p>
        </w:tc>
        <w:tc>
          <w:tcPr>
            <w:tcW w:type="dxa" w:w="1008"/>
          </w:tcPr>
          <w:p>
            <w:r/>
            <w:r>
              <w:rPr>
                <w:sz w:val="17"/>
              </w:rPr>
              <w:t>1109</w:t>
            </w:r>
          </w:p>
        </w:tc>
        <w:tc>
          <w:tcPr>
            <w:tcW w:type="dxa" w:w="3672"/>
          </w:tcPr>
          <w:p>
            <w:r/>
            <w:r>
              <w:rPr>
                <w:sz w:val="17"/>
              </w:rPr>
              <w:t>Fact-Unit audit ledger (UFCS, append-only, immutable)</w:t>
            </w:r>
          </w:p>
        </w:tc>
      </w:tr>
      <w:tr>
        <w:tc>
          <w:tcPr>
            <w:tcW w:type="dxa" w:w="1008"/>
          </w:tcPr>
          <w:p>
            <w:r/>
            <w:r>
              <w:rPr>
                <w:sz w:val="17"/>
              </w:rPr>
              <w:t>400</w:t>
            </w:r>
          </w:p>
        </w:tc>
        <w:tc>
          <w:tcPr>
            <w:tcW w:type="dxa" w:w="3672"/>
          </w:tcPr>
          <w:p>
            <w:r/>
            <w:r>
              <w:rPr>
                <w:sz w:val="17"/>
              </w:rPr>
              <w:t>Delta Acquisition Model</w:t>
            </w:r>
          </w:p>
        </w:tc>
        <w:tc>
          <w:tcPr>
            <w:tcW w:type="dxa" w:w="1008"/>
          </w:tcPr>
          <w:p>
            <w:r/>
            <w:r>
              <w:rPr>
                <w:sz w:val="17"/>
              </w:rPr>
              <w:t>1110</w:t>
            </w:r>
          </w:p>
        </w:tc>
        <w:tc>
          <w:tcPr>
            <w:tcW w:type="dxa" w:w="3672"/>
          </w:tcPr>
          <w:p>
            <w:r/>
            <w:r>
              <w:rPr>
                <w:sz w:val="17"/>
              </w:rPr>
              <w:t>contemporaneous cross-party anomaly flag</w:t>
            </w:r>
          </w:p>
        </w:tc>
      </w:tr>
      <w:tr>
        <w:tc>
          <w:tcPr>
            <w:tcW w:type="dxa" w:w="1008"/>
          </w:tcPr>
          <w:p>
            <w:r/>
            <w:r>
              <w:rPr>
                <w:sz w:val="17"/>
              </w:rPr>
              <w:t>410</w:t>
            </w:r>
          </w:p>
        </w:tc>
        <w:tc>
          <w:tcPr>
            <w:tcW w:type="dxa" w:w="3672"/>
          </w:tcPr>
          <w:p>
            <w:r/>
            <w:r>
              <w:rPr>
                <w:sz w:val="17"/>
              </w:rPr>
              <w:t>reused L1 foundation</w:t>
            </w:r>
          </w:p>
        </w:tc>
        <w:tc>
          <w:tcPr>
            <w:tcW w:type="dxa" w:w="1008"/>
          </w:tcPr>
          <w:p>
            <w:r/>
            <w:r>
              <w:rPr>
                <w:sz w:val="17"/>
              </w:rPr>
              <w:t>1111</w:t>
            </w:r>
          </w:p>
        </w:tc>
        <w:tc>
          <w:tcPr>
            <w:tcW w:type="dxa" w:w="3672"/>
          </w:tcPr>
          <w:p>
            <w:r/>
            <w:r>
              <w:rPr>
                <w:sz w:val="17"/>
              </w:rPr>
              <w:t>Verification Agent (continuous re-verification)</w:t>
            </w:r>
          </w:p>
        </w:tc>
      </w:tr>
      <w:tr>
        <w:tc>
          <w:tcPr>
            <w:tcW w:type="dxa" w:w="1008"/>
          </w:tcPr>
          <w:p>
            <w:r/>
            <w:r>
              <w:rPr>
                <w:sz w:val="17"/>
              </w:rPr>
              <w:t>420</w:t>
            </w:r>
          </w:p>
        </w:tc>
        <w:tc>
          <w:tcPr>
            <w:tcW w:type="dxa" w:w="3672"/>
          </w:tcPr>
          <w:p>
            <w:r/>
            <w:r>
              <w:rPr>
                <w:sz w:val="17"/>
              </w:rPr>
              <w:t>L2 delta detector</w:t>
            </w:r>
          </w:p>
        </w:tc>
        <w:tc>
          <w:tcPr>
            <w:tcW w:type="dxa" w:w="1008"/>
          </w:tcPr>
          <w:p>
            <w:r/>
            <w:r>
              <w:rPr>
                <w:sz w:val="17"/>
              </w:rPr>
              <w:t>1112</w:t>
            </w:r>
          </w:p>
        </w:tc>
        <w:tc>
          <w:tcPr>
            <w:tcW w:type="dxa" w:w="3672"/>
          </w:tcPr>
          <w:p>
            <w:r/>
            <w:r>
              <w:rPr>
                <w:sz w:val="17"/>
              </w:rPr>
              <w:t>content-not-stored / one-way identity (fact-level erasure)</w:t>
            </w:r>
          </w:p>
        </w:tc>
      </w:tr>
      <w:tr>
        <w:tc>
          <w:tcPr>
            <w:tcW w:type="dxa" w:w="1008"/>
          </w:tcPr>
          <w:p>
            <w:r/>
            <w:r>
              <w:rPr>
                <w:sz w:val="17"/>
              </w:rPr>
              <w:t>430</w:t>
            </w:r>
          </w:p>
        </w:tc>
        <w:tc>
          <w:tcPr>
            <w:tcW w:type="dxa" w:w="3672"/>
          </w:tcPr>
          <w:p>
            <w:r/>
            <w:r>
              <w:rPr>
                <w:sz w:val="17"/>
              </w:rPr>
              <w:t>targeted training of novel elements</w:t>
            </w:r>
          </w:p>
        </w:tc>
        <w:tc>
          <w:tcPr>
            <w:tcW w:type="dxa" w:w="1008"/>
          </w:tcPr>
          <w:p>
            <w:r/>
            <w:r>
              <w:rPr>
                <w:sz w:val="17"/>
              </w:rPr>
              <w:t>1120</w:t>
            </w:r>
          </w:p>
        </w:tc>
        <w:tc>
          <w:tcPr>
            <w:tcW w:type="dxa" w:w="3672"/>
          </w:tcPr>
          <w:p>
            <w:r/>
            <w:r>
              <w:rPr>
                <w:sz w:val="17"/>
              </w:rPr>
              <w:t>UIAS signed Proof Package generation</w:t>
            </w:r>
          </w:p>
        </w:tc>
      </w:tr>
      <w:tr>
        <w:tc>
          <w:tcPr>
            <w:tcW w:type="dxa" w:w="1008"/>
          </w:tcPr>
          <w:p>
            <w:r/>
            <w:r>
              <w:rPr>
                <w:sz w:val="17"/>
              </w:rPr>
              <w:t>440</w:t>
            </w:r>
          </w:p>
        </w:tc>
        <w:tc>
          <w:tcPr>
            <w:tcW w:type="dxa" w:w="3672"/>
          </w:tcPr>
          <w:p>
            <w:r/>
            <w:r>
              <w:rPr>
                <w:sz w:val="17"/>
              </w:rPr>
              <w:t>multilingual semantic alignment</w:t>
            </w:r>
          </w:p>
        </w:tc>
        <w:tc>
          <w:tcPr>
            <w:tcW w:type="dxa" w:w="1008"/>
          </w:tcPr>
          <w:p>
            <w:r/>
            <w:r>
              <w:rPr>
                <w:sz w:val="17"/>
              </w:rPr>
              <w:t>1121</w:t>
            </w:r>
          </w:p>
        </w:tc>
        <w:tc>
          <w:tcPr>
            <w:tcW w:type="dxa" w:w="3672"/>
          </w:tcPr>
          <w:p>
            <w:r/>
            <w:r>
              <w:rPr>
                <w:sz w:val="17"/>
              </w:rPr>
              <w:t>accusation / inquiry</w:t>
            </w:r>
          </w:p>
        </w:tc>
      </w:tr>
      <w:tr>
        <w:tc>
          <w:tcPr>
            <w:tcW w:type="dxa" w:w="1008"/>
          </w:tcPr>
          <w:p>
            <w:r/>
            <w:r>
              <w:rPr>
                <w:sz w:val="17"/>
              </w:rPr>
              <w:t>450</w:t>
            </w:r>
          </w:p>
        </w:tc>
        <w:tc>
          <w:tcPr>
            <w:tcW w:type="dxa" w:w="3672"/>
          </w:tcPr>
          <w:p>
            <w:r/>
            <w:r>
              <w:rPr>
                <w:sz w:val="17"/>
              </w:rPr>
              <w:t>acquisition acceleration flywheel</w:t>
            </w:r>
          </w:p>
        </w:tc>
        <w:tc>
          <w:tcPr>
            <w:tcW w:type="dxa" w:w="1008"/>
          </w:tcPr>
          <w:p>
            <w:r/>
            <w:r>
              <w:rPr>
                <w:sz w:val="17"/>
              </w:rPr>
              <w:t>1122</w:t>
            </w:r>
          </w:p>
        </w:tc>
        <w:tc>
          <w:tcPr>
            <w:tcW w:type="dxa" w:w="3672"/>
          </w:tcPr>
          <w:p>
            <w:r/>
            <w:r>
              <w:rPr>
                <w:sz w:val="17"/>
              </w:rPr>
              <w:t>Proof Package Agent</w:t>
            </w:r>
          </w:p>
        </w:tc>
      </w:tr>
      <w:tr>
        <w:tc>
          <w:tcPr>
            <w:tcW w:type="dxa" w:w="1008"/>
          </w:tcPr>
          <w:p>
            <w:r/>
            <w:r>
              <w:rPr>
                <w:sz w:val="17"/>
              </w:rPr>
              <w:t>451</w:t>
            </w:r>
          </w:p>
        </w:tc>
        <w:tc>
          <w:tcPr>
            <w:tcW w:type="dxa" w:w="3672"/>
          </w:tcPr>
          <w:p>
            <w:r/>
            <w:r>
              <w:rPr>
                <w:sz w:val="17"/>
              </w:rPr>
              <w:t>negative-transfer detection &amp; retraining</w:t>
            </w:r>
          </w:p>
        </w:tc>
        <w:tc>
          <w:tcPr>
            <w:tcW w:type="dxa" w:w="1008"/>
          </w:tcPr>
          <w:p>
            <w:r/>
            <w:r>
              <w:rPr>
                <w:sz w:val="17"/>
              </w:rPr>
              <w:t>1123</w:t>
            </w:r>
          </w:p>
        </w:tc>
        <w:tc>
          <w:tcPr>
            <w:tcW w:type="dxa" w:w="3672"/>
          </w:tcPr>
          <w:p>
            <w:r/>
            <w:r>
              <w:rPr>
                <w:sz w:val="17"/>
              </w:rPr>
              <w:t>sealed Fact Units + verified seals</w:t>
            </w:r>
          </w:p>
        </w:tc>
      </w:tr>
      <w:tr>
        <w:tc>
          <w:tcPr>
            <w:tcW w:type="dxa" w:w="1008"/>
          </w:tcPr>
          <w:p>
            <w:r/>
            <w:r>
              <w:rPr>
                <w:sz w:val="17"/>
              </w:rPr>
              <w:t>500</w:t>
            </w:r>
          </w:p>
        </w:tc>
        <w:tc>
          <w:tcPr>
            <w:tcW w:type="dxa" w:w="3672"/>
          </w:tcPr>
          <w:p>
            <w:r/>
            <w:r>
              <w:rPr>
                <w:sz w:val="17"/>
              </w:rPr>
              <w:t>Speech Output Pipeline</w:t>
            </w:r>
          </w:p>
        </w:tc>
        <w:tc>
          <w:tcPr>
            <w:tcW w:type="dxa" w:w="1008"/>
          </w:tcPr>
          <w:p>
            <w:r/>
            <w:r>
              <w:rPr>
                <w:sz w:val="17"/>
              </w:rPr>
              <w:t>1124</w:t>
            </w:r>
          </w:p>
        </w:tc>
        <w:tc>
          <w:tcPr>
            <w:tcW w:type="dxa" w:w="3672"/>
          </w:tcPr>
          <w:p>
            <w:r/>
            <w:r>
              <w:rPr>
                <w:sz w:val="17"/>
              </w:rPr>
              <w:t>cross-submission similarity log entry</w:t>
            </w:r>
          </w:p>
        </w:tc>
      </w:tr>
      <w:tr>
        <w:tc>
          <w:tcPr>
            <w:tcW w:type="dxa" w:w="1008"/>
          </w:tcPr>
          <w:p>
            <w:r/>
            <w:r>
              <w:rPr>
                <w:sz w:val="17"/>
              </w:rPr>
              <w:t>510</w:t>
            </w:r>
          </w:p>
        </w:tc>
        <w:tc>
          <w:tcPr>
            <w:tcW w:type="dxa" w:w="3672"/>
          </w:tcPr>
          <w:p>
            <w:r/>
            <w:r>
              <w:rPr>
                <w:sz w:val="17"/>
              </w:rPr>
              <w:t>lexical selection</w:t>
            </w:r>
          </w:p>
        </w:tc>
        <w:tc>
          <w:tcPr>
            <w:tcW w:type="dxa" w:w="1008"/>
          </w:tcPr>
          <w:p>
            <w:r/>
            <w:r>
              <w:rPr>
                <w:sz w:val="17"/>
              </w:rPr>
              <w:t>1125</w:t>
            </w:r>
          </w:p>
        </w:tc>
        <w:tc>
          <w:tcPr>
            <w:tcW w:type="dxa" w:w="3672"/>
          </w:tcPr>
          <w:p>
            <w:r/>
            <w:r>
              <w:rPr>
                <w:sz w:val="17"/>
              </w:rPr>
              <w:t>chronological ledger extract (RPH)</w:t>
            </w:r>
          </w:p>
        </w:tc>
      </w:tr>
      <w:tr>
        <w:tc>
          <w:tcPr>
            <w:tcW w:type="dxa" w:w="1008"/>
          </w:tcPr>
          <w:p>
            <w:r/>
            <w:r>
              <w:rPr>
                <w:sz w:val="17"/>
              </w:rPr>
              <w:t>520</w:t>
            </w:r>
          </w:p>
        </w:tc>
        <w:tc>
          <w:tcPr>
            <w:tcW w:type="dxa" w:w="3672"/>
          </w:tcPr>
          <w:p>
            <w:r/>
            <w:r>
              <w:rPr>
                <w:sz w:val="17"/>
              </w:rPr>
              <w:t>grapheme-to-phoneme conversion</w:t>
            </w:r>
          </w:p>
        </w:tc>
        <w:tc>
          <w:tcPr>
            <w:tcW w:type="dxa" w:w="1008"/>
          </w:tcPr>
          <w:p>
            <w:r/>
            <w:r>
              <w:rPr>
                <w:sz w:val="17"/>
              </w:rPr>
              <w:t>1126</w:t>
            </w:r>
          </w:p>
        </w:tc>
        <w:tc>
          <w:tcPr>
            <w:tcW w:type="dxa" w:w="3672"/>
          </w:tcPr>
          <w:p>
            <w:r/>
            <w:r>
              <w:rPr>
                <w:sz w:val="17"/>
              </w:rPr>
              <w:t>Arbitration Agent (factual determination; Prime-Directive gate)</w:t>
            </w:r>
          </w:p>
        </w:tc>
      </w:tr>
      <w:tr>
        <w:tc>
          <w:tcPr>
            <w:tcW w:type="dxa" w:w="1008"/>
          </w:tcPr>
          <w:p>
            <w:r/>
            <w:r>
              <w:rPr>
                <w:sz w:val="17"/>
              </w:rPr>
              <w:t>530</w:t>
            </w:r>
          </w:p>
        </w:tc>
        <w:tc>
          <w:tcPr>
            <w:tcW w:type="dxa" w:w="3672"/>
          </w:tcPr>
          <w:p>
            <w:r/>
            <w:r>
              <w:rPr>
                <w:sz w:val="17"/>
              </w:rPr>
              <w:t>coarticulation modeling</w:t>
            </w:r>
          </w:p>
        </w:tc>
        <w:tc>
          <w:tcPr>
            <w:tcW w:type="dxa" w:w="1008"/>
          </w:tcPr>
          <w:p>
            <w:r/>
            <w:r>
              <w:rPr>
                <w:sz w:val="17"/>
              </w:rPr>
              <w:t>1127</w:t>
            </w:r>
          </w:p>
        </w:tc>
        <w:tc>
          <w:tcPr>
            <w:tcW w:type="dxa" w:w="3672"/>
          </w:tcPr>
          <w:p>
            <w:r/>
            <w:r>
              <w:rPr>
                <w:sz w:val="17"/>
              </w:rPr>
              <w:t>assemble + sign under UIAS independent identity</w:t>
            </w:r>
          </w:p>
        </w:tc>
      </w:tr>
      <w:tr>
        <w:tc>
          <w:tcPr>
            <w:tcW w:type="dxa" w:w="1008"/>
          </w:tcPr>
          <w:p>
            <w:r/>
            <w:r>
              <w:rPr>
                <w:sz w:val="17"/>
              </w:rPr>
              <w:t>540</w:t>
            </w:r>
          </w:p>
        </w:tc>
        <w:tc>
          <w:tcPr>
            <w:tcW w:type="dxa" w:w="3672"/>
          </w:tcPr>
          <w:p>
            <w:r/>
            <w:r>
              <w:rPr>
                <w:sz w:val="17"/>
              </w:rPr>
              <w:t>prosody generation</w:t>
            </w:r>
          </w:p>
        </w:tc>
        <w:tc>
          <w:tcPr>
            <w:tcW w:type="dxa" w:w="1008"/>
          </w:tcPr>
          <w:p>
            <w:r/>
            <w:r>
              <w:rPr>
                <w:sz w:val="17"/>
              </w:rPr>
              <w:t>1128</w:t>
            </w:r>
          </w:p>
        </w:tc>
        <w:tc>
          <w:tcPr>
            <w:tcW w:type="dxa" w:w="3672"/>
          </w:tcPr>
          <w:p>
            <w:r/>
            <w:r>
              <w:rPr>
                <w:sz w:val="17"/>
              </w:rPr>
              <w:t>signed Proof Package</w:t>
            </w:r>
          </w:p>
        </w:tc>
      </w:tr>
      <w:tr>
        <w:tc>
          <w:tcPr>
            <w:tcW w:type="dxa" w:w="1008"/>
          </w:tcPr>
          <w:p>
            <w:r/>
            <w:r>
              <w:rPr>
                <w:sz w:val="17"/>
              </w:rPr>
              <w:t>550</w:t>
            </w:r>
          </w:p>
        </w:tc>
        <w:tc>
          <w:tcPr>
            <w:tcW w:type="dxa" w:w="3672"/>
          </w:tcPr>
          <w:p>
            <w:r/>
            <w:r>
              <w:rPr>
                <w:sz w:val="17"/>
              </w:rPr>
              <w:t>register &amp; affect calibration</w:t>
            </w:r>
          </w:p>
        </w:tc>
        <w:tc>
          <w:tcPr>
            <w:tcW w:type="dxa" w:w="1008"/>
          </w:tcPr>
          <w:p>
            <w:r/>
            <w:r>
              <w:rPr>
                <w:sz w:val="17"/>
              </w:rPr>
              <w:t>1129</w:t>
            </w:r>
          </w:p>
        </w:tc>
        <w:tc>
          <w:tcPr>
            <w:tcW w:type="dxa" w:w="3672"/>
          </w:tcPr>
          <w:p>
            <w:r/>
            <w:r>
              <w:rPr>
                <w:sz w:val="17"/>
              </w:rPr>
              <w:t>factual-only determination (legal reserved to courts/regulators)</w:t>
            </w:r>
          </w:p>
        </w:tc>
      </w:tr>
      <w:tr>
        <w:tc>
          <w:tcPr>
            <w:tcW w:type="dxa" w:w="1008"/>
          </w:tcPr>
          <w:p>
            <w:r/>
            <w:r>
              <w:rPr>
                <w:sz w:val="17"/>
              </w:rPr>
              <w:t>560</w:t>
            </w:r>
          </w:p>
        </w:tc>
        <w:tc>
          <w:tcPr>
            <w:tcW w:type="dxa" w:w="3672"/>
          </w:tcPr>
          <w:p>
            <w:r/>
            <w:r>
              <w:rPr>
                <w:sz w:val="17"/>
              </w:rPr>
              <w:t>self-monitoring feedback loop</w:t>
            </w:r>
          </w:p>
        </w:tc>
        <w:tc>
          <w:tcPr>
            <w:tcW w:type="dxa" w:w="1008"/>
          </w:tcPr>
          <w:p>
            <w:r/>
            <w:r>
              <w:rPr>
                <w:sz w:val="17"/>
              </w:rPr>
              <w:t>1200</w:t>
            </w:r>
          </w:p>
        </w:tc>
        <w:tc>
          <w:tcPr>
            <w:tcW w:type="dxa" w:w="3672"/>
          </w:tcPr>
          <w:p>
            <w:r/>
            <w:r>
              <w:rPr>
                <w:sz w:val="17"/>
              </w:rPr>
              <w:t>PIL paralinguistic &amp; pragmatic interpretation</w:t>
            </w:r>
          </w:p>
        </w:tc>
      </w:tr>
      <w:tr>
        <w:tc>
          <w:tcPr>
            <w:tcW w:type="dxa" w:w="1008"/>
          </w:tcPr>
          <w:p>
            <w:r/>
            <w:r>
              <w:rPr>
                <w:sz w:val="17"/>
              </w:rPr>
              <w:t>570</w:t>
            </w:r>
          </w:p>
        </w:tc>
        <w:tc>
          <w:tcPr>
            <w:tcW w:type="dxa" w:w="3672"/>
          </w:tcPr>
          <w:p>
            <w:r/>
            <w:r>
              <w:rPr>
                <w:sz w:val="17"/>
              </w:rPr>
              <w:t>neural vocoder rendering</w:t>
            </w:r>
          </w:p>
        </w:tc>
        <w:tc>
          <w:tcPr>
            <w:tcW w:type="dxa" w:w="1008"/>
          </w:tcPr>
          <w:p>
            <w:r/>
            <w:r>
              <w:rPr>
                <w:sz w:val="17"/>
              </w:rPr>
              <w:t>1201</w:t>
            </w:r>
          </w:p>
        </w:tc>
        <w:tc>
          <w:tcPr>
            <w:tcW w:type="dxa" w:w="3672"/>
          </w:tcPr>
          <w:p>
            <w:r/>
            <w:r>
              <w:rPr>
                <w:sz w:val="17"/>
              </w:rPr>
              <w:t>ingested voice (consent-gated)</w:t>
            </w:r>
          </w:p>
        </w:tc>
      </w:tr>
      <w:tr>
        <w:tc>
          <w:tcPr>
            <w:tcW w:type="dxa" w:w="1008"/>
          </w:tcPr>
          <w:p>
            <w:r/>
            <w:r>
              <w:rPr>
                <w:sz w:val="17"/>
              </w:rPr>
              <w:t>580</w:t>
            </w:r>
          </w:p>
        </w:tc>
        <w:tc>
          <w:tcPr>
            <w:tcW w:type="dxa" w:w="3672"/>
          </w:tcPr>
          <w:p>
            <w:r/>
            <w:r>
              <w:rPr>
                <w:sz w:val="17"/>
              </w:rPr>
              <w:t>natural speech waveform</w:t>
            </w:r>
          </w:p>
        </w:tc>
        <w:tc>
          <w:tcPr>
            <w:tcW w:type="dxa" w:w="1008"/>
          </w:tcPr>
          <w:p>
            <w:r/>
            <w:r>
              <w:rPr>
                <w:sz w:val="17"/>
              </w:rPr>
              <w:t>1202</w:t>
            </w:r>
          </w:p>
        </w:tc>
        <w:tc>
          <w:tcPr>
            <w:tcW w:type="dxa" w:w="3672"/>
          </w:tcPr>
          <w:p>
            <w:r/>
            <w:r>
              <w:rPr>
                <w:sz w:val="17"/>
              </w:rPr>
              <w:t>transcription (words)</w:t>
            </w:r>
          </w:p>
        </w:tc>
      </w:tr>
      <w:tr>
        <w:tc>
          <w:tcPr>
            <w:tcW w:type="dxa" w:w="1008"/>
          </w:tcPr>
          <w:p>
            <w:r/>
            <w:r>
              <w:rPr>
                <w:sz w:val="17"/>
              </w:rPr>
              <w:t>600</w:t>
            </w:r>
          </w:p>
        </w:tc>
        <w:tc>
          <w:tcPr>
            <w:tcW w:type="dxa" w:w="3672"/>
          </w:tcPr>
          <w:p>
            <w:r/>
            <w:r>
              <w:rPr>
                <w:sz w:val="17"/>
              </w:rPr>
              <w:t>co-grounded integration</w:t>
            </w:r>
          </w:p>
        </w:tc>
        <w:tc>
          <w:tcPr>
            <w:tcW w:type="dxa" w:w="1008"/>
          </w:tcPr>
          <w:p>
            <w:r/>
            <w:r>
              <w:rPr>
                <w:sz w:val="17"/>
              </w:rPr>
              <w:t>1203</w:t>
            </w:r>
          </w:p>
        </w:tc>
        <w:tc>
          <w:tcPr>
            <w:tcW w:type="dxa" w:w="3672"/>
          </w:tcPr>
          <w:p>
            <w:r/>
            <w:r>
              <w:rPr>
                <w:sz w:val="17"/>
              </w:rPr>
              <w:t>Paralinguistic Analyzer (measured)</w:t>
            </w:r>
          </w:p>
        </w:tc>
      </w:tr>
      <w:tr>
        <w:tc>
          <w:tcPr>
            <w:tcW w:type="dxa" w:w="1008"/>
          </w:tcPr>
          <w:p>
            <w:r/>
            <w:r>
              <w:rPr>
                <w:sz w:val="17"/>
              </w:rPr>
              <w:t>610</w:t>
            </w:r>
          </w:p>
        </w:tc>
        <w:tc>
          <w:tcPr>
            <w:tcW w:type="dxa" w:w="3672"/>
          </w:tcPr>
          <w:p>
            <w:r/>
            <w:r>
              <w:rPr>
                <w:sz w:val="17"/>
              </w:rPr>
              <w:t>natural-language input</w:t>
            </w:r>
          </w:p>
        </w:tc>
        <w:tc>
          <w:tcPr>
            <w:tcW w:type="dxa" w:w="1008"/>
          </w:tcPr>
          <w:p>
            <w:r/>
            <w:r>
              <w:rPr>
                <w:sz w:val="17"/>
              </w:rPr>
              <w:t>1204</w:t>
            </w:r>
          </w:p>
        </w:tc>
        <w:tc>
          <w:tcPr>
            <w:tcW w:type="dxa" w:w="3672"/>
          </w:tcPr>
          <w:p>
            <w:r/>
            <w:r>
              <w:rPr>
                <w:sz w:val="17"/>
              </w:rPr>
              <w:t>tone/loudness/pacing/emphasis + labeled arousal estimate</w:t>
            </w:r>
          </w:p>
        </w:tc>
      </w:tr>
      <w:tr>
        <w:tc>
          <w:tcPr>
            <w:tcW w:type="dxa" w:w="1008"/>
          </w:tcPr>
          <w:p>
            <w:r/>
            <w:r>
              <w:rPr>
                <w:sz w:val="17"/>
              </w:rPr>
              <w:t>620</w:t>
            </w:r>
          </w:p>
        </w:tc>
        <w:tc>
          <w:tcPr>
            <w:tcW w:type="dxa" w:w="3672"/>
          </w:tcPr>
          <w:p>
            <w:r/>
            <w:r>
              <w:rPr>
                <w:sz w:val="17"/>
              </w:rPr>
              <w:t>LEL analysis</w:t>
            </w:r>
          </w:p>
        </w:tc>
        <w:tc>
          <w:tcPr>
            <w:tcW w:type="dxa" w:w="1008"/>
          </w:tcPr>
          <w:p>
            <w:r/>
            <w:r>
              <w:rPr>
                <w:sz w:val="17"/>
              </w:rPr>
              <w:t>1205</w:t>
            </w:r>
          </w:p>
        </w:tc>
        <w:tc>
          <w:tcPr>
            <w:tcW w:type="dxa" w:w="3672"/>
          </w:tcPr>
          <w:p>
            <w:r/>
            <w:r>
              <w:rPr>
                <w:sz w:val="17"/>
              </w:rPr>
              <w:t>Pragmatic Framer (sourced)</w:t>
            </w:r>
          </w:p>
        </w:tc>
      </w:tr>
      <w:tr>
        <w:tc>
          <w:tcPr>
            <w:tcW w:type="dxa" w:w="1008"/>
          </w:tcPr>
          <w:p>
            <w:r/>
            <w:r>
              <w:rPr>
                <w:sz w:val="17"/>
              </w:rPr>
              <w:t>630</w:t>
            </w:r>
          </w:p>
        </w:tc>
        <w:tc>
          <w:tcPr>
            <w:tcW w:type="dxa" w:w="3672"/>
          </w:tcPr>
          <w:p>
            <w:r/>
            <w:r>
              <w:rPr>
                <w:sz w:val="17"/>
              </w:rPr>
              <w:t>FQL operations</w:t>
            </w:r>
          </w:p>
        </w:tc>
        <w:tc>
          <w:tcPr>
            <w:tcW w:type="dxa" w:w="1008"/>
          </w:tcPr>
          <w:p>
            <w:r/>
            <w:r>
              <w:rPr>
                <w:sz w:val="17"/>
              </w:rPr>
              <w:t>1206</w:t>
            </w:r>
          </w:p>
        </w:tc>
        <w:tc>
          <w:tcPr>
            <w:tcW w:type="dxa" w:w="3672"/>
          </w:tcPr>
          <w:p>
            <w:r/>
            <w:r>
              <w:rPr>
                <w:sz w:val="17"/>
              </w:rPr>
              <w:t>context · perspective · ergonomics · culture · social mores</w:t>
            </w:r>
          </w:p>
        </w:tc>
      </w:tr>
      <w:tr>
        <w:tc>
          <w:tcPr>
            <w:tcW w:type="dxa" w:w="1008"/>
          </w:tcPr>
          <w:p>
            <w:r/>
            <w:r>
              <w:rPr>
                <w:sz w:val="17"/>
              </w:rPr>
              <w:t>640</w:t>
            </w:r>
          </w:p>
        </w:tc>
        <w:tc>
          <w:tcPr>
            <w:tcW w:type="dxa" w:w="3672"/>
          </w:tcPr>
          <w:p>
            <w:r/>
            <w:r>
              <w:rPr>
                <w:sz w:val="17"/>
              </w:rPr>
              <w:t>UFCS execution</w:t>
            </w:r>
          </w:p>
        </w:tc>
        <w:tc>
          <w:tcPr>
            <w:tcW w:type="dxa" w:w="1008"/>
          </w:tcPr>
          <w:p>
            <w:r/>
            <w:r>
              <w:rPr>
                <w:sz w:val="17"/>
              </w:rPr>
              <w:t>1207</w:t>
            </w:r>
          </w:p>
        </w:tc>
        <w:tc>
          <w:tcPr>
            <w:tcW w:type="dxa" w:w="3672"/>
          </w:tcPr>
          <w:p>
            <w:r/>
            <w:r>
              <w:rPr>
                <w:sz w:val="17"/>
              </w:rPr>
              <w:t>Interpretation Frame (labeled estimates + sourced frames)</w:t>
            </w:r>
          </w:p>
        </w:tc>
      </w:tr>
      <w:tr>
        <w:tc>
          <w:tcPr>
            <w:tcW w:type="dxa" w:w="1008"/>
          </w:tcPr>
          <w:p>
            <w:r/>
            <w:r>
              <w:rPr>
                <w:sz w:val="17"/>
              </w:rPr>
              <w:t>650</w:t>
            </w:r>
          </w:p>
        </w:tc>
        <w:tc>
          <w:tcPr>
            <w:tcW w:type="dxa" w:w="3672"/>
          </w:tcPr>
          <w:p>
            <w:r/>
            <w:r>
              <w:rPr>
                <w:sz w:val="17"/>
              </w:rPr>
              <w:t>federated sources</w:t>
            </w:r>
          </w:p>
        </w:tc>
        <w:tc>
          <w:tcPr>
            <w:tcW w:type="dxa" w:w="1008"/>
          </w:tcPr>
          <w:p>
            <w:r/>
            <w:r>
              <w:rPr>
                <w:sz w:val="17"/>
              </w:rPr>
              <w:t>1208</w:t>
            </w:r>
          </w:p>
        </w:tc>
        <w:tc>
          <w:tcPr>
            <w:tcW w:type="dxa" w:w="3672"/>
          </w:tcPr>
          <w:p>
            <w:r/>
            <w:r>
              <w:rPr>
                <w:sz w:val="17"/>
              </w:rPr>
              <w:t>Fact Units on ingested content</w:t>
            </w:r>
          </w:p>
        </w:tc>
      </w:tr>
      <w:tr>
        <w:tc>
          <w:tcPr>
            <w:tcW w:type="dxa" w:w="1008"/>
          </w:tcPr>
          <w:p>
            <w:r/>
            <w:r>
              <w:rPr>
                <w:sz w:val="17"/>
              </w:rPr>
              <w:t>660</w:t>
            </w:r>
          </w:p>
        </w:tc>
        <w:tc>
          <w:tcPr>
            <w:tcW w:type="dxa" w:w="3672"/>
          </w:tcPr>
          <w:p>
            <w:r/>
            <w:r>
              <w:rPr>
                <w:sz w:val="17"/>
              </w:rPr>
              <w:t>results</w:t>
            </w:r>
          </w:p>
        </w:tc>
        <w:tc>
          <w:tcPr>
            <w:tcW w:type="dxa" w:w="1008"/>
          </w:tcPr>
          <w:p>
            <w:r/>
            <w:r>
              <w:rPr>
                <w:sz w:val="17"/>
              </w:rPr>
              <w:t>1209</w:t>
            </w:r>
          </w:p>
        </w:tc>
        <w:tc>
          <w:tcPr>
            <w:tcW w:type="dxa" w:w="3672"/>
          </w:tcPr>
          <w:p>
            <w:r/>
            <w:r>
              <w:rPr>
                <w:sz w:val="17"/>
              </w:rPr>
              <w:t>covenant: estimates not asserted; frames sourced; consent</w:t>
            </w:r>
          </w:p>
        </w:tc>
      </w:tr>
      <w:tr>
        <w:tc>
          <w:tcPr>
            <w:tcW w:type="dxa" w:w="1008"/>
          </w:tcPr>
          <w:p>
            <w:r/>
            <w:r>
              <w:rPr>
                <w:sz w:val="17"/>
              </w:rPr>
              <w:t>670</w:t>
            </w:r>
          </w:p>
        </w:tc>
        <w:tc>
          <w:tcPr>
            <w:tcW w:type="dxa" w:w="3672"/>
          </w:tcPr>
          <w:p>
            <w:r/>
            <w:r>
              <w:rPr>
                <w:sz w:val="17"/>
              </w:rPr>
              <w:t>render to NL / speech in input language</w:t>
            </w:r>
          </w:p>
        </w:tc>
        <w:tc>
          <w:tcPr>
            <w:tcW w:type="dxa" w:w="1008"/>
          </w:tcPr>
          <w:p>
            <w:r/>
            <w:r>
              <w:rPr>
                <w:sz w:val="17"/>
              </w:rPr>
              <w:t>1210</w:t>
            </w:r>
          </w:p>
        </w:tc>
        <w:tc>
          <w:tcPr>
            <w:tcW w:type="dxa" w:w="3672"/>
          </w:tcPr>
          <w:p>
            <w:r/>
            <w:r>
              <w:rPr>
                <w:sz w:val="17"/>
              </w:rPr>
              <w:t>PIL human query interpretation</w:t>
            </w:r>
          </w:p>
        </w:tc>
      </w:tr>
      <w:tr>
        <w:tc>
          <w:tcPr>
            <w:tcW w:type="dxa" w:w="1008"/>
          </w:tcPr>
          <w:p>
            <w:r/>
            <w:r>
              <w:rPr>
                <w:sz w:val="17"/>
              </w:rPr>
              <w:t>680</w:t>
            </w:r>
          </w:p>
        </w:tc>
        <w:tc>
          <w:tcPr>
            <w:tcW w:type="dxa" w:w="3672"/>
          </w:tcPr>
          <w:p>
            <w:r/>
            <w:r>
              <w:rPr>
                <w:sz w:val="17"/>
              </w:rPr>
              <w:t>language-agnostic resolution</w:t>
            </w:r>
          </w:p>
        </w:tc>
        <w:tc>
          <w:tcPr>
            <w:tcW w:type="dxa" w:w="1008"/>
          </w:tcPr>
          <w:p>
            <w:r/>
            <w:r>
              <w:rPr>
                <w:sz w:val="17"/>
              </w:rPr>
              <w:t>1211</w:t>
            </w:r>
          </w:p>
        </w:tc>
        <w:tc>
          <w:tcPr>
            <w:tcW w:type="dxa" w:w="3672"/>
          </w:tcPr>
          <w:p>
            <w:r/>
            <w:r>
              <w:rPr>
                <w:sz w:val="17"/>
              </w:rPr>
              <w:t>human query (typed/spoken)</w:t>
            </w:r>
          </w:p>
        </w:tc>
      </w:tr>
      <w:tr>
        <w:tc>
          <w:tcPr>
            <w:tcW w:type="dxa" w:w="1008"/>
          </w:tcPr>
          <w:p>
            <w:r/>
            <w:r>
              <w:rPr>
                <w:sz w:val="17"/>
              </w:rPr>
              <w:t>700</w:t>
            </w:r>
          </w:p>
        </w:tc>
        <w:tc>
          <w:tcPr>
            <w:tcW w:type="dxa" w:w="3672"/>
          </w:tcPr>
          <w:p>
            <w:r/>
            <w:r>
              <w:rPr>
                <w:sz w:val="17"/>
              </w:rPr>
              <w:t>Language Lab prototype embodiment</w:t>
            </w:r>
          </w:p>
        </w:tc>
        <w:tc>
          <w:tcPr>
            <w:tcW w:type="dxa" w:w="1008"/>
          </w:tcPr>
          <w:p>
            <w:r/>
            <w:r>
              <w:rPr>
                <w:sz w:val="17"/>
              </w:rPr>
              <w:t>1212</w:t>
            </w:r>
          </w:p>
        </w:tc>
        <w:tc>
          <w:tcPr>
            <w:tcW w:type="dxa" w:w="3672"/>
          </w:tcPr>
          <w:p>
            <w:r/>
            <w:r>
              <w:rPr>
                <w:sz w:val="17"/>
              </w:rPr>
              <w:t>Interpretation Frame (para + pragmatic)</w:t>
            </w:r>
          </w:p>
        </w:tc>
      </w:tr>
      <w:tr>
        <w:tc>
          <w:tcPr>
            <w:tcW w:type="dxa" w:w="1008"/>
          </w:tcPr>
          <w:p>
            <w:r/>
            <w:r>
              <w:rPr>
                <w:sz w:val="17"/>
              </w:rPr>
              <w:t>710</w:t>
            </w:r>
          </w:p>
        </w:tc>
        <w:tc>
          <w:tcPr>
            <w:tcW w:type="dxa" w:w="3672"/>
          </w:tcPr>
          <w:p>
            <w:r/>
            <w:r>
              <w:rPr>
                <w:sz w:val="17"/>
              </w:rPr>
              <w:t>corpus source</w:t>
            </w:r>
          </w:p>
        </w:tc>
        <w:tc>
          <w:tcPr>
            <w:tcW w:type="dxa" w:w="1008"/>
          </w:tcPr>
          <w:p>
            <w:r/>
            <w:r>
              <w:rPr>
                <w:sz w:val="17"/>
              </w:rPr>
              <w:t>1213</w:t>
            </w:r>
          </w:p>
        </w:tc>
        <w:tc>
          <w:tcPr>
            <w:tcW w:type="dxa" w:w="3672"/>
          </w:tcPr>
          <w:p>
            <w:r/>
            <w:r>
              <w:rPr>
                <w:sz w:val="17"/>
              </w:rPr>
              <w:t>intent disambiguation (context/perspective)</w:t>
            </w:r>
          </w:p>
        </w:tc>
      </w:tr>
      <w:tr>
        <w:tc>
          <w:tcPr>
            <w:tcW w:type="dxa" w:w="1008"/>
          </w:tcPr>
          <w:p>
            <w:r/>
            <w:r>
              <w:rPr>
                <w:sz w:val="17"/>
              </w:rPr>
              <w:t>720</w:t>
            </w:r>
          </w:p>
        </w:tc>
        <w:tc>
          <w:tcPr>
            <w:tcW w:type="dxa" w:w="3672"/>
          </w:tcPr>
          <w:p>
            <w:r/>
            <w:r>
              <w:rPr>
                <w:sz w:val="17"/>
              </w:rPr>
              <w:t>Phase-One structural agent</w:t>
            </w:r>
          </w:p>
        </w:tc>
        <w:tc>
          <w:tcPr>
            <w:tcW w:type="dxa" w:w="1008"/>
          </w:tcPr>
          <w:p>
            <w:r/>
            <w:r>
              <w:rPr>
                <w:sz w:val="17"/>
              </w:rPr>
              <w:t>1214</w:t>
            </w:r>
          </w:p>
        </w:tc>
        <w:tc>
          <w:tcPr>
            <w:tcW w:type="dxa" w:w="3672"/>
          </w:tcPr>
          <w:p>
            <w:r/>
            <w:r>
              <w:rPr>
                <w:sz w:val="17"/>
              </w:rPr>
              <w:t>ambiguity gate</w:t>
            </w:r>
          </w:p>
        </w:tc>
      </w:tr>
      <w:tr>
        <w:tc>
          <w:tcPr>
            <w:tcW w:type="dxa" w:w="1008"/>
          </w:tcPr>
          <w:p>
            <w:r/>
            <w:r>
              <w:rPr>
                <w:sz w:val="17"/>
              </w:rPr>
              <w:t>730</w:t>
            </w:r>
          </w:p>
        </w:tc>
        <w:tc>
          <w:tcPr>
            <w:tcW w:type="dxa" w:w="3672"/>
          </w:tcPr>
          <w:p>
            <w:r/>
            <w:r>
              <w:rPr>
                <w:sz w:val="17"/>
              </w:rPr>
              <w:t>structural analyzer</w:t>
            </w:r>
          </w:p>
        </w:tc>
        <w:tc>
          <w:tcPr>
            <w:tcW w:type="dxa" w:w="1008"/>
          </w:tcPr>
          <w:p>
            <w:r/>
            <w:r>
              <w:rPr>
                <w:sz w:val="17"/>
              </w:rPr>
              <w:t>1215</w:t>
            </w:r>
          </w:p>
        </w:tc>
        <w:tc>
          <w:tcPr>
            <w:tcW w:type="dxa" w:w="3672"/>
          </w:tcPr>
          <w:p>
            <w:r/>
            <w:r>
              <w:rPr>
                <w:sz w:val="17"/>
              </w:rPr>
              <w:t>ask one clarifying question / stop</w:t>
            </w:r>
          </w:p>
        </w:tc>
      </w:tr>
      <w:tr>
        <w:tc>
          <w:tcPr>
            <w:tcW w:type="dxa" w:w="1008"/>
          </w:tcPr>
          <w:p>
            <w:r/>
            <w:r>
              <w:rPr>
                <w:sz w:val="17"/>
              </w:rPr>
              <w:t>731</w:t>
            </w:r>
          </w:p>
        </w:tc>
        <w:tc>
          <w:tcPr>
            <w:tcW w:type="dxa" w:w="3672"/>
          </w:tcPr>
          <w:p>
            <w:r/>
            <w:r>
              <w:rPr>
                <w:sz w:val="17"/>
              </w:rPr>
              <w:t>grapheme inventory</w:t>
            </w:r>
          </w:p>
        </w:tc>
        <w:tc>
          <w:tcPr>
            <w:tcW w:type="dxa" w:w="1008"/>
          </w:tcPr>
          <w:p>
            <w:r/>
            <w:r>
              <w:rPr>
                <w:sz w:val="17"/>
              </w:rPr>
              <w:t>1216</w:t>
            </w:r>
          </w:p>
        </w:tc>
        <w:tc>
          <w:tcPr>
            <w:tcW w:type="dxa" w:w="3672"/>
          </w:tcPr>
          <w:p>
            <w:r/>
            <w:r>
              <w:rPr>
                <w:sz w:val="17"/>
              </w:rPr>
              <w:t>register &amp; ergonomic mode selector</w:t>
            </w:r>
          </w:p>
        </w:tc>
      </w:tr>
      <w:tr>
        <w:tc>
          <w:tcPr>
            <w:tcW w:type="dxa" w:w="1008"/>
          </w:tcPr>
          <w:p>
            <w:r/>
            <w:r>
              <w:rPr>
                <w:sz w:val="17"/>
              </w:rPr>
              <w:t>732</w:t>
            </w:r>
          </w:p>
        </w:tc>
        <w:tc>
          <w:tcPr>
            <w:tcW w:type="dxa" w:w="3672"/>
          </w:tcPr>
          <w:p>
            <w:r/>
            <w:r>
              <w:rPr>
                <w:sz w:val="17"/>
              </w:rPr>
              <w:t>rule-seeded G2P</w:t>
            </w:r>
          </w:p>
        </w:tc>
        <w:tc>
          <w:tcPr>
            <w:tcW w:type="dxa" w:w="1008"/>
          </w:tcPr>
          <w:p>
            <w:r/>
            <w:r>
              <w:rPr>
                <w:sz w:val="17"/>
              </w:rPr>
              <w:t>1217</w:t>
            </w:r>
          </w:p>
        </w:tc>
        <w:tc>
          <w:tcPr>
            <w:tcW w:type="dxa" w:w="3672"/>
          </w:tcPr>
          <w:p>
            <w:r/>
            <w:r>
              <w:rPr>
                <w:sz w:val="17"/>
              </w:rPr>
              <w:t>culture/mores/ergonomics packs</w:t>
            </w:r>
          </w:p>
        </w:tc>
      </w:tr>
      <w:tr>
        <w:tc>
          <w:tcPr>
            <w:tcW w:type="dxa" w:w="1008"/>
          </w:tcPr>
          <w:p>
            <w:r/>
            <w:r>
              <w:rPr>
                <w:sz w:val="17"/>
              </w:rPr>
              <w:t>733</w:t>
            </w:r>
          </w:p>
        </w:tc>
        <w:tc>
          <w:tcPr>
            <w:tcW w:type="dxa" w:w="3672"/>
          </w:tcPr>
          <w:p>
            <w:r/>
            <w:r>
              <w:rPr>
                <w:sz w:val="17"/>
              </w:rPr>
              <w:t>syllabifier</w:t>
            </w:r>
          </w:p>
        </w:tc>
        <w:tc>
          <w:tcPr>
            <w:tcW w:type="dxa" w:w="1008"/>
          </w:tcPr>
          <w:p>
            <w:r/>
            <w:r>
              <w:rPr>
                <w:sz w:val="17"/>
              </w:rPr>
              <w:t>1218</w:t>
            </w:r>
          </w:p>
        </w:tc>
        <w:tc>
          <w:tcPr>
            <w:tcW w:type="dxa" w:w="3672"/>
          </w:tcPr>
          <w:p>
            <w:r/>
            <w:r>
              <w:rPr>
                <w:sz w:val="17"/>
              </w:rPr>
              <w:t>retrieve-gate-compose (verified Fact Units; cite or refuse)</w:t>
            </w:r>
          </w:p>
        </w:tc>
      </w:tr>
      <w:tr>
        <w:tc>
          <w:tcPr>
            <w:tcW w:type="dxa" w:w="1008"/>
          </w:tcPr>
          <w:p>
            <w:r/>
            <w:r>
              <w:rPr>
                <w:sz w:val="17"/>
              </w:rPr>
              <w:t>734</w:t>
            </w:r>
          </w:p>
        </w:tc>
        <w:tc>
          <w:tcPr>
            <w:tcW w:type="dxa" w:w="3672"/>
          </w:tcPr>
          <w:p>
            <w:r/>
            <w:r>
              <w:rPr>
                <w:sz w:val="17"/>
              </w:rPr>
              <w:t>lexical-stability metric</w:t>
            </w:r>
          </w:p>
        </w:tc>
        <w:tc>
          <w:tcPr>
            <w:tcW w:type="dxa" w:w="1008"/>
          </w:tcPr>
          <w:p>
            <w:r/>
            <w:r>
              <w:rPr>
                <w:sz w:val="17"/>
              </w:rPr>
              <w:t>1219</w:t>
            </w:r>
          </w:p>
        </w:tc>
        <w:tc>
          <w:tcPr>
            <w:tcW w:type="dxa" w:w="3672"/>
          </w:tcPr>
          <w:p>
            <w:r/>
            <w:r>
              <w:rPr>
                <w:sz w:val="17"/>
              </w:rPr>
              <w:t>answer in selected register/mode (facts unchanged)</w:t>
            </w:r>
          </w:p>
        </w:tc>
      </w:tr>
      <w:tr>
        <w:tc>
          <w:tcPr>
            <w:tcW w:type="dxa" w:w="1008"/>
          </w:tcPr>
          <w:p>
            <w:r/>
            <w:r>
              <w:rPr>
                <w:sz w:val="17"/>
              </w:rPr>
              <w:t>735</w:t>
            </w:r>
          </w:p>
        </w:tc>
        <w:tc>
          <w:tcPr>
            <w:tcW w:type="dxa" w:w="3672"/>
          </w:tcPr>
          <w:p>
            <w:r/>
            <w:r>
              <w:rPr>
                <w:sz w:val="17"/>
              </w:rPr>
              <w:t>co-occurrence density metric</w:t>
            </w:r>
          </w:p>
        </w:tc>
        <w:tc>
          <w:tcPr>
            <w:tcW w:type="dxa" w:w="1008"/>
          </w:tcPr>
          <w:p>
            <w:r/>
            <w:r>
              <w:rPr>
                <w:sz w:val="17"/>
              </w:rPr>
              <w:t>1300</w:t>
            </w:r>
          </w:p>
        </w:tc>
        <w:tc>
          <w:tcPr>
            <w:tcW w:type="dxa" w:w="3672"/>
          </w:tcPr>
          <w:p>
            <w:r/>
            <w:r>
              <w:rPr>
                <w:sz w:val="17"/>
              </w:rPr>
              <w:t>Lecture Query ingestion pipeline</w:t>
            </w:r>
          </w:p>
        </w:tc>
      </w:tr>
      <w:tr>
        <w:tc>
          <w:tcPr>
            <w:tcW w:type="dxa" w:w="1008"/>
          </w:tcPr>
          <w:p>
            <w:r/>
            <w:r>
              <w:rPr>
                <w:sz w:val="17"/>
              </w:rPr>
              <w:t>736</w:t>
            </w:r>
          </w:p>
        </w:tc>
        <w:tc>
          <w:tcPr>
            <w:tcW w:type="dxa" w:w="3672"/>
          </w:tcPr>
          <w:p>
            <w:r/>
            <w:r>
              <w:rPr>
                <w:sz w:val="17"/>
              </w:rPr>
              <w:t>prosody proxy</w:t>
            </w:r>
          </w:p>
        </w:tc>
        <w:tc>
          <w:tcPr>
            <w:tcW w:type="dxa" w:w="1008"/>
          </w:tcPr>
          <w:p>
            <w:r/>
            <w:r>
              <w:rPr>
                <w:sz w:val="17"/>
              </w:rPr>
              <w:t>1301</w:t>
            </w:r>
          </w:p>
        </w:tc>
        <w:tc>
          <w:tcPr>
            <w:tcW w:type="dxa" w:w="3672"/>
          </w:tcPr>
          <w:p>
            <w:r/>
            <w:r>
              <w:rPr>
                <w:sz w:val="17"/>
              </w:rPr>
              <w:t>live or recorded audio/video program</w:t>
            </w:r>
          </w:p>
        </w:tc>
      </w:tr>
      <w:tr>
        <w:tc>
          <w:tcPr>
            <w:tcW w:type="dxa" w:w="1008"/>
          </w:tcPr>
          <w:p>
            <w:r/>
            <w:r>
              <w:rPr>
                <w:sz w:val="17"/>
              </w:rPr>
              <w:t>740</w:t>
            </w:r>
          </w:p>
        </w:tc>
        <w:tc>
          <w:tcPr>
            <w:tcW w:type="dxa" w:w="3672"/>
          </w:tcPr>
          <w:p>
            <w:r/>
            <w:r>
              <w:rPr>
                <w:sz w:val="17"/>
              </w:rPr>
              <w:t>Fact Unit store</w:t>
            </w:r>
          </w:p>
        </w:tc>
        <w:tc>
          <w:tcPr>
            <w:tcW w:type="dxa" w:w="1008"/>
          </w:tcPr>
          <w:p>
            <w:r/>
            <w:r>
              <w:rPr>
                <w:sz w:val="17"/>
              </w:rPr>
              <w:t>1302</w:t>
            </w:r>
          </w:p>
        </w:tc>
        <w:tc>
          <w:tcPr>
            <w:tcW w:type="dxa" w:w="3672"/>
          </w:tcPr>
          <w:p>
            <w:r/>
            <w:r>
              <w:rPr>
                <w:sz w:val="17"/>
              </w:rPr>
              <w:t>capture + consent gate</w:t>
            </w:r>
          </w:p>
        </w:tc>
      </w:tr>
      <w:tr>
        <w:tc>
          <w:tcPr>
            <w:tcW w:type="dxa" w:w="1008"/>
          </w:tcPr>
          <w:p>
            <w:r/>
            <w:r>
              <w:rPr>
                <w:sz w:val="17"/>
              </w:rPr>
              <w:t>750</w:t>
            </w:r>
          </w:p>
        </w:tc>
        <w:tc>
          <w:tcPr>
            <w:tcW w:type="dxa" w:w="3672"/>
          </w:tcPr>
          <w:p>
            <w:r/>
            <w:r>
              <w:rPr>
                <w:sz w:val="17"/>
              </w:rPr>
              <w:t>Transition-Gate metrics</w:t>
            </w:r>
          </w:p>
        </w:tc>
        <w:tc>
          <w:tcPr>
            <w:tcW w:type="dxa" w:w="1008"/>
          </w:tcPr>
          <w:p>
            <w:r/>
            <w:r>
              <w:rPr>
                <w:sz w:val="17"/>
              </w:rPr>
              <w:t>1303</w:t>
            </w:r>
          </w:p>
        </w:tc>
        <w:tc>
          <w:tcPr>
            <w:tcW w:type="dxa" w:w="3672"/>
          </w:tcPr>
          <w:p>
            <w:r/>
            <w:r>
              <w:rPr>
                <w:sz w:val="17"/>
              </w:rPr>
              <w:t>ASR transcription + diarization (untrusted input)</w:t>
            </w:r>
          </w:p>
        </w:tc>
      </w:tr>
      <w:tr>
        <w:tc>
          <w:tcPr>
            <w:tcW w:type="dxa" w:w="1008"/>
          </w:tcPr>
          <w:p>
            <w:r/>
            <w:r>
              <w:rPr>
                <w:sz w:val="17"/>
              </w:rPr>
              <w:t>751</w:t>
            </w:r>
          </w:p>
        </w:tc>
        <w:tc>
          <w:tcPr>
            <w:tcW w:type="dxa" w:w="3672"/>
          </w:tcPr>
          <w:p>
            <w:r/>
            <w:r>
              <w:rPr>
                <w:sz w:val="17"/>
              </w:rPr>
              <w:t>one-way latch</w:t>
            </w:r>
          </w:p>
        </w:tc>
        <w:tc>
          <w:tcPr>
            <w:tcW w:type="dxa" w:w="1008"/>
          </w:tcPr>
          <w:p>
            <w:r/>
            <w:r>
              <w:rPr>
                <w:sz w:val="17"/>
              </w:rPr>
              <w:t>1304</w:t>
            </w:r>
          </w:p>
        </w:tc>
        <w:tc>
          <w:tcPr>
            <w:tcW w:type="dxa" w:w="3672"/>
          </w:tcPr>
          <w:p>
            <w:r/>
            <w:r>
              <w:rPr>
                <w:sz w:val="17"/>
              </w:rPr>
              <w:t>video frames → faces (LIL)</w:t>
            </w:r>
          </w:p>
        </w:tc>
      </w:tr>
      <w:tr>
        <w:tc>
          <w:tcPr>
            <w:tcW w:type="dxa" w:w="1008"/>
          </w:tcPr>
          <w:p>
            <w:r/>
            <w:r>
              <w:rPr>
                <w:sz w:val="17"/>
              </w:rPr>
              <w:t>760</w:t>
            </w:r>
          </w:p>
        </w:tc>
        <w:tc>
          <w:tcPr>
            <w:tcW w:type="dxa" w:w="3672"/>
          </w:tcPr>
          <w:p>
            <w:r/>
            <w:r>
              <w:rPr>
                <w:sz w:val="17"/>
              </w:rPr>
              <w:t>phase agents on shared manager</w:t>
            </w:r>
          </w:p>
        </w:tc>
        <w:tc>
          <w:tcPr>
            <w:tcW w:type="dxa" w:w="1008"/>
          </w:tcPr>
          <w:p>
            <w:r/>
            <w:r>
              <w:rPr>
                <w:sz w:val="17"/>
              </w:rPr>
              <w:t>1305</w:t>
            </w:r>
          </w:p>
        </w:tc>
        <w:tc>
          <w:tcPr>
            <w:tcW w:type="dxa" w:w="3672"/>
          </w:tcPr>
          <w:p>
            <w:r/>
            <w:r>
              <w:rPr>
                <w:sz w:val="17"/>
              </w:rPr>
              <w:t>PIL analysis over time (tone/pacing/arousal + frame)</w:t>
            </w:r>
          </w:p>
        </w:tc>
      </w:tr>
      <w:tr>
        <w:tc>
          <w:tcPr>
            <w:tcW w:type="dxa" w:w="1008"/>
          </w:tcPr>
          <w:p>
            <w:r/>
            <w:r>
              <w:rPr>
                <w:sz w:val="17"/>
              </w:rPr>
              <w:t>761</w:t>
            </w:r>
          </w:p>
        </w:tc>
        <w:tc>
          <w:tcPr>
            <w:tcW w:type="dxa" w:w="3672"/>
          </w:tcPr>
          <w:p>
            <w:r/>
            <w:r>
              <w:rPr>
                <w:sz w:val="17"/>
              </w:rPr>
              <w:t>Phase-1 agent (implemented)</w:t>
            </w:r>
          </w:p>
        </w:tc>
        <w:tc>
          <w:tcPr>
            <w:tcW w:type="dxa" w:w="1008"/>
          </w:tcPr>
          <w:p>
            <w:r/>
            <w:r>
              <w:rPr>
                <w:sz w:val="17"/>
              </w:rPr>
              <w:t>1306</w:t>
            </w:r>
          </w:p>
        </w:tc>
        <w:tc>
          <w:tcPr>
            <w:tcW w:type="dxa" w:w="3672"/>
          </w:tcPr>
          <w:p>
            <w:r/>
            <w:r>
              <w:rPr>
                <w:sz w:val="17"/>
              </w:rPr>
              <w:t>LEL segment/structure/extract claims</w:t>
            </w:r>
          </w:p>
        </w:tc>
      </w:tr>
      <w:tr>
        <w:tc>
          <w:tcPr>
            <w:tcW w:type="dxa" w:w="1008"/>
          </w:tcPr>
          <w:p>
            <w:r/>
            <w:r>
              <w:rPr>
                <w:sz w:val="17"/>
              </w:rPr>
              <w:t>762</w:t>
            </w:r>
          </w:p>
        </w:tc>
        <w:tc>
          <w:tcPr>
            <w:tcW w:type="dxa" w:w="3672"/>
          </w:tcPr>
          <w:p>
            <w:r/>
            <w:r>
              <w:rPr>
                <w:sz w:val="17"/>
              </w:rPr>
              <w:t>Phase-2 agent — deterministic dictionary + store grounding (implemented)</w:t>
            </w:r>
          </w:p>
        </w:tc>
        <w:tc>
          <w:tcPr>
            <w:tcW w:type="dxa" w:w="1008"/>
          </w:tcPr>
          <w:p>
            <w:r/>
            <w:r>
              <w:rPr>
                <w:sz w:val="17"/>
              </w:rPr>
              <w:t>1307</w:t>
            </w:r>
          </w:p>
        </w:tc>
        <w:tc>
          <w:tcPr>
            <w:tcW w:type="dxa" w:w="3672"/>
          </w:tcPr>
          <w:p>
            <w:r/>
            <w:r>
              <w:rPr>
                <w:sz w:val="17"/>
              </w:rPr>
              <w:t>deterministic summary (TOC/key points/claims)</w:t>
            </w:r>
          </w:p>
        </w:tc>
      </w:tr>
      <w:tr>
        <w:tc>
          <w:tcPr>
            <w:tcW w:type="dxa" w:w="1008"/>
          </w:tcPr>
          <w:p>
            <w:r/>
            <w:r>
              <w:rPr>
                <w:sz w:val="17"/>
              </w:rPr>
              <w:t>763</w:t>
            </w:r>
          </w:p>
        </w:tc>
        <w:tc>
          <w:tcPr>
            <w:tcW w:type="dxa" w:w="3672"/>
          </w:tcPr>
          <w:p>
            <w:r/>
            <w:r>
              <w:rPr>
                <w:sz w:val="17"/>
              </w:rPr>
              <w:t>Phase-3 agent (declines — spec-only)</w:t>
            </w:r>
          </w:p>
        </w:tc>
        <w:tc>
          <w:tcPr>
            <w:tcW w:type="dxa" w:w="1008"/>
          </w:tcPr>
          <w:p>
            <w:r/>
            <w:r>
              <w:rPr>
                <w:sz w:val="17"/>
              </w:rPr>
              <w:t>1308</w:t>
            </w:r>
          </w:p>
        </w:tc>
        <w:tc>
          <w:tcPr>
            <w:tcW w:type="dxa" w:w="3672"/>
          </w:tcPr>
          <w:p>
            <w:r/>
            <w:r>
              <w:rPr>
                <w:sz w:val="17"/>
              </w:rPr>
              <w:t>ingest → Lecture Record; claims = attributed utterance facts</w:t>
            </w:r>
          </w:p>
        </w:tc>
      </w:tr>
      <w:tr>
        <w:tc>
          <w:tcPr>
            <w:tcW w:type="dxa" w:w="1008"/>
          </w:tcPr>
          <w:p>
            <w:r/>
            <w:r>
              <w:rPr>
                <w:sz w:val="17"/>
              </w:rPr>
              <w:t>764</w:t>
            </w:r>
          </w:p>
        </w:tc>
        <w:tc>
          <w:tcPr>
            <w:tcW w:type="dxa" w:w="3672"/>
          </w:tcPr>
          <w:p>
            <w:r/>
            <w:r>
              <w:rPr>
                <w:sz w:val="17"/>
              </w:rPr>
              <w:t>Phase-4 agent (declines — spec-only)</w:t>
            </w:r>
          </w:p>
        </w:tc>
        <w:tc>
          <w:tcPr>
            <w:tcW w:type="dxa" w:w="1008"/>
          </w:tcPr>
          <w:p>
            <w:r/>
            <w:r>
              <w:rPr>
                <w:sz w:val="17"/>
              </w:rPr>
              <w:t>1309</w:t>
            </w:r>
          </w:p>
        </w:tc>
        <w:tc>
          <w:tcPr>
            <w:tcW w:type="dxa" w:w="3672"/>
          </w:tcPr>
          <w:p>
            <w:r/>
            <w:r>
              <w:rPr>
                <w:sz w:val="17"/>
              </w:rPr>
              <w:t>forever-link: speaker/venue/event/org/date (immutable, trust-gated)</w:t>
            </w:r>
          </w:p>
        </w:tc>
      </w:tr>
      <w:tr>
        <w:tc>
          <w:tcPr>
            <w:tcW w:type="dxa" w:w="1008"/>
          </w:tcPr>
          <w:p>
            <w:r/>
            <w:r>
              <w:rPr>
                <w:sz w:val="17"/>
              </w:rPr>
              <w:t>800</w:t>
            </w:r>
          </w:p>
        </w:tc>
        <w:tc>
          <w:tcPr>
            <w:tcW w:type="dxa" w:w="3672"/>
          </w:tcPr>
          <w:p>
            <w:r/>
            <w:r>
              <w:rPr>
                <w:sz w:val="17"/>
              </w:rPr>
              <w:t>deterministic Phase-Two semantic grounding</w:t>
            </w:r>
          </w:p>
        </w:tc>
        <w:tc>
          <w:tcPr>
            <w:tcW w:type="dxa" w:w="1008"/>
          </w:tcPr>
          <w:p>
            <w:r/>
            <w:r>
              <w:rPr>
                <w:sz w:val="17"/>
              </w:rPr>
              <w:t>1310</w:t>
            </w:r>
          </w:p>
        </w:tc>
        <w:tc>
          <w:tcPr>
            <w:tcW w:type="dxa" w:w="3672"/>
          </w:tcPr>
          <w:p>
            <w:r/>
            <w:r>
              <w:rPr>
                <w:sz w:val="17"/>
              </w:rPr>
              <w:t>forever-linked Lecture Record (queryable)</w:t>
            </w:r>
          </w:p>
        </w:tc>
      </w:tr>
      <w:tr>
        <w:tc>
          <w:tcPr>
            <w:tcW w:type="dxa" w:w="1008"/>
          </w:tcPr>
          <w:p>
            <w:r/>
            <w:r>
              <w:rPr>
                <w:sz w:val="17"/>
              </w:rPr>
              <w:t>810</w:t>
            </w:r>
          </w:p>
        </w:tc>
        <w:tc>
          <w:tcPr>
            <w:tcW w:type="dxa" w:w="3672"/>
          </w:tcPr>
          <w:p>
            <w:r/>
            <w:r>
              <w:rPr>
                <w:sz w:val="17"/>
              </w:rPr>
              <w:t>Phase-One vocabulary (learned words)</w:t>
            </w:r>
          </w:p>
        </w:tc>
        <w:tc>
          <w:tcPr>
            <w:tcW w:type="dxa" w:w="1008"/>
          </w:tcPr>
          <w:p>
            <w:r/>
            <w:r>
              <w:rPr>
                <w:sz w:val="17"/>
              </w:rPr>
              <w:t>1311</w:t>
            </w:r>
          </w:p>
        </w:tc>
        <w:tc>
          <w:tcPr>
            <w:tcW w:type="dxa" w:w="3672"/>
          </w:tcPr>
          <w:p>
            <w:r/>
            <w:r>
              <w:rPr>
                <w:sz w:val="17"/>
              </w:rPr>
              <w:t>Lecture Record (content-addressed)</w:t>
            </w:r>
          </w:p>
        </w:tc>
      </w:tr>
      <w:tr>
        <w:tc>
          <w:tcPr>
            <w:tcW w:type="dxa" w:w="1008"/>
          </w:tcPr>
          <w:p>
            <w:r/>
            <w:r>
              <w:rPr>
                <w:sz w:val="17"/>
              </w:rPr>
              <w:t>820</w:t>
            </w:r>
          </w:p>
        </w:tc>
        <w:tc>
          <w:tcPr>
            <w:tcW w:type="dxa" w:w="3672"/>
          </w:tcPr>
          <w:p>
            <w:r/>
            <w:r>
              <w:rPr>
                <w:sz w:val="17"/>
              </w:rPr>
              <w:t>deterministic grounder (per word)</w:t>
            </w:r>
          </w:p>
        </w:tc>
        <w:tc>
          <w:tcPr>
            <w:tcW w:type="dxa" w:w="1008"/>
          </w:tcPr>
          <w:p>
            <w:r/>
            <w:r>
              <w:rPr>
                <w:sz w:val="17"/>
              </w:rPr>
              <w:t>1312</w:t>
            </w:r>
          </w:p>
        </w:tc>
        <w:tc>
          <w:tcPr>
            <w:tcW w:type="dxa" w:w="3672"/>
          </w:tcPr>
          <w:p>
            <w:r/>
            <w:r>
              <w:rPr>
                <w:sz w:val="17"/>
              </w:rPr>
              <w:t>speaker entity (LIL voiceprint/face)</w:t>
            </w:r>
          </w:p>
        </w:tc>
      </w:tr>
      <w:tr>
        <w:tc>
          <w:tcPr>
            <w:tcW w:type="dxa" w:w="1008"/>
          </w:tcPr>
          <w:p>
            <w:r/>
            <w:r>
              <w:rPr>
                <w:sz w:val="17"/>
              </w:rPr>
              <w:t>830</w:t>
            </w:r>
          </w:p>
        </w:tc>
        <w:tc>
          <w:tcPr>
            <w:tcW w:type="dxa" w:w="3672"/>
          </w:tcPr>
          <w:p>
            <w:r/>
            <w:r>
              <w:rPr>
                <w:sz w:val="17"/>
              </w:rPr>
              <w:t>bundled public-domain dictionary source</w:t>
            </w:r>
          </w:p>
        </w:tc>
        <w:tc>
          <w:tcPr>
            <w:tcW w:type="dxa" w:w="1008"/>
          </w:tcPr>
          <w:p>
            <w:r/>
            <w:r>
              <w:rPr>
                <w:sz w:val="17"/>
              </w:rPr>
              <w:t>1313</w:t>
            </w:r>
          </w:p>
        </w:tc>
        <w:tc>
          <w:tcPr>
            <w:tcW w:type="dxa" w:w="3672"/>
          </w:tcPr>
          <w:p>
            <w:r/>
            <w:r>
              <w:rPr>
                <w:sz w:val="17"/>
              </w:rPr>
              <w:t>venue entity</w:t>
            </w:r>
          </w:p>
        </w:tc>
      </w:tr>
      <w:tr>
        <w:tc>
          <w:tcPr>
            <w:tcW w:type="dxa" w:w="1008"/>
          </w:tcPr>
          <w:p>
            <w:r/>
            <w:r>
              <w:rPr>
                <w:sz w:val="17"/>
              </w:rPr>
              <w:t>831</w:t>
            </w:r>
          </w:p>
        </w:tc>
        <w:tc>
          <w:tcPr>
            <w:tcW w:type="dxa" w:w="3672"/>
          </w:tcPr>
          <w:p>
            <w:r/>
            <w:r>
              <w:rPr>
                <w:sz w:val="17"/>
              </w:rPr>
              <w:t>dictionary meaning Fact Unit (means, trust 0.9)</w:t>
            </w:r>
          </w:p>
        </w:tc>
        <w:tc>
          <w:tcPr>
            <w:tcW w:type="dxa" w:w="1008"/>
          </w:tcPr>
          <w:p>
            <w:r/>
            <w:r>
              <w:rPr>
                <w:sz w:val="17"/>
              </w:rPr>
              <w:t>1314</w:t>
            </w:r>
          </w:p>
        </w:tc>
        <w:tc>
          <w:tcPr>
            <w:tcW w:type="dxa" w:w="3672"/>
          </w:tcPr>
          <w:p>
            <w:r/>
            <w:r>
              <w:rPr>
                <w:sz w:val="17"/>
              </w:rPr>
              <w:t>event entity</w:t>
            </w:r>
          </w:p>
        </w:tc>
      </w:tr>
      <w:tr>
        <w:tc>
          <w:tcPr>
            <w:tcW w:type="dxa" w:w="1008"/>
          </w:tcPr>
          <w:p>
            <w:r/>
            <w:r>
              <w:rPr>
                <w:sz w:val="17"/>
              </w:rPr>
              <w:t>840</w:t>
            </w:r>
          </w:p>
        </w:tc>
        <w:tc>
          <w:tcPr>
            <w:tcW w:type="dxa" w:w="3672"/>
          </w:tcPr>
          <w:p>
            <w:r/>
            <w:r>
              <w:rPr>
                <w:sz w:val="17"/>
              </w:rPr>
              <w:t>self-grounding store-lookup source</w:t>
            </w:r>
          </w:p>
        </w:tc>
        <w:tc>
          <w:tcPr>
            <w:tcW w:type="dxa" w:w="1008"/>
          </w:tcPr>
          <w:p>
            <w:r/>
            <w:r>
              <w:rPr>
                <w:sz w:val="17"/>
              </w:rPr>
              <w:t>1315</w:t>
            </w:r>
          </w:p>
        </w:tc>
        <w:tc>
          <w:tcPr>
            <w:tcW w:type="dxa" w:w="3672"/>
          </w:tcPr>
          <w:p>
            <w:r/>
            <w:r>
              <w:rPr>
                <w:sz w:val="17"/>
              </w:rPr>
              <w:t>organization + date</w:t>
            </w:r>
          </w:p>
        </w:tc>
      </w:tr>
      <w:tr>
        <w:tc>
          <w:tcPr>
            <w:tcW w:type="dxa" w:w="1008"/>
          </w:tcPr>
          <w:p>
            <w:r/>
            <w:r>
              <w:rPr>
                <w:sz w:val="17"/>
              </w:rPr>
              <w:t>841</w:t>
            </w:r>
          </w:p>
        </w:tc>
        <w:tc>
          <w:tcPr>
            <w:tcW w:type="dxa" w:w="3672"/>
          </w:tcPr>
          <w:p>
            <w:r/>
            <w:r>
              <w:rPr>
                <w:sz w:val="17"/>
              </w:rPr>
              <w:t>store-link Fact Unit (grounded_by_fact)</w:t>
            </w:r>
          </w:p>
        </w:tc>
        <w:tc>
          <w:tcPr>
            <w:tcW w:type="dxa" w:w="1008"/>
          </w:tcPr>
          <w:p>
            <w:r/>
            <w:r>
              <w:rPr>
                <w:sz w:val="17"/>
              </w:rPr>
              <w:t>1316</w:t>
            </w:r>
          </w:p>
        </w:tc>
        <w:tc>
          <w:tcPr>
            <w:tcW w:type="dxa" w:w="3672"/>
          </w:tcPr>
          <w:p>
            <w:r/>
            <w:r>
              <w:rPr>
                <w:sz w:val="17"/>
              </w:rPr>
              <w:t>transcript + diarization</w:t>
            </w:r>
          </w:p>
        </w:tc>
      </w:tr>
      <w:tr>
        <w:tc>
          <w:tcPr>
            <w:tcW w:type="dxa" w:w="1008"/>
          </w:tcPr>
          <w:p>
            <w:r/>
            <w:r>
              <w:rPr>
                <w:sz w:val="17"/>
              </w:rPr>
              <w:t>850</w:t>
            </w:r>
          </w:p>
        </w:tc>
        <w:tc>
          <w:tcPr>
            <w:tcW w:type="dxa" w:w="3672"/>
          </w:tcPr>
          <w:p>
            <w:r/>
            <w:r>
              <w:rPr>
                <w:sz w:val="17"/>
              </w:rPr>
              <w:t>Fact Unit store (provenance, domain language)</w:t>
            </w:r>
          </w:p>
        </w:tc>
        <w:tc>
          <w:tcPr>
            <w:tcW w:type="dxa" w:w="1008"/>
          </w:tcPr>
          <w:p>
            <w:r/>
            <w:r>
              <w:rPr>
                <w:sz w:val="17"/>
              </w:rPr>
              <w:t>1317</w:t>
            </w:r>
          </w:p>
        </w:tc>
        <w:tc>
          <w:tcPr>
            <w:tcW w:type="dxa" w:w="3672"/>
          </w:tcPr>
          <w:p>
            <w:r/>
            <w:r>
              <w:rPr>
                <w:sz w:val="17"/>
              </w:rPr>
              <w:t>PIL track (tone/pacing over time)</w:t>
            </w:r>
          </w:p>
        </w:tc>
      </w:tr>
      <w:tr>
        <w:tc>
          <w:tcPr>
            <w:tcW w:type="dxa" w:w="1008"/>
          </w:tcPr>
          <w:p>
            <w:r/>
            <w:r>
              <w:rPr>
                <w:sz w:val="17"/>
              </w:rPr>
              <w:t>860</w:t>
            </w:r>
          </w:p>
        </w:tc>
        <w:tc>
          <w:tcPr>
            <w:tcW w:type="dxa" w:w="3672"/>
          </w:tcPr>
          <w:p>
            <w:r/>
            <w:r>
              <w:rPr>
                <w:sz w:val="17"/>
              </w:rPr>
              <w:t>excluded large-language-model meaning source</w:t>
            </w:r>
          </w:p>
        </w:tc>
        <w:tc>
          <w:tcPr>
            <w:tcW w:type="dxa" w:w="1008"/>
          </w:tcPr>
          <w:p>
            <w:r/>
            <w:r>
              <w:rPr>
                <w:sz w:val="17"/>
              </w:rPr>
              <w:t>1318</w:t>
            </w:r>
          </w:p>
        </w:tc>
        <w:tc>
          <w:tcPr>
            <w:tcW w:type="dxa" w:w="3672"/>
          </w:tcPr>
          <w:p>
            <w:r/>
            <w:r>
              <w:rPr>
                <w:sz w:val="17"/>
              </w:rPr>
              <w:t>attributed claims → corroborated/contradicted/open</w:t>
            </w:r>
          </w:p>
        </w:tc>
      </w:tr>
      <w:tr>
        <w:tc>
          <w:tcPr>
            <w:tcW w:type="dxa" w:w="1008"/>
          </w:tcPr>
          <w:p>
            <w:r/>
            <w:r>
              <w:rPr>
                <w:sz w:val="17"/>
              </w:rPr>
              <w:t>870</w:t>
            </w:r>
          </w:p>
        </w:tc>
        <w:tc>
          <w:tcPr>
            <w:tcW w:type="dxa" w:w="3672"/>
          </w:tcPr>
          <w:p>
            <w:r/>
            <w:r>
              <w:rPr>
                <w:sz w:val="17"/>
              </w:rPr>
              <w:t>optional future dictionary-gated suggestor</w:t>
            </w:r>
          </w:p>
        </w:tc>
        <w:tc>
          <w:tcPr>
            <w:tcW w:type="dxa" w:w="1008"/>
          </w:tcPr>
          <w:p>
            <w:r/>
            <w:r>
              <w:rPr>
                <w:sz w:val="17"/>
              </w:rPr>
              <w:t>1319</w:t>
            </w:r>
          </w:p>
        </w:tc>
        <w:tc>
          <w:tcPr>
            <w:tcW w:type="dxa" w:w="3672"/>
          </w:tcPr>
          <w:p>
            <w:r/>
            <w:r>
              <w:rPr>
                <w:sz w:val="17"/>
              </w:rPr>
              <w:t>FQL / Q&amp;A over the record</w:t>
            </w:r>
          </w:p>
        </w:tc>
      </w:tr>
      <w:tr>
        <w:tc>
          <w:tcPr>
            <w:tcW w:type="dxa" w:w="1008"/>
          </w:tcPr>
          <w:p>
            <w:r/>
            <w:r>
              <w:rPr>
                <w:sz w:val="17"/>
              </w:rPr>
              <w:t>900</w:t>
            </w:r>
          </w:p>
        </w:tc>
        <w:tc>
          <w:tcPr>
            <w:tcW w:type="dxa" w:w="3672"/>
          </w:tcPr>
          <w:p>
            <w:r/>
            <w:r>
              <w:rPr>
                <w:sz w:val="17"/>
              </w:rPr>
              <w:t>advanced multilingual pronunciation subsystem</w:t>
            </w:r>
          </w:p>
        </w:tc>
        <w:tc>
          <w:tcPr>
            <w:tcW w:type="dxa" w:w="1008"/>
          </w:tcPr>
          <w:p>
            <w:r/>
            <w:r>
              <w:rPr>
                <w:sz w:val="17"/>
              </w:rPr>
              <w:t>1320</w:t>
            </w:r>
          </w:p>
        </w:tc>
        <w:tc>
          <w:tcPr>
            <w:tcW w:type="dxa" w:w="3672"/>
          </w:tcPr>
          <w:p>
            <w:r/>
            <w:r>
              <w:rPr>
                <w:sz w:val="17"/>
              </w:rPr>
              <w:t>answer: cited, attributed, refused where unknown</w:t>
            </w:r>
          </w:p>
        </w:tc>
      </w:tr>
      <w:tr>
        <w:tc>
          <w:tcPr>
            <w:tcW w:type="dxa" w:w="1008"/>
          </w:tcPr>
          <w:p>
            <w:r/>
            <w:r>
              <w:rPr>
                <w:sz w:val="17"/>
              </w:rPr>
              <w:t>910</w:t>
            </w:r>
          </w:p>
        </w:tc>
        <w:tc>
          <w:tcPr>
            <w:tcW w:type="dxa" w:w="3672"/>
          </w:tcPr>
          <w:p>
            <w:r/>
            <w:r>
              <w:rPr>
                <w:sz w:val="17"/>
              </w:rPr>
              <w:t>pronunciation request (word/phrase, language)</w:t>
            </w:r>
          </w:p>
        </w:tc>
        <w:tc>
          <w:tcPr>
            <w:tcW w:type="dxa" w:w="1008"/>
          </w:tcPr>
          <w:p>
            <w:r/>
            <w:r>
              <w:rPr>
                <w:sz w:val="17"/>
              </w:rPr>
              <w:t>4800</w:t>
            </w:r>
          </w:p>
        </w:tc>
        <w:tc>
          <w:tcPr>
            <w:tcW w:type="dxa" w:w="3672"/>
          </w:tcPr>
          <w:p>
            <w:r/>
            <w:r>
              <w:rPr>
                <w:sz w:val="17"/>
              </w:rPr>
              <w:t>cited Q&amp;A / ChatBot application</w:t>
            </w:r>
          </w:p>
        </w:tc>
      </w:tr>
      <w:tr>
        <w:tc>
          <w:tcPr>
            <w:tcW w:type="dxa" w:w="1008"/>
          </w:tcPr>
          <w:p>
            <w:r/>
            <w:r>
              <w:rPr>
                <w:sz w:val="17"/>
              </w:rPr>
              <w:t>920</w:t>
            </w:r>
          </w:p>
        </w:tc>
        <w:tc>
          <w:tcPr>
            <w:tcW w:type="dxa" w:w="3672"/>
          </w:tcPr>
          <w:p>
            <w:r/>
            <w:r>
              <w:rPr>
                <w:sz w:val="17"/>
              </w:rPr>
              <w:t>pronunciation preference-ladder selector</w:t>
            </w:r>
          </w:p>
        </w:tc>
        <w:tc>
          <w:tcPr>
            <w:tcW w:type="dxa" w:w="1008"/>
          </w:tcPr>
          <w:p>
            <w:r/>
            <w:r>
              <w:rPr>
                <w:sz w:val="17"/>
              </w:rPr>
              <w:t>4801</w:t>
            </w:r>
          </w:p>
        </w:tc>
        <w:tc>
          <w:tcPr>
            <w:tcW w:type="dxa" w:w="3672"/>
          </w:tcPr>
          <w:p>
            <w:r/>
            <w:r>
              <w:rPr>
                <w:sz w:val="17"/>
              </w:rPr>
              <w:t>user question (typed/spoken)</w:t>
            </w:r>
          </w:p>
        </w:tc>
      </w:tr>
      <w:tr>
        <w:tc>
          <w:tcPr>
            <w:tcW w:type="dxa" w:w="1008"/>
          </w:tcPr>
          <w:p>
            <w:r/>
            <w:r>
              <w:rPr>
                <w:sz w:val="17"/>
              </w:rPr>
              <w:t>930</w:t>
            </w:r>
          </w:p>
        </w:tc>
        <w:tc>
          <w:tcPr>
            <w:tcW w:type="dxa" w:w="3672"/>
          </w:tcPr>
          <w:p>
            <w:r/>
            <w:r>
              <w:rPr>
                <w:sz w:val="17"/>
              </w:rPr>
              <w:t>bundled open-source phonemizer</w:t>
            </w:r>
          </w:p>
        </w:tc>
        <w:tc>
          <w:tcPr>
            <w:tcW w:type="dxa" w:w="1008"/>
          </w:tcPr>
          <w:p>
            <w:r/>
            <w:r>
              <w:rPr>
                <w:sz w:val="17"/>
              </w:rPr>
              <w:t>4810</w:t>
            </w:r>
          </w:p>
        </w:tc>
        <w:tc>
          <w:tcPr>
            <w:tcW w:type="dxa" w:w="3672"/>
          </w:tcPr>
          <w:p>
            <w:r/>
            <w:r>
              <w:rPr>
                <w:sz w:val="17"/>
              </w:rPr>
              <w:t>query interpretation (intent/register)</w:t>
            </w:r>
          </w:p>
        </w:tc>
      </w:tr>
      <w:tr>
        <w:tc>
          <w:tcPr>
            <w:tcW w:type="dxa" w:w="1008"/>
          </w:tcPr>
          <w:p>
            <w:r/>
            <w:r>
              <w:rPr>
                <w:sz w:val="17"/>
              </w:rPr>
              <w:t>931</w:t>
            </w:r>
          </w:p>
        </w:tc>
        <w:tc>
          <w:tcPr>
            <w:tcW w:type="dxa" w:w="3672"/>
          </w:tcPr>
          <w:p>
            <w:r/>
            <w:r>
              <w:rPr>
                <w:sz w:val="17"/>
              </w:rPr>
              <w:t>phonemizer IPA transcription</w:t>
            </w:r>
          </w:p>
        </w:tc>
        <w:tc>
          <w:tcPr>
            <w:tcW w:type="dxa" w:w="1008"/>
          </w:tcPr>
          <w:p>
            <w:r/>
            <w:r>
              <w:rPr>
                <w:sz w:val="17"/>
              </w:rPr>
              <w:t>4820</w:t>
            </w:r>
          </w:p>
        </w:tc>
        <w:tc>
          <w:tcPr>
            <w:tcW w:type="dxa" w:w="3672"/>
          </w:tcPr>
          <w:p>
            <w:r/>
            <w:r>
              <w:rPr>
                <w:sz w:val="17"/>
              </w:rPr>
              <w:t>FQL retrieval over verified Fact Units</w:t>
            </w:r>
          </w:p>
        </w:tc>
      </w:tr>
      <w:tr>
        <w:tc>
          <w:tcPr>
            <w:tcW w:type="dxa" w:w="1008"/>
          </w:tcPr>
          <w:p>
            <w:r/>
            <w:r>
              <w:rPr>
                <w:sz w:val="17"/>
              </w:rPr>
              <w:t>932</w:t>
            </w:r>
          </w:p>
        </w:tc>
        <w:tc>
          <w:tcPr>
            <w:tcW w:type="dxa" w:w="3672"/>
          </w:tcPr>
          <w:p>
            <w:r/>
            <w:r>
              <w:rPr>
                <w:sz w:val="17"/>
              </w:rPr>
              <w:t>phonemizer call cache</w:t>
            </w:r>
          </w:p>
        </w:tc>
        <w:tc>
          <w:tcPr>
            <w:tcW w:type="dxa" w:w="1008"/>
          </w:tcPr>
          <w:p>
            <w:r/>
            <w:r>
              <w:rPr>
                <w:sz w:val="17"/>
              </w:rPr>
              <w:t>4830</w:t>
            </w:r>
          </w:p>
        </w:tc>
        <w:tc>
          <w:tcPr>
            <w:tcW w:type="dxa" w:w="3672"/>
          </w:tcPr>
          <w:p>
            <w:r/>
            <w:r>
              <w:rPr>
                <w:sz w:val="17"/>
              </w:rPr>
              <w:t>Prime-Directive gate (evidence sufficiency)</w:t>
            </w:r>
          </w:p>
        </w:tc>
      </w:tr>
      <w:tr>
        <w:tc>
          <w:tcPr>
            <w:tcW w:type="dxa" w:w="1008"/>
          </w:tcPr>
          <w:p>
            <w:r/>
            <w:r>
              <w:rPr>
                <w:sz w:val="17"/>
              </w:rPr>
              <w:t>933</w:t>
            </w:r>
          </w:p>
        </w:tc>
        <w:tc>
          <w:tcPr>
            <w:tcW w:type="dxa" w:w="3672"/>
          </w:tcPr>
          <w:p>
            <w:r/>
            <w:r>
              <w:rPr>
                <w:sz w:val="17"/>
              </w:rPr>
              <w:t>bounded call log / timeout guard</w:t>
            </w:r>
          </w:p>
        </w:tc>
        <w:tc>
          <w:tcPr>
            <w:tcW w:type="dxa" w:w="1008"/>
          </w:tcPr>
          <w:p>
            <w:r/>
            <w:r>
              <w:rPr>
                <w:sz w:val="17"/>
              </w:rPr>
              <w:t>4840</w:t>
            </w:r>
          </w:p>
        </w:tc>
        <w:tc>
          <w:tcPr>
            <w:tcW w:type="dxa" w:w="3672"/>
          </w:tcPr>
          <w:p>
            <w:r/>
            <w:r>
              <w:rPr>
                <w:sz w:val="17"/>
              </w:rPr>
              <w:t>composed answer with per-fact citations</w:t>
            </w:r>
          </w:p>
        </w:tc>
      </w:tr>
      <w:tr>
        <w:tc>
          <w:tcPr>
            <w:tcW w:type="dxa" w:w="1008"/>
          </w:tcPr>
          <w:p>
            <w:r/>
            <w:r>
              <w:rPr>
                <w:sz w:val="17"/>
              </w:rPr>
              <w:t>940</w:t>
            </w:r>
          </w:p>
        </w:tc>
        <w:tc>
          <w:tcPr>
            <w:tcW w:type="dxa" w:w="3672"/>
          </w:tcPr>
          <w:p>
            <w:r/>
            <w:r>
              <w:rPr>
                <w:sz w:val="17"/>
              </w:rPr>
              <w:t>rule-seeded G2P tables (per language)</w:t>
            </w:r>
          </w:p>
        </w:tc>
        <w:tc>
          <w:tcPr>
            <w:tcW w:type="dxa" w:w="1008"/>
          </w:tcPr>
          <w:p>
            <w:r/>
            <w:r>
              <w:rPr>
                <w:sz w:val="17"/>
              </w:rPr>
              <w:t>4841</w:t>
            </w:r>
          </w:p>
        </w:tc>
        <w:tc>
          <w:tcPr>
            <w:tcW w:type="dxa" w:w="3672"/>
          </w:tcPr>
          <w:p>
            <w:r/>
            <w:r>
              <w:rPr>
                <w:sz w:val="17"/>
              </w:rPr>
              <w:t>honest UNKNOWN (refuse, never guess)</w:t>
            </w:r>
          </w:p>
        </w:tc>
      </w:tr>
      <w:tr>
        <w:tc>
          <w:tcPr>
            <w:tcW w:type="dxa" w:w="1008"/>
          </w:tcPr>
          <w:p>
            <w:r/>
            <w:r>
              <w:rPr>
                <w:sz w:val="17"/>
              </w:rPr>
              <w:t>941</w:t>
            </w:r>
          </w:p>
        </w:tc>
        <w:tc>
          <w:tcPr>
            <w:tcW w:type="dxa" w:w="3672"/>
          </w:tcPr>
          <w:p>
            <w:r/>
            <w:r>
              <w:rPr>
                <w:sz w:val="17"/>
              </w:rPr>
              <w:t>approximate rule-seeded IPA (offline)</w:t>
            </w:r>
          </w:p>
        </w:tc>
        <w:tc>
          <w:tcPr>
            <w:tcW w:type="dxa" w:w="1008"/>
          </w:tcPr>
          <w:p>
            <w:r/>
            <w:r>
              <w:rPr>
                <w:sz w:val="17"/>
              </w:rPr>
              <w:t>4850</w:t>
            </w:r>
          </w:p>
        </w:tc>
        <w:tc>
          <w:tcPr>
            <w:tcW w:type="dxa" w:w="3672"/>
          </w:tcPr>
          <w:p>
            <w:r/>
            <w:r>
              <w:rPr>
                <w:sz w:val="17"/>
              </w:rPr>
              <w:t>ChatBot/assistant delivery surface</w:t>
            </w:r>
          </w:p>
        </w:tc>
      </w:tr>
      <w:tr>
        <w:tc>
          <w:tcPr>
            <w:tcW w:type="dxa" w:w="1008"/>
          </w:tcPr>
          <w:p>
            <w:r/>
            <w:r>
              <w:rPr>
                <w:sz w:val="17"/>
              </w:rPr>
              <w:t>950</w:t>
            </w:r>
          </w:p>
        </w:tc>
        <w:tc>
          <w:tcPr>
            <w:tcW w:type="dxa" w:w="3672"/>
          </w:tcPr>
          <w:p>
            <w:r/>
            <w:r>
              <w:rPr>
                <w:sz w:val="17"/>
              </w:rPr>
              <w:t>syllable count + primary-stress derivation</w:t>
            </w:r>
          </w:p>
        </w:tc>
        <w:tc>
          <w:tcPr>
            <w:tcW w:type="dxa" w:w="1008"/>
          </w:tcPr>
          <w:p>
            <w:r/>
            <w:r>
              <w:rPr>
                <w:sz w:val="17"/>
              </w:rPr>
              <w:t>4860</w:t>
            </w:r>
          </w:p>
        </w:tc>
        <w:tc>
          <w:tcPr>
            <w:tcW w:type="dxa" w:w="3672"/>
          </w:tcPr>
          <w:p>
            <w:r/>
            <w:r>
              <w:rPr>
                <w:sz w:val="17"/>
              </w:rPr>
              <w:t>citation-or-UNKNOWN covenant held end to end</w:t>
            </w:r>
          </w:p>
        </w:tc>
      </w:tr>
      <w:tr>
        <w:tc>
          <w:tcPr>
            <w:tcW w:type="dxa" w:w="1008"/>
          </w:tcPr>
          <w:p>
            <w:r/>
            <w:r>
              <w:rPr>
                <w:sz w:val="17"/>
              </w:rPr>
              <w:t>960</w:t>
            </w:r>
          </w:p>
        </w:tc>
        <w:tc>
          <w:tcPr>
            <w:tcW w:type="dxa" w:w="3672"/>
          </w:tcPr>
          <w:p>
            <w:r/>
            <w:r>
              <w:rPr>
                <w:sz w:val="17"/>
              </w:rPr>
              <w:t>explicit null result (not fabricated)</w:t>
            </w:r>
          </w:p>
        </w:tc>
        <w:tc>
          <w:tcPr>
            <w:tcW w:type="dxa" w:w="1008"/>
          </w:tcPr>
          <w:p>
            <w:r/>
            <w:r>
              <w:rPr>
                <w:sz w:val="17"/>
              </w:rPr>
              <w:t>4900</w:t>
            </w:r>
          </w:p>
        </w:tc>
        <w:tc>
          <w:tcPr>
            <w:tcW w:type="dxa" w:w="3672"/>
          </w:tcPr>
          <w:p>
            <w:r/>
            <w:r>
              <w:rPr>
                <w:sz w:val="17"/>
              </w:rPr>
              <w:t>invariant QueryBook core</w:t>
            </w:r>
          </w:p>
        </w:tc>
      </w:tr>
      <w:tr>
        <w:tc>
          <w:tcPr>
            <w:tcW w:type="dxa" w:w="1008"/>
          </w:tcPr>
          <w:p>
            <w:r/>
            <w:r>
              <w:rPr>
                <w:sz w:val="17"/>
              </w:rPr>
              <w:t>970</w:t>
            </w:r>
          </w:p>
        </w:tc>
        <w:tc>
          <w:tcPr>
            <w:tcW w:type="dxa" w:w="3672"/>
          </w:tcPr>
          <w:p>
            <w:r/>
            <w:r>
              <w:rPr>
                <w:sz w:val="17"/>
              </w:rPr>
              <w:t>phrase-level single-call transcription</w:t>
            </w:r>
          </w:p>
        </w:tc>
        <w:tc>
          <w:tcPr>
            <w:tcW w:type="dxa" w:w="1008"/>
          </w:tcPr>
          <w:p>
            <w:r/>
            <w:r>
              <w:rPr>
                <w:sz w:val="17"/>
              </w:rPr>
              <w:t>4910</w:t>
            </w:r>
          </w:p>
        </w:tc>
        <w:tc>
          <w:tcPr>
            <w:tcW w:type="dxa" w:w="3672"/>
          </w:tcPr>
          <w:p>
            <w:r/>
            <w:r>
              <w:rPr>
                <w:sz w:val="17"/>
              </w:rPr>
              <w:t>on-device eBook/document Q&amp;A (micro-encapsulated)</w:t>
            </w:r>
          </w:p>
        </w:tc>
      </w:tr>
      <w:tr>
        <w:tc>
          <w:tcPr>
            <w:tcW w:type="dxa" w:w="1008"/>
          </w:tcPr>
          <w:p>
            <w:r/>
            <w:r>
              <w:rPr>
                <w:sz w:val="17"/>
              </w:rPr>
              <w:t>971</w:t>
            </w:r>
          </w:p>
        </w:tc>
        <w:tc>
          <w:tcPr>
            <w:tcW w:type="dxa" w:w="3672"/>
          </w:tcPr>
          <w:p>
            <w:r/>
            <w:r>
              <w:rPr>
                <w:sz w:val="17"/>
              </w:rPr>
              <w:t>displayed transcription consistent with synthesized audio</w:t>
            </w:r>
          </w:p>
        </w:tc>
        <w:tc>
          <w:tcPr>
            <w:tcW w:type="dxa" w:w="1008"/>
          </w:tcPr>
          <w:p>
            <w:r/>
            <w:r>
              <w:rPr>
                <w:sz w:val="17"/>
              </w:rPr>
              <w:t>4920</w:t>
            </w:r>
          </w:p>
        </w:tc>
        <w:tc>
          <w:tcPr>
            <w:tcW w:type="dxa" w:w="3672"/>
          </w:tcPr>
          <w:p>
            <w:r/>
            <w:r>
              <w:rPr>
                <w:sz w:val="17"/>
              </w:rPr>
              <w:t>SaaS / API service surface</w:t>
            </w:r>
          </w:p>
        </w:tc>
      </w:tr>
      <w:tr>
        <w:tc>
          <w:tcPr>
            <w:tcW w:type="dxa" w:w="1008"/>
          </w:tcPr>
          <w:p>
            <w:r/>
            <w:r>
              <w:rPr>
                <w:sz w:val="17"/>
              </w:rPr>
              <w:t>980</w:t>
            </w:r>
          </w:p>
        </w:tc>
        <w:tc>
          <w:tcPr>
            <w:tcW w:type="dxa" w:w="3672"/>
          </w:tcPr>
          <w:p>
            <w:r/>
            <w:r>
              <w:rPr>
                <w:sz w:val="17"/>
              </w:rPr>
              <w:t>self-contained application bundle</w:t>
            </w:r>
          </w:p>
        </w:tc>
        <w:tc>
          <w:tcPr>
            <w:tcW w:type="dxa" w:w="1008"/>
          </w:tcPr>
          <w:p>
            <w:r/>
            <w:r>
              <w:rPr>
                <w:sz w:val="17"/>
              </w:rPr>
              <w:t>4930</w:t>
            </w:r>
          </w:p>
        </w:tc>
        <w:tc>
          <w:tcPr>
            <w:tcW w:type="dxa" w:w="3672"/>
          </w:tcPr>
          <w:p>
            <w:r/>
            <w:r>
              <w:rPr>
                <w:sz w:val="17"/>
              </w:rPr>
              <w:t>Fact-Unit compressed search engine</w:t>
            </w:r>
          </w:p>
        </w:tc>
      </w:tr>
      <w:tr>
        <w:tc>
          <w:tcPr>
            <w:tcW w:type="dxa" w:w="1008"/>
          </w:tcPr>
          <w:p>
            <w:r/>
            <w:r>
              <w:rPr>
                <w:sz w:val="17"/>
              </w:rPr>
              <w:t>981</w:t>
            </w:r>
          </w:p>
        </w:tc>
        <w:tc>
          <w:tcPr>
            <w:tcW w:type="dxa" w:w="3672"/>
          </w:tcPr>
          <w:p>
            <w:r/>
            <w:r>
              <w:rPr>
                <w:sz w:val="17"/>
              </w:rPr>
              <w:t>bundled open-source speech engine</w:t>
            </w:r>
          </w:p>
        </w:tc>
        <w:tc>
          <w:tcPr>
            <w:tcW w:type="dxa" w:w="1008"/>
          </w:tcPr>
          <w:p>
            <w:r/>
            <w:r>
              <w:rPr>
                <w:sz w:val="17"/>
              </w:rPr>
              <w:t>4940</w:t>
            </w:r>
          </w:p>
        </w:tc>
        <w:tc>
          <w:tcPr>
            <w:tcW w:type="dxa" w:w="3672"/>
          </w:tcPr>
          <w:p>
            <w:r/>
            <w:r>
              <w:rPr>
                <w:sz w:val="17"/>
              </w:rPr>
              <w:t>deterministic LLM-hybrid adjunct (gated suggestor)</w:t>
            </w:r>
          </w:p>
        </w:tc>
      </w:tr>
      <w:tr>
        <w:tc>
          <w:tcPr>
            <w:tcW w:type="dxa" w:w="1008"/>
          </w:tcPr>
          <w:p>
            <w:r/>
            <w:r>
              <w:rPr>
                <w:sz w:val="17"/>
              </w:rPr>
              <w:t>982</w:t>
            </w:r>
          </w:p>
        </w:tc>
        <w:tc>
          <w:tcPr>
            <w:tcW w:type="dxa" w:w="3672"/>
          </w:tcPr>
          <w:p>
            <w:r/>
            <w:r>
              <w:rPr>
                <w:sz w:val="17"/>
              </w:rPr>
              <w:t>runtime-support libraries</w:t>
            </w:r>
          </w:p>
        </w:tc>
        <w:tc>
          <w:tcPr>
            <w:tcW w:type="dxa" w:w="1008"/>
          </w:tcPr>
          <w:p>
            <w:r/>
            <w:r>
              <w:rPr>
                <w:sz w:val="17"/>
              </w:rPr>
              <w:t>4950</w:t>
            </w:r>
          </w:p>
        </w:tc>
        <w:tc>
          <w:tcPr>
            <w:tcW w:type="dxa" w:w="3672"/>
          </w:tcPr>
          <w:p>
            <w:r/>
            <w:r>
              <w:rPr>
                <w:sz w:val="17"/>
              </w:rPr>
              <w:t>private/offline analysis deployment</w:t>
            </w:r>
          </w:p>
        </w:tc>
      </w:tr>
      <w:tr>
        <w:tc>
          <w:tcPr>
            <w:tcW w:type="dxa" w:w="1008"/>
          </w:tcPr>
          <w:p>
            <w:r/>
            <w:r>
              <w:rPr>
                <w:sz w:val="17"/>
              </w:rPr>
              <w:t>983</w:t>
            </w:r>
          </w:p>
        </w:tc>
        <w:tc>
          <w:tcPr>
            <w:tcW w:type="dxa" w:w="3672"/>
          </w:tcPr>
          <w:p>
            <w:r/>
            <w:r>
              <w:rPr>
                <w:sz w:val="17"/>
              </w:rPr>
              <w:t>bundled phoneme data</w:t>
            </w:r>
          </w:p>
        </w:tc>
        <w:tc>
          <w:tcPr>
            <w:tcW w:type="dxa" w:w="1008"/>
          </w:tcPr>
          <w:p>
            <w:r/>
            <w:r>
              <w:rPr>
                <w:sz w:val="17"/>
              </w:rPr>
              <w:t>4960</w:t>
            </w:r>
          </w:p>
        </w:tc>
        <w:tc>
          <w:tcPr>
            <w:tcW w:type="dxa" w:w="3672"/>
          </w:tcPr>
          <w:p>
            <w:r/>
            <w:r>
              <w:rPr>
                <w:sz w:val="17"/>
              </w:rPr>
              <w:t>all surfaces inherit the governed-fact contract</w:t>
            </w:r>
          </w:p>
        </w:tc>
      </w:tr>
    </w:tbl>
    <w:p>
      <w:r>
        <w:br w:type="page"/>
      </w:r>
    </w:p>
    <w:p>
      <w:pPr>
        <w:pStyle w:val="Heading1"/>
      </w:pPr>
      <w:r>
        <w:t>Drawings</w:t>
      </w:r>
    </w:p>
    <w:p>
      <w:r>
        <w:rPr>
          <w:i/>
          <w:color w:val="5A554B"/>
          <w:sz w:val="19"/>
        </w:rPr>
        <w:t>Formal patent drawings — black line art. Each element is identified by a reference numeral used consistently in the Brief Description of the Drawings, the Reference Numerals key, and the Detailed Description. Figures are draft; counsel / draftsperson to finalize to USPTO drawing standards (37 CFR 1.84) before filing.</w:t>
      </w:r>
    </w:p>
    <w:p>
      <w:r>
        <w:br w:type="page"/>
      </w:r>
    </w:p>
    <w:p>
      <w:pPr>
        <w:jc w:val="center"/>
      </w:pPr>
      <w:r>
        <w:rPr>
          <w:b/>
          <w:sz w:val="24"/>
        </w:rPr>
        <w:t>FIG. 1</w:t>
      </w:r>
    </w:p>
    <w:p>
      <w:pPr>
        <w:jc w:val="center"/>
      </w:pPr>
      <w:r>
        <w:drawing>
          <wp:inline xmlns:a="http://schemas.openxmlformats.org/drawingml/2006/main" xmlns:pic="http://schemas.openxmlformats.org/drawingml/2006/picture">
            <wp:extent cx="5943600" cy="4655015"/>
            <wp:docPr id="1" name="Picture 1"/>
            <wp:cNvGraphicFramePr>
              <a:graphicFrameLocks noChangeAspect="1"/>
            </wp:cNvGraphicFramePr>
            <a:graphic>
              <a:graphicData uri="http://schemas.openxmlformats.org/drawingml/2006/picture">
                <pic:pic>
                  <pic:nvPicPr>
                    <pic:cNvPr id="0" name="f1.png"/>
                    <pic:cNvPicPr/>
                  </pic:nvPicPr>
                  <pic:blipFill>
                    <a:blip r:embed="rId9"/>
                    <a:stretch>
                      <a:fillRect/>
                    </a:stretch>
                  </pic:blipFill>
                  <pic:spPr>
                    <a:xfrm>
                      <a:off x="0" y="0"/>
                      <a:ext cx="5943600" cy="4655015"/>
                    </a:xfrm>
                    <a:prstGeom prst="rect"/>
                  </pic:spPr>
                </pic:pic>
              </a:graphicData>
            </a:graphic>
          </wp:inline>
        </w:drawing>
      </w:r>
    </w:p>
    <w:p>
      <w:pPr>
        <w:jc w:val="center"/>
      </w:pPr>
      <w:r>
        <w:rPr>
          <w:i/>
          <w:color w:val="333333"/>
          <w:sz w:val="20"/>
        </w:rPr>
        <w:t>FIG. 1 — QueryBook LEL — Overall System Architecture</w:t>
      </w:r>
    </w:p>
    <w:p>
      <w:r>
        <w:br w:type="page"/>
      </w:r>
    </w:p>
    <w:p>
      <w:pPr>
        <w:jc w:val="center"/>
      </w:pPr>
      <w:r>
        <w:rPr>
          <w:b/>
          <w:sz w:val="24"/>
        </w:rPr>
        <w:t>FIG. 2</w:t>
      </w:r>
    </w:p>
    <w:p>
      <w:pPr>
        <w:jc w:val="center"/>
      </w:pPr>
      <w:r>
        <w:drawing>
          <wp:inline xmlns:a="http://schemas.openxmlformats.org/drawingml/2006/main" xmlns:pic="http://schemas.openxmlformats.org/drawingml/2006/picture">
            <wp:extent cx="5943600" cy="4171795"/>
            <wp:docPr id="2" name="Picture 2"/>
            <wp:cNvGraphicFramePr>
              <a:graphicFrameLocks noChangeAspect="1"/>
            </wp:cNvGraphicFramePr>
            <a:graphic>
              <a:graphicData uri="http://schemas.openxmlformats.org/drawingml/2006/picture">
                <pic:pic>
                  <pic:nvPicPr>
                    <pic:cNvPr id="0" name="f2.png"/>
                    <pic:cNvPicPr/>
                  </pic:nvPicPr>
                  <pic:blipFill>
                    <a:blip r:embed="rId10"/>
                    <a:stretch>
                      <a:fillRect/>
                    </a:stretch>
                  </pic:blipFill>
                  <pic:spPr>
                    <a:xfrm>
                      <a:off x="0" y="0"/>
                      <a:ext cx="5943600" cy="4171795"/>
                    </a:xfrm>
                    <a:prstGeom prst="rect"/>
                  </pic:spPr>
                </pic:pic>
              </a:graphicData>
            </a:graphic>
          </wp:inline>
        </w:drawing>
      </w:r>
    </w:p>
    <w:p>
      <w:pPr>
        <w:jc w:val="center"/>
      </w:pPr>
      <w:r>
        <w:rPr>
          <w:i/>
          <w:color w:val="333333"/>
          <w:sz w:val="20"/>
        </w:rPr>
        <w:t>FIG. 2 — Sub-Language Priming Layer (SLPL) and Its Measurable Outputs</w:t>
      </w:r>
    </w:p>
    <w:p>
      <w:r>
        <w:br w:type="page"/>
      </w:r>
    </w:p>
    <w:p>
      <w:pPr>
        <w:jc w:val="center"/>
      </w:pPr>
      <w:r>
        <w:rPr>
          <w:b/>
          <w:sz w:val="24"/>
        </w:rPr>
        <w:t>FIG. 3</w:t>
      </w:r>
    </w:p>
    <w:p>
      <w:pPr>
        <w:jc w:val="center"/>
      </w:pPr>
      <w:r>
        <w:drawing>
          <wp:inline xmlns:a="http://schemas.openxmlformats.org/drawingml/2006/main" xmlns:pic="http://schemas.openxmlformats.org/drawingml/2006/picture">
            <wp:extent cx="5943600" cy="3930185"/>
            <wp:docPr id="3" name="Picture 3"/>
            <wp:cNvGraphicFramePr>
              <a:graphicFrameLocks noChangeAspect="1"/>
            </wp:cNvGraphicFramePr>
            <a:graphic>
              <a:graphicData uri="http://schemas.openxmlformats.org/drawingml/2006/picture">
                <pic:pic>
                  <pic:nvPicPr>
                    <pic:cNvPr id="0" name="f3.png"/>
                    <pic:cNvPicPr/>
                  </pic:nvPicPr>
                  <pic:blipFill>
                    <a:blip r:embed="rId11"/>
                    <a:stretch>
                      <a:fillRect/>
                    </a:stretch>
                  </pic:blipFill>
                  <pic:spPr>
                    <a:xfrm>
                      <a:off x="0" y="0"/>
                      <a:ext cx="5943600" cy="3930185"/>
                    </a:xfrm>
                    <a:prstGeom prst="rect"/>
                  </pic:spPr>
                </pic:pic>
              </a:graphicData>
            </a:graphic>
          </wp:inline>
        </w:drawing>
      </w:r>
    </w:p>
    <w:p>
      <w:pPr>
        <w:jc w:val="center"/>
      </w:pPr>
      <w:r>
        <w:rPr>
          <w:i/>
          <w:color w:val="333333"/>
          <w:sz w:val="20"/>
        </w:rPr>
        <w:t>FIG. 3 — Developmental Learning Sequence and One-Way Transition Gate</w:t>
      </w:r>
    </w:p>
    <w:p>
      <w:r>
        <w:br w:type="page"/>
      </w:r>
    </w:p>
    <w:p>
      <w:pPr>
        <w:jc w:val="center"/>
      </w:pPr>
      <w:r>
        <w:rPr>
          <w:b/>
          <w:sz w:val="24"/>
        </w:rPr>
        <w:t>FIG. 4</w:t>
      </w:r>
    </w:p>
    <w:p>
      <w:pPr>
        <w:jc w:val="center"/>
      </w:pPr>
      <w:r>
        <w:drawing>
          <wp:inline xmlns:a="http://schemas.openxmlformats.org/drawingml/2006/main" xmlns:pic="http://schemas.openxmlformats.org/drawingml/2006/picture">
            <wp:extent cx="5943600" cy="3591252"/>
            <wp:docPr id="4" name="Picture 4"/>
            <wp:cNvGraphicFramePr>
              <a:graphicFrameLocks noChangeAspect="1"/>
            </wp:cNvGraphicFramePr>
            <a:graphic>
              <a:graphicData uri="http://schemas.openxmlformats.org/drawingml/2006/picture">
                <pic:pic>
                  <pic:nvPicPr>
                    <pic:cNvPr id="0" name="f4.png"/>
                    <pic:cNvPicPr/>
                  </pic:nvPicPr>
                  <pic:blipFill>
                    <a:blip r:embed="rId12"/>
                    <a:stretch>
                      <a:fillRect/>
                    </a:stretch>
                  </pic:blipFill>
                  <pic:spPr>
                    <a:xfrm>
                      <a:off x="0" y="0"/>
                      <a:ext cx="5943600" cy="3591252"/>
                    </a:xfrm>
                    <a:prstGeom prst="rect"/>
                  </pic:spPr>
                </pic:pic>
              </a:graphicData>
            </a:graphic>
          </wp:inline>
        </w:drawing>
      </w:r>
    </w:p>
    <w:p>
      <w:pPr>
        <w:jc w:val="center"/>
      </w:pPr>
      <w:r>
        <w:rPr>
          <w:i/>
          <w:color w:val="333333"/>
          <w:sz w:val="20"/>
        </w:rPr>
        <w:t>FIG. 4 — Multilingual Transfer — Delta Acquisition and Acceleration Flywheel</w:t>
      </w:r>
    </w:p>
    <w:p>
      <w:r>
        <w:br w:type="page"/>
      </w:r>
    </w:p>
    <w:p>
      <w:pPr>
        <w:jc w:val="center"/>
      </w:pPr>
      <w:r>
        <w:rPr>
          <w:b/>
          <w:sz w:val="24"/>
        </w:rPr>
        <w:t>FIG. 5</w:t>
      </w:r>
    </w:p>
    <w:p>
      <w:pPr>
        <w:jc w:val="center"/>
      </w:pPr>
      <w:r>
        <w:drawing>
          <wp:inline xmlns:a="http://schemas.openxmlformats.org/drawingml/2006/main" xmlns:pic="http://schemas.openxmlformats.org/drawingml/2006/picture">
            <wp:extent cx="5943600" cy="3930185"/>
            <wp:docPr id="5" name="Picture 5"/>
            <wp:cNvGraphicFramePr>
              <a:graphicFrameLocks noChangeAspect="1"/>
            </wp:cNvGraphicFramePr>
            <a:graphic>
              <a:graphicData uri="http://schemas.openxmlformats.org/drawingml/2006/picture">
                <pic:pic>
                  <pic:nvPicPr>
                    <pic:cNvPr id="0" name="f5.png"/>
                    <pic:cNvPicPr/>
                  </pic:nvPicPr>
                  <pic:blipFill>
                    <a:blip r:embed="rId13"/>
                    <a:stretch>
                      <a:fillRect/>
                    </a:stretch>
                  </pic:blipFill>
                  <pic:spPr>
                    <a:xfrm>
                      <a:off x="0" y="0"/>
                      <a:ext cx="5943600" cy="3930185"/>
                    </a:xfrm>
                    <a:prstGeom prst="rect"/>
                  </pic:spPr>
                </pic:pic>
              </a:graphicData>
            </a:graphic>
          </wp:inline>
        </w:drawing>
      </w:r>
    </w:p>
    <w:p>
      <w:pPr>
        <w:jc w:val="center"/>
      </w:pPr>
      <w:r>
        <w:rPr>
          <w:i/>
          <w:color w:val="333333"/>
          <w:sz w:val="20"/>
        </w:rPr>
        <w:t>FIG. 5 — Speech Output Pipeline (Seven Learned Stages)</w:t>
      </w:r>
    </w:p>
    <w:p>
      <w:r>
        <w:br w:type="page"/>
      </w:r>
    </w:p>
    <w:p>
      <w:pPr>
        <w:jc w:val="center"/>
      </w:pPr>
      <w:r>
        <w:rPr>
          <w:b/>
          <w:sz w:val="24"/>
        </w:rPr>
        <w:t>FIG. 6</w:t>
      </w:r>
    </w:p>
    <w:p>
      <w:pPr>
        <w:jc w:val="center"/>
      </w:pPr>
      <w:r>
        <w:drawing>
          <wp:inline xmlns:a="http://schemas.openxmlformats.org/drawingml/2006/main" xmlns:pic="http://schemas.openxmlformats.org/drawingml/2006/picture">
            <wp:extent cx="5943600" cy="2963959"/>
            <wp:docPr id="6" name="Picture 6"/>
            <wp:cNvGraphicFramePr>
              <a:graphicFrameLocks noChangeAspect="1"/>
            </wp:cNvGraphicFramePr>
            <a:graphic>
              <a:graphicData uri="http://schemas.openxmlformats.org/drawingml/2006/picture">
                <pic:pic>
                  <pic:nvPicPr>
                    <pic:cNvPr id="0" name="f6.png"/>
                    <pic:cNvPicPr/>
                  </pic:nvPicPr>
                  <pic:blipFill>
                    <a:blip r:embed="rId14"/>
                    <a:stretch>
                      <a:fillRect/>
                    </a:stretch>
                  </pic:blipFill>
                  <pic:spPr>
                    <a:xfrm>
                      <a:off x="0" y="0"/>
                      <a:ext cx="5943600" cy="2963959"/>
                    </a:xfrm>
                    <a:prstGeom prst="rect"/>
                  </pic:spPr>
                </pic:pic>
              </a:graphicData>
            </a:graphic>
          </wp:inline>
        </w:drawing>
      </w:r>
    </w:p>
    <w:p>
      <w:pPr>
        <w:jc w:val="center"/>
      </w:pPr>
      <w:r>
        <w:rPr>
          <w:i/>
          <w:color w:val="333333"/>
          <w:sz w:val="20"/>
        </w:rPr>
        <w:t>FIG. 6 — Co-Grounded Integration with FQL and UFCS</w:t>
      </w:r>
    </w:p>
    <w:p>
      <w:r>
        <w:br w:type="page"/>
      </w:r>
    </w:p>
    <w:p>
      <w:pPr>
        <w:jc w:val="center"/>
      </w:pPr>
      <w:r>
        <w:rPr>
          <w:b/>
          <w:sz w:val="24"/>
        </w:rPr>
        <w:t>FIG. 7</w:t>
      </w:r>
    </w:p>
    <w:p>
      <w:pPr>
        <w:jc w:val="center"/>
      </w:pPr>
      <w:r>
        <w:drawing>
          <wp:inline xmlns:a="http://schemas.openxmlformats.org/drawingml/2006/main" xmlns:pic="http://schemas.openxmlformats.org/drawingml/2006/picture">
            <wp:extent cx="5943600" cy="4061721"/>
            <wp:docPr id="7" name="Picture 7"/>
            <wp:cNvGraphicFramePr>
              <a:graphicFrameLocks noChangeAspect="1"/>
            </wp:cNvGraphicFramePr>
            <a:graphic>
              <a:graphicData uri="http://schemas.openxmlformats.org/drawingml/2006/picture">
                <pic:pic>
                  <pic:nvPicPr>
                    <pic:cNvPr id="0" name="f7.png"/>
                    <pic:cNvPicPr/>
                  </pic:nvPicPr>
                  <pic:blipFill>
                    <a:blip r:embed="rId15"/>
                    <a:stretch>
                      <a:fillRect/>
                    </a:stretch>
                  </pic:blipFill>
                  <pic:spPr>
                    <a:xfrm>
                      <a:off x="0" y="0"/>
                      <a:ext cx="5943600" cy="4061721"/>
                    </a:xfrm>
                    <a:prstGeom prst="rect"/>
                  </pic:spPr>
                </pic:pic>
              </a:graphicData>
            </a:graphic>
          </wp:inline>
        </w:drawing>
      </w:r>
    </w:p>
    <w:p>
      <w:pPr>
        <w:jc w:val="center"/>
      </w:pPr>
      <w:r>
        <w:rPr>
          <w:i/>
          <w:color w:val="333333"/>
          <w:sz w:val="20"/>
        </w:rPr>
        <w:t>FIG. 7 — Reduced-to-Practice Embodiment — Language Lab Phases One and Two Prototype</w:t>
      </w:r>
    </w:p>
    <w:p>
      <w:r>
        <w:br w:type="page"/>
      </w:r>
    </w:p>
    <w:p>
      <w:pPr>
        <w:jc w:val="center"/>
      </w:pPr>
      <w:r>
        <w:rPr>
          <w:b/>
          <w:sz w:val="24"/>
        </w:rPr>
        <w:t>FIG. 8</w:t>
      </w:r>
    </w:p>
    <w:p>
      <w:pPr>
        <w:jc w:val="center"/>
      </w:pPr>
      <w:r>
        <w:drawing>
          <wp:inline xmlns:a="http://schemas.openxmlformats.org/drawingml/2006/main" xmlns:pic="http://schemas.openxmlformats.org/drawingml/2006/picture">
            <wp:extent cx="5943600" cy="5170448"/>
            <wp:docPr id="8" name="Picture 8"/>
            <wp:cNvGraphicFramePr>
              <a:graphicFrameLocks noChangeAspect="1"/>
            </wp:cNvGraphicFramePr>
            <a:graphic>
              <a:graphicData uri="http://schemas.openxmlformats.org/drawingml/2006/picture">
                <pic:pic>
                  <pic:nvPicPr>
                    <pic:cNvPr id="0" name="f8.png"/>
                    <pic:cNvPicPr/>
                  </pic:nvPicPr>
                  <pic:blipFill>
                    <a:blip r:embed="rId16"/>
                    <a:stretch>
                      <a:fillRect/>
                    </a:stretch>
                  </pic:blipFill>
                  <pic:spPr>
                    <a:xfrm>
                      <a:off x="0" y="0"/>
                      <a:ext cx="5943600" cy="5170448"/>
                    </a:xfrm>
                    <a:prstGeom prst="rect"/>
                  </pic:spPr>
                </pic:pic>
              </a:graphicData>
            </a:graphic>
          </wp:inline>
        </w:drawing>
      </w:r>
    </w:p>
    <w:p>
      <w:pPr>
        <w:jc w:val="center"/>
      </w:pPr>
      <w:r>
        <w:rPr>
          <w:i/>
          <w:color w:val="333333"/>
          <w:sz w:val="20"/>
        </w:rPr>
        <w:t>FIG. 8 — Deterministic Phase-Two Semantic Grounding — Dictionary and Store (No LLM)</w:t>
      </w:r>
    </w:p>
    <w:p>
      <w:r>
        <w:br w:type="page"/>
      </w:r>
    </w:p>
    <w:p>
      <w:pPr>
        <w:jc w:val="center"/>
      </w:pPr>
      <w:r>
        <w:rPr>
          <w:b/>
          <w:sz w:val="24"/>
        </w:rPr>
        <w:t>FIG. 9</w:t>
      </w:r>
    </w:p>
    <w:p>
      <w:pPr>
        <w:jc w:val="center"/>
      </w:pPr>
      <w:r>
        <w:drawing>
          <wp:inline xmlns:a="http://schemas.openxmlformats.org/drawingml/2006/main" xmlns:pic="http://schemas.openxmlformats.org/drawingml/2006/picture">
            <wp:extent cx="5943600" cy="4292600"/>
            <wp:docPr id="9" name="Picture 9"/>
            <wp:cNvGraphicFramePr>
              <a:graphicFrameLocks noChangeAspect="1"/>
            </wp:cNvGraphicFramePr>
            <a:graphic>
              <a:graphicData uri="http://schemas.openxmlformats.org/drawingml/2006/picture">
                <pic:pic>
                  <pic:nvPicPr>
                    <pic:cNvPr id="0" name="f9.png"/>
                    <pic:cNvPicPr/>
                  </pic:nvPicPr>
                  <pic:blipFill>
                    <a:blip r:embed="rId17"/>
                    <a:stretch>
                      <a:fillRect/>
                    </a:stretch>
                  </pic:blipFill>
                  <pic:spPr>
                    <a:xfrm>
                      <a:off x="0" y="0"/>
                      <a:ext cx="5943600" cy="4292600"/>
                    </a:xfrm>
                    <a:prstGeom prst="rect"/>
                  </pic:spPr>
                </pic:pic>
              </a:graphicData>
            </a:graphic>
          </wp:inline>
        </w:drawing>
      </w:r>
    </w:p>
    <w:p>
      <w:pPr>
        <w:jc w:val="center"/>
      </w:pPr>
      <w:r>
        <w:rPr>
          <w:i/>
          <w:color w:val="333333"/>
          <w:sz w:val="20"/>
        </w:rPr>
        <w:t>FIG. 9 — QueryBook system architecture (Prime Directive as Domain 0)</w:t>
      </w:r>
    </w:p>
    <w:p>
      <w:r>
        <w:br w:type="page"/>
      </w:r>
    </w:p>
    <w:p>
      <w:pPr>
        <w:jc w:val="center"/>
      </w:pPr>
      <w:r>
        <w:rPr>
          <w:b/>
          <w:sz w:val="24"/>
        </w:rPr>
        <w:t>FIG. 10</w:t>
      </w:r>
    </w:p>
    <w:p>
      <w:pPr>
        <w:jc w:val="center"/>
      </w:pPr>
      <w:r>
        <w:drawing>
          <wp:inline xmlns:a="http://schemas.openxmlformats.org/drawingml/2006/main" xmlns:pic="http://schemas.openxmlformats.org/drawingml/2006/picture">
            <wp:extent cx="5943600" cy="4517987"/>
            <wp:docPr id="10" name="Picture 10"/>
            <wp:cNvGraphicFramePr>
              <a:graphicFrameLocks noChangeAspect="1"/>
            </wp:cNvGraphicFramePr>
            <a:graphic>
              <a:graphicData uri="http://schemas.openxmlformats.org/drawingml/2006/picture">
                <pic:pic>
                  <pic:nvPicPr>
                    <pic:cNvPr id="0" name="f10.png"/>
                    <pic:cNvPicPr/>
                  </pic:nvPicPr>
                  <pic:blipFill>
                    <a:blip r:embed="rId18"/>
                    <a:stretch>
                      <a:fillRect/>
                    </a:stretch>
                  </pic:blipFill>
                  <pic:spPr>
                    <a:xfrm>
                      <a:off x="0" y="0"/>
                      <a:ext cx="5943600" cy="4517987"/>
                    </a:xfrm>
                    <a:prstGeom prst="rect"/>
                  </pic:spPr>
                </pic:pic>
              </a:graphicData>
            </a:graphic>
          </wp:inline>
        </w:drawing>
      </w:r>
    </w:p>
    <w:p>
      <w:pPr>
        <w:jc w:val="center"/>
      </w:pPr>
      <w:r>
        <w:rPr>
          <w:i/>
          <w:color w:val="333333"/>
          <w:sz w:val="20"/>
        </w:rPr>
        <w:t>FIG. 10 — Fact Unit — atom, envelope, and content-derived identity</w:t>
      </w:r>
    </w:p>
    <w:p>
      <w:r>
        <w:br w:type="page"/>
      </w:r>
    </w:p>
    <w:p>
      <w:pPr>
        <w:jc w:val="center"/>
      </w:pPr>
      <w:r>
        <w:rPr>
          <w:b/>
          <w:sz w:val="24"/>
        </w:rPr>
        <w:t>FIG. 11</w:t>
      </w:r>
    </w:p>
    <w:p>
      <w:pPr>
        <w:jc w:val="center"/>
      </w:pPr>
      <w:r>
        <w:drawing>
          <wp:inline xmlns:a="http://schemas.openxmlformats.org/drawingml/2006/main" xmlns:pic="http://schemas.openxmlformats.org/drawingml/2006/picture">
            <wp:extent cx="5943600" cy="4804661"/>
            <wp:docPr id="11" name="Picture 11"/>
            <wp:cNvGraphicFramePr>
              <a:graphicFrameLocks noChangeAspect="1"/>
            </wp:cNvGraphicFramePr>
            <a:graphic>
              <a:graphicData uri="http://schemas.openxmlformats.org/drawingml/2006/picture">
                <pic:pic>
                  <pic:nvPicPr>
                    <pic:cNvPr id="0" name="f11.png"/>
                    <pic:cNvPicPr/>
                  </pic:nvPicPr>
                  <pic:blipFill>
                    <a:blip r:embed="rId19"/>
                    <a:stretch>
                      <a:fillRect/>
                    </a:stretch>
                  </pic:blipFill>
                  <pic:spPr>
                    <a:xfrm>
                      <a:off x="0" y="0"/>
                      <a:ext cx="5943600" cy="4804661"/>
                    </a:xfrm>
                    <a:prstGeom prst="rect"/>
                  </pic:spPr>
                </pic:pic>
              </a:graphicData>
            </a:graphic>
          </wp:inline>
        </w:drawing>
      </w:r>
    </w:p>
    <w:p>
      <w:pPr>
        <w:jc w:val="center"/>
      </w:pPr>
      <w:r>
        <w:rPr>
          <w:i/>
          <w:color w:val="333333"/>
          <w:sz w:val="20"/>
        </w:rPr>
        <w:t>FIG. 11 — Fact-certification authority hierarchy</w:t>
      </w:r>
    </w:p>
    <w:p>
      <w:r>
        <w:br w:type="page"/>
      </w:r>
    </w:p>
    <w:p>
      <w:pPr>
        <w:jc w:val="center"/>
      </w:pPr>
      <w:r>
        <w:rPr>
          <w:b/>
          <w:sz w:val="24"/>
        </w:rPr>
        <w:t>FIG. 12</w:t>
      </w:r>
    </w:p>
    <w:p>
      <w:pPr>
        <w:jc w:val="center"/>
      </w:pPr>
      <w:r>
        <w:drawing>
          <wp:inline xmlns:a="http://schemas.openxmlformats.org/drawingml/2006/main" xmlns:pic="http://schemas.openxmlformats.org/drawingml/2006/picture">
            <wp:extent cx="5943600" cy="4517987"/>
            <wp:docPr id="12" name="Picture 12"/>
            <wp:cNvGraphicFramePr>
              <a:graphicFrameLocks noChangeAspect="1"/>
            </wp:cNvGraphicFramePr>
            <a:graphic>
              <a:graphicData uri="http://schemas.openxmlformats.org/drawingml/2006/picture">
                <pic:pic>
                  <pic:nvPicPr>
                    <pic:cNvPr id="0" name="f12.png"/>
                    <pic:cNvPicPr/>
                  </pic:nvPicPr>
                  <pic:blipFill>
                    <a:blip r:embed="rId20"/>
                    <a:stretch>
                      <a:fillRect/>
                    </a:stretch>
                  </pic:blipFill>
                  <pic:spPr>
                    <a:xfrm>
                      <a:off x="0" y="0"/>
                      <a:ext cx="5943600" cy="4517987"/>
                    </a:xfrm>
                    <a:prstGeom prst="rect"/>
                  </pic:spPr>
                </pic:pic>
              </a:graphicData>
            </a:graphic>
          </wp:inline>
        </w:drawing>
      </w:r>
    </w:p>
    <w:p>
      <w:pPr>
        <w:jc w:val="center"/>
      </w:pPr>
      <w:r>
        <w:rPr>
          <w:i/>
          <w:color w:val="333333"/>
          <w:sz w:val="20"/>
        </w:rPr>
        <w:t>FIG. 12 — UFCS substrate — three-store architecture</w:t>
      </w:r>
    </w:p>
    <w:p>
      <w:r>
        <w:br w:type="page"/>
      </w:r>
    </w:p>
    <w:p>
      <w:pPr>
        <w:jc w:val="center"/>
      </w:pPr>
      <w:r>
        <w:rPr>
          <w:b/>
          <w:sz w:val="24"/>
        </w:rPr>
        <w:t>FIG. 13</w:t>
      </w:r>
    </w:p>
    <w:p>
      <w:pPr>
        <w:jc w:val="center"/>
      </w:pPr>
      <w:r>
        <w:drawing>
          <wp:inline xmlns:a="http://schemas.openxmlformats.org/drawingml/2006/main" xmlns:pic="http://schemas.openxmlformats.org/drawingml/2006/picture">
            <wp:extent cx="5943600" cy="2961161"/>
            <wp:docPr id="13" name="Picture 13"/>
            <wp:cNvGraphicFramePr>
              <a:graphicFrameLocks noChangeAspect="1"/>
            </wp:cNvGraphicFramePr>
            <a:graphic>
              <a:graphicData uri="http://schemas.openxmlformats.org/drawingml/2006/picture">
                <pic:pic>
                  <pic:nvPicPr>
                    <pic:cNvPr id="0" name="f13.png"/>
                    <pic:cNvPicPr/>
                  </pic:nvPicPr>
                  <pic:blipFill>
                    <a:blip r:embed="rId21"/>
                    <a:stretch>
                      <a:fillRect/>
                    </a:stretch>
                  </pic:blipFill>
                  <pic:spPr>
                    <a:xfrm>
                      <a:off x="0" y="0"/>
                      <a:ext cx="5943600" cy="2961161"/>
                    </a:xfrm>
                    <a:prstGeom prst="rect"/>
                  </pic:spPr>
                </pic:pic>
              </a:graphicData>
            </a:graphic>
          </wp:inline>
        </w:drawing>
      </w:r>
    </w:p>
    <w:p>
      <w:pPr>
        <w:jc w:val="center"/>
      </w:pPr>
      <w:r>
        <w:rPr>
          <w:i/>
          <w:color w:val="333333"/>
          <w:sz w:val="20"/>
        </w:rPr>
        <w:t>FIG. 13 — Authored tour and exhibition sequencing</w:t>
      </w:r>
    </w:p>
    <w:p>
      <w:r>
        <w:br w:type="page"/>
      </w:r>
    </w:p>
    <w:p>
      <w:pPr>
        <w:jc w:val="center"/>
      </w:pPr>
      <w:r>
        <w:rPr>
          <w:b/>
          <w:sz w:val="24"/>
        </w:rPr>
        <w:t>FIG. 14</w:t>
      </w:r>
    </w:p>
    <w:p>
      <w:pPr>
        <w:jc w:val="center"/>
      </w:pPr>
      <w:r>
        <w:drawing>
          <wp:inline xmlns:a="http://schemas.openxmlformats.org/drawingml/2006/main" xmlns:pic="http://schemas.openxmlformats.org/drawingml/2006/picture">
            <wp:extent cx="5943600" cy="2134135"/>
            <wp:docPr id="14" name="Picture 14"/>
            <wp:cNvGraphicFramePr>
              <a:graphicFrameLocks noChangeAspect="1"/>
            </wp:cNvGraphicFramePr>
            <a:graphic>
              <a:graphicData uri="http://schemas.openxmlformats.org/drawingml/2006/picture">
                <pic:pic>
                  <pic:nvPicPr>
                    <pic:cNvPr id="0" name="f14.png"/>
                    <pic:cNvPicPr/>
                  </pic:nvPicPr>
                  <pic:blipFill>
                    <a:blip r:embed="rId22"/>
                    <a:stretch>
                      <a:fillRect/>
                    </a:stretch>
                  </pic:blipFill>
                  <pic:spPr>
                    <a:xfrm>
                      <a:off x="0" y="0"/>
                      <a:ext cx="5943600" cy="2134135"/>
                    </a:xfrm>
                    <a:prstGeom prst="rect"/>
                  </pic:spPr>
                </pic:pic>
              </a:graphicData>
            </a:graphic>
          </wp:inline>
        </w:drawing>
      </w:r>
    </w:p>
    <w:p>
      <w:pPr>
        <w:jc w:val="center"/>
      </w:pPr>
      <w:r>
        <w:rPr>
          <w:i/>
          <w:color w:val="333333"/>
          <w:sz w:val="20"/>
        </w:rPr>
        <w:t>FIG. 14 — FQL — joint structure and trust execution</w:t>
      </w:r>
    </w:p>
    <w:p>
      <w:r>
        <w:br w:type="page"/>
      </w:r>
    </w:p>
    <w:p>
      <w:pPr>
        <w:jc w:val="center"/>
      </w:pPr>
      <w:r>
        <w:rPr>
          <w:b/>
          <w:sz w:val="24"/>
        </w:rPr>
        <w:t>FIG. 15</w:t>
      </w:r>
    </w:p>
    <w:p>
      <w:pPr>
        <w:jc w:val="center"/>
      </w:pPr>
      <w:r>
        <w:drawing>
          <wp:inline xmlns:a="http://schemas.openxmlformats.org/drawingml/2006/main" xmlns:pic="http://schemas.openxmlformats.org/drawingml/2006/picture">
            <wp:extent cx="5943600" cy="2957615"/>
            <wp:docPr id="15" name="Picture 15"/>
            <wp:cNvGraphicFramePr>
              <a:graphicFrameLocks noChangeAspect="1"/>
            </wp:cNvGraphicFramePr>
            <a:graphic>
              <a:graphicData uri="http://schemas.openxmlformats.org/drawingml/2006/picture">
                <pic:pic>
                  <pic:nvPicPr>
                    <pic:cNvPr id="0" name="f15.png"/>
                    <pic:cNvPicPr/>
                  </pic:nvPicPr>
                  <pic:blipFill>
                    <a:blip r:embed="rId23"/>
                    <a:stretch>
                      <a:fillRect/>
                    </a:stretch>
                  </pic:blipFill>
                  <pic:spPr>
                    <a:xfrm>
                      <a:off x="0" y="0"/>
                      <a:ext cx="5943600" cy="2957615"/>
                    </a:xfrm>
                    <a:prstGeom prst="rect"/>
                  </pic:spPr>
                </pic:pic>
              </a:graphicData>
            </a:graphic>
          </wp:inline>
        </w:drawing>
      </w:r>
    </w:p>
    <w:p>
      <w:pPr>
        <w:jc w:val="center"/>
      </w:pPr>
      <w:r>
        <w:rPr>
          <w:i/>
          <w:color w:val="333333"/>
          <w:sz w:val="20"/>
        </w:rPr>
        <w:t>FIG. 15 — Verifying machine-generated text against certified records</w:t>
      </w:r>
    </w:p>
    <w:p>
      <w:r>
        <w:br w:type="page"/>
      </w:r>
    </w:p>
    <w:p>
      <w:pPr>
        <w:jc w:val="center"/>
      </w:pPr>
      <w:r>
        <w:rPr>
          <w:b/>
          <w:sz w:val="24"/>
        </w:rPr>
        <w:t>FIG. 16</w:t>
      </w:r>
    </w:p>
    <w:p>
      <w:pPr>
        <w:jc w:val="center"/>
      </w:pPr>
      <w:r>
        <w:drawing>
          <wp:inline xmlns:a="http://schemas.openxmlformats.org/drawingml/2006/main" xmlns:pic="http://schemas.openxmlformats.org/drawingml/2006/picture">
            <wp:extent cx="5943600" cy="3028541"/>
            <wp:docPr id="16" name="Picture 16"/>
            <wp:cNvGraphicFramePr>
              <a:graphicFrameLocks noChangeAspect="1"/>
            </wp:cNvGraphicFramePr>
            <a:graphic>
              <a:graphicData uri="http://schemas.openxmlformats.org/drawingml/2006/picture">
                <pic:pic>
                  <pic:nvPicPr>
                    <pic:cNvPr id="0" name="f16.png"/>
                    <pic:cNvPicPr/>
                  </pic:nvPicPr>
                  <pic:blipFill>
                    <a:blip r:embed="rId24"/>
                    <a:stretch>
                      <a:fillRect/>
                    </a:stretch>
                  </pic:blipFill>
                  <pic:spPr>
                    <a:xfrm>
                      <a:off x="0" y="0"/>
                      <a:ext cx="5943600" cy="3028541"/>
                    </a:xfrm>
                    <a:prstGeom prst="rect"/>
                  </pic:spPr>
                </pic:pic>
              </a:graphicData>
            </a:graphic>
          </wp:inline>
        </w:drawing>
      </w:r>
    </w:p>
    <w:p>
      <w:pPr>
        <w:jc w:val="center"/>
      </w:pPr>
      <w:r>
        <w:rPr>
          <w:i/>
          <w:color w:val="333333"/>
          <w:sz w:val="20"/>
        </w:rPr>
        <w:t>FIG. 16 — Federation — cross-boundary re-validation</w:t>
      </w:r>
    </w:p>
    <w:p>
      <w:r>
        <w:br w:type="page"/>
      </w:r>
    </w:p>
    <w:p>
      <w:pPr>
        <w:jc w:val="center"/>
      </w:pPr>
      <w:r>
        <w:rPr>
          <w:b/>
          <w:sz w:val="24"/>
        </w:rPr>
        <w:t>FIG. 17</w:t>
      </w:r>
    </w:p>
    <w:p>
      <w:pPr>
        <w:jc w:val="center"/>
      </w:pPr>
      <w:r>
        <w:drawing>
          <wp:inline xmlns:a="http://schemas.openxmlformats.org/drawingml/2006/main" xmlns:pic="http://schemas.openxmlformats.org/drawingml/2006/picture">
            <wp:extent cx="5943600" cy="3451924"/>
            <wp:docPr id="17" name="Picture 17"/>
            <wp:cNvGraphicFramePr>
              <a:graphicFrameLocks noChangeAspect="1"/>
            </wp:cNvGraphicFramePr>
            <a:graphic>
              <a:graphicData uri="http://schemas.openxmlformats.org/drawingml/2006/picture">
                <pic:pic>
                  <pic:nvPicPr>
                    <pic:cNvPr id="0" name="f17.png"/>
                    <pic:cNvPicPr/>
                  </pic:nvPicPr>
                  <pic:blipFill>
                    <a:blip r:embed="rId25"/>
                    <a:stretch>
                      <a:fillRect/>
                    </a:stretch>
                  </pic:blipFill>
                  <pic:spPr>
                    <a:xfrm>
                      <a:off x="0" y="0"/>
                      <a:ext cx="5943600" cy="3451924"/>
                    </a:xfrm>
                    <a:prstGeom prst="rect"/>
                  </pic:spPr>
                </pic:pic>
              </a:graphicData>
            </a:graphic>
          </wp:inline>
        </w:drawing>
      </w:r>
    </w:p>
    <w:p>
      <w:pPr>
        <w:jc w:val="center"/>
      </w:pPr>
      <w:r>
        <w:rPr>
          <w:i/>
          <w:color w:val="333333"/>
          <w:sz w:val="20"/>
        </w:rPr>
        <w:t>FIG. 17 — Fact-level erasure by external-key destruction</w:t>
      </w:r>
    </w:p>
    <w:p>
      <w:r>
        <w:br w:type="page"/>
      </w:r>
    </w:p>
    <w:p>
      <w:pPr>
        <w:jc w:val="center"/>
      </w:pPr>
      <w:r>
        <w:rPr>
          <w:b/>
          <w:sz w:val="24"/>
        </w:rPr>
        <w:t>FIG. 18</w:t>
      </w:r>
    </w:p>
    <w:p>
      <w:pPr>
        <w:jc w:val="center"/>
      </w:pPr>
      <w:r>
        <w:drawing>
          <wp:inline xmlns:a="http://schemas.openxmlformats.org/drawingml/2006/main" xmlns:pic="http://schemas.openxmlformats.org/drawingml/2006/picture">
            <wp:extent cx="5943600" cy="4606290"/>
            <wp:docPr id="18" name="Picture 18"/>
            <wp:cNvGraphicFramePr>
              <a:graphicFrameLocks noChangeAspect="1"/>
            </wp:cNvGraphicFramePr>
            <a:graphic>
              <a:graphicData uri="http://schemas.openxmlformats.org/drawingml/2006/picture">
                <pic:pic>
                  <pic:nvPicPr>
                    <pic:cNvPr id="0" name="f18.png"/>
                    <pic:cNvPicPr/>
                  </pic:nvPicPr>
                  <pic:blipFill>
                    <a:blip r:embed="rId26"/>
                    <a:stretch>
                      <a:fillRect/>
                    </a:stretch>
                  </pic:blipFill>
                  <pic:spPr>
                    <a:xfrm>
                      <a:off x="0" y="0"/>
                      <a:ext cx="5943600" cy="4606290"/>
                    </a:xfrm>
                    <a:prstGeom prst="rect"/>
                  </pic:spPr>
                </pic:pic>
              </a:graphicData>
            </a:graphic>
          </wp:inline>
        </w:drawing>
      </w:r>
    </w:p>
    <w:p>
      <w:pPr>
        <w:jc w:val="center"/>
      </w:pPr>
      <w:r>
        <w:rPr>
          <w:i/>
          <w:color w:val="333333"/>
          <w:sz w:val="20"/>
        </w:rPr>
        <w:t>FIG. 18 — Universal security architecture</w:t>
      </w:r>
    </w:p>
    <w:p>
      <w:r>
        <w:br w:type="page"/>
      </w:r>
    </w:p>
    <w:p>
      <w:pPr>
        <w:jc w:val="center"/>
      </w:pPr>
      <w:r>
        <w:rPr>
          <w:b/>
          <w:sz w:val="24"/>
        </w:rPr>
        <w:t>FIG. 19</w:t>
      </w:r>
    </w:p>
    <w:p>
      <w:pPr>
        <w:jc w:val="center"/>
      </w:pPr>
      <w:r>
        <w:drawing>
          <wp:inline xmlns:a="http://schemas.openxmlformats.org/drawingml/2006/main" xmlns:pic="http://schemas.openxmlformats.org/drawingml/2006/picture">
            <wp:extent cx="5943600" cy="3145281"/>
            <wp:docPr id="19" name="Picture 19"/>
            <wp:cNvGraphicFramePr>
              <a:graphicFrameLocks noChangeAspect="1"/>
            </wp:cNvGraphicFramePr>
            <a:graphic>
              <a:graphicData uri="http://schemas.openxmlformats.org/drawingml/2006/picture">
                <pic:pic>
                  <pic:nvPicPr>
                    <pic:cNvPr id="0" name="f19.png"/>
                    <pic:cNvPicPr/>
                  </pic:nvPicPr>
                  <pic:blipFill>
                    <a:blip r:embed="rId27"/>
                    <a:stretch>
                      <a:fillRect/>
                    </a:stretch>
                  </pic:blipFill>
                  <pic:spPr>
                    <a:xfrm>
                      <a:off x="0" y="0"/>
                      <a:ext cx="5943600" cy="3145281"/>
                    </a:xfrm>
                    <a:prstGeom prst="rect"/>
                  </pic:spPr>
                </pic:pic>
              </a:graphicData>
            </a:graphic>
          </wp:inline>
        </w:drawing>
      </w:r>
    </w:p>
    <w:p>
      <w:pPr>
        <w:jc w:val="center"/>
      </w:pPr>
      <w:r>
        <w:rPr>
          <w:i/>
          <w:color w:val="333333"/>
          <w:sz w:val="20"/>
        </w:rPr>
        <w:t>FIG. 19 — Universal honeypot saturation and data firehose</w:t>
      </w:r>
    </w:p>
    <w:p>
      <w:r>
        <w:br w:type="page"/>
      </w:r>
    </w:p>
    <w:p>
      <w:pPr>
        <w:jc w:val="center"/>
      </w:pPr>
      <w:r>
        <w:rPr>
          <w:b/>
          <w:sz w:val="24"/>
        </w:rPr>
        <w:t>FIG. 20</w:t>
      </w:r>
    </w:p>
    <w:p>
      <w:pPr>
        <w:jc w:val="center"/>
      </w:pPr>
      <w:r>
        <w:drawing>
          <wp:inline xmlns:a="http://schemas.openxmlformats.org/drawingml/2006/main" xmlns:pic="http://schemas.openxmlformats.org/drawingml/2006/picture">
            <wp:extent cx="5943600" cy="2490857"/>
            <wp:docPr id="20" name="Picture 20"/>
            <wp:cNvGraphicFramePr>
              <a:graphicFrameLocks noChangeAspect="1"/>
            </wp:cNvGraphicFramePr>
            <a:graphic>
              <a:graphicData uri="http://schemas.openxmlformats.org/drawingml/2006/picture">
                <pic:pic>
                  <pic:nvPicPr>
                    <pic:cNvPr id="0" name="f20.png"/>
                    <pic:cNvPicPr/>
                  </pic:nvPicPr>
                  <pic:blipFill>
                    <a:blip r:embed="rId28"/>
                    <a:stretch>
                      <a:fillRect/>
                    </a:stretch>
                  </pic:blipFill>
                  <pic:spPr>
                    <a:xfrm>
                      <a:off x="0" y="0"/>
                      <a:ext cx="5943600" cy="2490857"/>
                    </a:xfrm>
                    <a:prstGeom prst="rect"/>
                  </pic:spPr>
                </pic:pic>
              </a:graphicData>
            </a:graphic>
          </wp:inline>
        </w:drawing>
      </w:r>
    </w:p>
    <w:p>
      <w:pPr>
        <w:jc w:val="center"/>
      </w:pPr>
      <w:r>
        <w:rPr>
          <w:i/>
          <w:color w:val="333333"/>
          <w:sz w:val="20"/>
        </w:rPr>
        <w:t>FIG. 20 — Deployment topologies over an invariant common layer</w:t>
      </w:r>
    </w:p>
    <w:p>
      <w:r>
        <w:br w:type="page"/>
      </w:r>
    </w:p>
    <w:p>
      <w:pPr>
        <w:jc w:val="center"/>
      </w:pPr>
      <w:r>
        <w:rPr>
          <w:b/>
          <w:sz w:val="24"/>
        </w:rPr>
        <w:t>FIG. 21</w:t>
      </w:r>
    </w:p>
    <w:p>
      <w:pPr>
        <w:jc w:val="center"/>
      </w:pPr>
      <w:r>
        <w:drawing>
          <wp:inline xmlns:a="http://schemas.openxmlformats.org/drawingml/2006/main" xmlns:pic="http://schemas.openxmlformats.org/drawingml/2006/picture">
            <wp:extent cx="5943600" cy="2060161"/>
            <wp:docPr id="21" name="Picture 21"/>
            <wp:cNvGraphicFramePr>
              <a:graphicFrameLocks noChangeAspect="1"/>
            </wp:cNvGraphicFramePr>
            <a:graphic>
              <a:graphicData uri="http://schemas.openxmlformats.org/drawingml/2006/picture">
                <pic:pic>
                  <pic:nvPicPr>
                    <pic:cNvPr id="0" name="f21.png"/>
                    <pic:cNvPicPr/>
                  </pic:nvPicPr>
                  <pic:blipFill>
                    <a:blip r:embed="rId29"/>
                    <a:stretch>
                      <a:fillRect/>
                    </a:stretch>
                  </pic:blipFill>
                  <pic:spPr>
                    <a:xfrm>
                      <a:off x="0" y="0"/>
                      <a:ext cx="5943600" cy="2060161"/>
                    </a:xfrm>
                    <a:prstGeom prst="rect"/>
                  </pic:spPr>
                </pic:pic>
              </a:graphicData>
            </a:graphic>
          </wp:inline>
        </w:drawing>
      </w:r>
    </w:p>
    <w:p>
      <w:pPr>
        <w:jc w:val="center"/>
      </w:pPr>
      <w:r>
        <w:rPr>
          <w:i/>
          <w:color w:val="333333"/>
          <w:sz w:val="20"/>
        </w:rPr>
        <w:t>FIG. 21 — Adaptive response engine — directive fixed before generation</w:t>
      </w:r>
    </w:p>
    <w:p>
      <w:r>
        <w:br w:type="page"/>
      </w:r>
    </w:p>
    <w:p>
      <w:pPr>
        <w:jc w:val="center"/>
      </w:pPr>
      <w:r>
        <w:rPr>
          <w:b/>
          <w:sz w:val="24"/>
        </w:rPr>
        <w:t>FIG. 22</w:t>
      </w:r>
    </w:p>
    <w:p>
      <w:pPr>
        <w:jc w:val="center"/>
      </w:pPr>
      <w:r>
        <w:drawing>
          <wp:inline xmlns:a="http://schemas.openxmlformats.org/drawingml/2006/main" xmlns:pic="http://schemas.openxmlformats.org/drawingml/2006/picture">
            <wp:extent cx="5943600" cy="3247909"/>
            <wp:docPr id="22" name="Picture 22"/>
            <wp:cNvGraphicFramePr>
              <a:graphicFrameLocks noChangeAspect="1"/>
            </wp:cNvGraphicFramePr>
            <a:graphic>
              <a:graphicData uri="http://schemas.openxmlformats.org/drawingml/2006/picture">
                <pic:pic>
                  <pic:nvPicPr>
                    <pic:cNvPr id="0" name="f22.png"/>
                    <pic:cNvPicPr/>
                  </pic:nvPicPr>
                  <pic:blipFill>
                    <a:blip r:embed="rId30"/>
                    <a:stretch>
                      <a:fillRect/>
                    </a:stretch>
                  </pic:blipFill>
                  <pic:spPr>
                    <a:xfrm>
                      <a:off x="0" y="0"/>
                      <a:ext cx="5943600" cy="3247909"/>
                    </a:xfrm>
                    <a:prstGeom prst="rect"/>
                  </pic:spPr>
                </pic:pic>
              </a:graphicData>
            </a:graphic>
          </wp:inline>
        </w:drawing>
      </w:r>
    </w:p>
    <w:p>
      <w:pPr>
        <w:jc w:val="center"/>
      </w:pPr>
      <w:r>
        <w:rPr>
          <w:i/>
          <w:color w:val="333333"/>
          <w:sz w:val="20"/>
        </w:rPr>
        <w:t>FIG. 22 — User-owned agent system with governance and kill switch</w:t>
      </w:r>
    </w:p>
    <w:p>
      <w:r>
        <w:br w:type="page"/>
      </w:r>
    </w:p>
    <w:p>
      <w:pPr>
        <w:jc w:val="center"/>
      </w:pPr>
      <w:r>
        <w:rPr>
          <w:b/>
          <w:sz w:val="24"/>
        </w:rPr>
        <w:t>FIG. 23</w:t>
      </w:r>
    </w:p>
    <w:p>
      <w:pPr>
        <w:jc w:val="center"/>
      </w:pPr>
      <w:r>
        <w:drawing>
          <wp:inline xmlns:a="http://schemas.openxmlformats.org/drawingml/2006/main" xmlns:pic="http://schemas.openxmlformats.org/drawingml/2006/picture">
            <wp:extent cx="5943600" cy="4572552"/>
            <wp:docPr id="23" name="Picture 23"/>
            <wp:cNvGraphicFramePr>
              <a:graphicFrameLocks noChangeAspect="1"/>
            </wp:cNvGraphicFramePr>
            <a:graphic>
              <a:graphicData uri="http://schemas.openxmlformats.org/drawingml/2006/picture">
                <pic:pic>
                  <pic:nvPicPr>
                    <pic:cNvPr id="0" name="f23.png"/>
                    <pic:cNvPicPr/>
                  </pic:nvPicPr>
                  <pic:blipFill>
                    <a:blip r:embed="rId31"/>
                    <a:stretch>
                      <a:fillRect/>
                    </a:stretch>
                  </pic:blipFill>
                  <pic:spPr>
                    <a:xfrm>
                      <a:off x="0" y="0"/>
                      <a:ext cx="5943600" cy="4572552"/>
                    </a:xfrm>
                    <a:prstGeom prst="rect"/>
                  </pic:spPr>
                </pic:pic>
              </a:graphicData>
            </a:graphic>
          </wp:inline>
        </w:drawing>
      </w:r>
    </w:p>
    <w:p>
      <w:pPr>
        <w:jc w:val="center"/>
      </w:pPr>
      <w:r>
        <w:rPr>
          <w:i/>
          <w:color w:val="333333"/>
          <w:sz w:val="20"/>
        </w:rPr>
        <w:t>FIG. 23 — Deterministic multi-language regeneration</w:t>
      </w:r>
    </w:p>
    <w:p>
      <w:r>
        <w:br w:type="page"/>
      </w:r>
    </w:p>
    <w:p>
      <w:pPr>
        <w:jc w:val="center"/>
      </w:pPr>
      <w:r>
        <w:rPr>
          <w:b/>
          <w:sz w:val="24"/>
        </w:rPr>
        <w:t>FIG. 24</w:t>
      </w:r>
    </w:p>
    <w:p>
      <w:pPr>
        <w:jc w:val="center"/>
      </w:pPr>
      <w:r>
        <w:drawing>
          <wp:inline xmlns:a="http://schemas.openxmlformats.org/drawingml/2006/main" xmlns:pic="http://schemas.openxmlformats.org/drawingml/2006/picture">
            <wp:extent cx="5943600" cy="5273082"/>
            <wp:docPr id="24" name="Picture 24"/>
            <wp:cNvGraphicFramePr>
              <a:graphicFrameLocks noChangeAspect="1"/>
            </wp:cNvGraphicFramePr>
            <a:graphic>
              <a:graphicData uri="http://schemas.openxmlformats.org/drawingml/2006/picture">
                <pic:pic>
                  <pic:nvPicPr>
                    <pic:cNvPr id="0" name="f24.png"/>
                    <pic:cNvPicPr/>
                  </pic:nvPicPr>
                  <pic:blipFill>
                    <a:blip r:embed="rId32"/>
                    <a:stretch>
                      <a:fillRect/>
                    </a:stretch>
                  </pic:blipFill>
                  <pic:spPr>
                    <a:xfrm>
                      <a:off x="0" y="0"/>
                      <a:ext cx="5943600" cy="5273082"/>
                    </a:xfrm>
                    <a:prstGeom prst="rect"/>
                  </pic:spPr>
                </pic:pic>
              </a:graphicData>
            </a:graphic>
          </wp:inline>
        </w:drawing>
      </w:r>
    </w:p>
    <w:p>
      <w:pPr>
        <w:jc w:val="center"/>
      </w:pPr>
      <w:r>
        <w:rPr>
          <w:i/>
          <w:color w:val="333333"/>
          <w:sz w:val="20"/>
        </w:rPr>
        <w:t>FIG. 24 — Semantic compression, expansion, colorization and upscaling</w:t>
      </w:r>
    </w:p>
    <w:p>
      <w:r>
        <w:br w:type="page"/>
      </w:r>
    </w:p>
    <w:p>
      <w:pPr>
        <w:jc w:val="center"/>
      </w:pPr>
      <w:r>
        <w:rPr>
          <w:b/>
          <w:sz w:val="24"/>
        </w:rPr>
        <w:t>FIG. 25</w:t>
      </w:r>
    </w:p>
    <w:p>
      <w:pPr>
        <w:jc w:val="center"/>
      </w:pPr>
      <w:r>
        <w:drawing>
          <wp:inline xmlns:a="http://schemas.openxmlformats.org/drawingml/2006/main" xmlns:pic="http://schemas.openxmlformats.org/drawingml/2006/picture">
            <wp:extent cx="5943600" cy="2621067"/>
            <wp:docPr id="25" name="Picture 25"/>
            <wp:cNvGraphicFramePr>
              <a:graphicFrameLocks noChangeAspect="1"/>
            </wp:cNvGraphicFramePr>
            <a:graphic>
              <a:graphicData uri="http://schemas.openxmlformats.org/drawingml/2006/picture">
                <pic:pic>
                  <pic:nvPicPr>
                    <pic:cNvPr id="0" name="f25.png"/>
                    <pic:cNvPicPr/>
                  </pic:nvPicPr>
                  <pic:blipFill>
                    <a:blip r:embed="rId33"/>
                    <a:stretch>
                      <a:fillRect/>
                    </a:stretch>
                  </pic:blipFill>
                  <pic:spPr>
                    <a:xfrm>
                      <a:off x="0" y="0"/>
                      <a:ext cx="5943600" cy="2621067"/>
                    </a:xfrm>
                    <a:prstGeom prst="rect"/>
                  </pic:spPr>
                </pic:pic>
              </a:graphicData>
            </a:graphic>
          </wp:inline>
        </w:drawing>
      </w:r>
    </w:p>
    <w:p>
      <w:pPr>
        <w:jc w:val="center"/>
      </w:pPr>
      <w:r>
        <w:rPr>
          <w:i/>
          <w:color w:val="333333"/>
          <w:sz w:val="20"/>
        </w:rPr>
        <w:t>FIG. 25 — QueryBook-enhanced TCP/IP hybrid protocol packet</w:t>
      </w:r>
    </w:p>
    <w:p>
      <w:r>
        <w:br w:type="page"/>
      </w:r>
    </w:p>
    <w:p>
      <w:pPr>
        <w:jc w:val="center"/>
      </w:pPr>
      <w:r>
        <w:rPr>
          <w:b/>
          <w:sz w:val="24"/>
        </w:rPr>
        <w:t>FIG. 26</w:t>
      </w:r>
    </w:p>
    <w:p>
      <w:pPr>
        <w:jc w:val="center"/>
      </w:pPr>
      <w:r>
        <w:drawing>
          <wp:inline xmlns:a="http://schemas.openxmlformats.org/drawingml/2006/main" xmlns:pic="http://schemas.openxmlformats.org/drawingml/2006/picture">
            <wp:extent cx="5943600" cy="4752271"/>
            <wp:docPr id="26" name="Picture 26"/>
            <wp:cNvGraphicFramePr>
              <a:graphicFrameLocks noChangeAspect="1"/>
            </wp:cNvGraphicFramePr>
            <a:graphic>
              <a:graphicData uri="http://schemas.openxmlformats.org/drawingml/2006/picture">
                <pic:pic>
                  <pic:nvPicPr>
                    <pic:cNvPr id="0" name="f26.png"/>
                    <pic:cNvPicPr/>
                  </pic:nvPicPr>
                  <pic:blipFill>
                    <a:blip r:embed="rId34"/>
                    <a:stretch>
                      <a:fillRect/>
                    </a:stretch>
                  </pic:blipFill>
                  <pic:spPr>
                    <a:xfrm>
                      <a:off x="0" y="0"/>
                      <a:ext cx="5943600" cy="4752271"/>
                    </a:xfrm>
                    <a:prstGeom prst="rect"/>
                  </pic:spPr>
                </pic:pic>
              </a:graphicData>
            </a:graphic>
          </wp:inline>
        </w:drawing>
      </w:r>
    </w:p>
    <w:p>
      <w:pPr>
        <w:jc w:val="center"/>
      </w:pPr>
      <w:r>
        <w:rPr>
          <w:i/>
          <w:color w:val="333333"/>
          <w:sz w:val="20"/>
        </w:rPr>
        <w:t>FIG. 26 — Neuromorphic cognitive layer — attractor convergence</w:t>
      </w:r>
    </w:p>
    <w:p>
      <w:r>
        <w:br w:type="page"/>
      </w:r>
    </w:p>
    <w:p>
      <w:pPr>
        <w:jc w:val="center"/>
      </w:pPr>
      <w:r>
        <w:rPr>
          <w:b/>
          <w:sz w:val="24"/>
        </w:rPr>
        <w:t>FIG. 27</w:t>
      </w:r>
    </w:p>
    <w:p>
      <w:pPr>
        <w:jc w:val="center"/>
      </w:pPr>
      <w:r>
        <w:drawing>
          <wp:inline xmlns:a="http://schemas.openxmlformats.org/drawingml/2006/main" xmlns:pic="http://schemas.openxmlformats.org/drawingml/2006/picture">
            <wp:extent cx="5943600" cy="4804661"/>
            <wp:docPr id="27" name="Picture 27"/>
            <wp:cNvGraphicFramePr>
              <a:graphicFrameLocks noChangeAspect="1"/>
            </wp:cNvGraphicFramePr>
            <a:graphic>
              <a:graphicData uri="http://schemas.openxmlformats.org/drawingml/2006/picture">
                <pic:pic>
                  <pic:nvPicPr>
                    <pic:cNvPr id="0" name="f27.png"/>
                    <pic:cNvPicPr/>
                  </pic:nvPicPr>
                  <pic:blipFill>
                    <a:blip r:embed="rId35"/>
                    <a:stretch>
                      <a:fillRect/>
                    </a:stretch>
                  </pic:blipFill>
                  <pic:spPr>
                    <a:xfrm>
                      <a:off x="0" y="0"/>
                      <a:ext cx="5943600" cy="4804661"/>
                    </a:xfrm>
                    <a:prstGeom prst="rect"/>
                  </pic:spPr>
                </pic:pic>
              </a:graphicData>
            </a:graphic>
          </wp:inline>
        </w:drawing>
      </w:r>
    </w:p>
    <w:p>
      <w:pPr>
        <w:jc w:val="center"/>
      </w:pPr>
      <w:r>
        <w:rPr>
          <w:i/>
          <w:color w:val="333333"/>
          <w:sz w:val="20"/>
        </w:rPr>
        <w:t>FIG. 27 — Fact Unit — confidence and evidence model</w:t>
      </w:r>
    </w:p>
    <w:p>
      <w:r>
        <w:br w:type="page"/>
      </w:r>
    </w:p>
    <w:p>
      <w:pPr>
        <w:jc w:val="center"/>
      </w:pPr>
      <w:r>
        <w:rPr>
          <w:b/>
          <w:sz w:val="24"/>
        </w:rPr>
        <w:t>FIG. 28</w:t>
      </w:r>
    </w:p>
    <w:p>
      <w:pPr>
        <w:jc w:val="center"/>
      </w:pPr>
      <w:r>
        <w:drawing>
          <wp:inline xmlns:a="http://schemas.openxmlformats.org/drawingml/2006/main" xmlns:pic="http://schemas.openxmlformats.org/drawingml/2006/picture">
            <wp:extent cx="5943600" cy="3685163"/>
            <wp:docPr id="28" name="Picture 28"/>
            <wp:cNvGraphicFramePr>
              <a:graphicFrameLocks noChangeAspect="1"/>
            </wp:cNvGraphicFramePr>
            <a:graphic>
              <a:graphicData uri="http://schemas.openxmlformats.org/drawingml/2006/picture">
                <pic:pic>
                  <pic:nvPicPr>
                    <pic:cNvPr id="0" name="f28.png"/>
                    <pic:cNvPicPr/>
                  </pic:nvPicPr>
                  <pic:blipFill>
                    <a:blip r:embed="rId36"/>
                    <a:stretch>
                      <a:fillRect/>
                    </a:stretch>
                  </pic:blipFill>
                  <pic:spPr>
                    <a:xfrm>
                      <a:off x="0" y="0"/>
                      <a:ext cx="5943600" cy="3685163"/>
                    </a:xfrm>
                    <a:prstGeom prst="rect"/>
                  </pic:spPr>
                </pic:pic>
              </a:graphicData>
            </a:graphic>
          </wp:inline>
        </w:drawing>
      </w:r>
    </w:p>
    <w:p>
      <w:pPr>
        <w:jc w:val="center"/>
      </w:pPr>
      <w:r>
        <w:rPr>
          <w:i/>
          <w:color w:val="333333"/>
          <w:sz w:val="20"/>
        </w:rPr>
        <w:t>FIG. 28 — UFCS packet structure — serialized Fact Unit record</w:t>
      </w:r>
    </w:p>
    <w:p>
      <w:r>
        <w:br w:type="page"/>
      </w:r>
    </w:p>
    <w:p>
      <w:pPr>
        <w:jc w:val="center"/>
      </w:pPr>
      <w:r>
        <w:rPr>
          <w:b/>
          <w:sz w:val="24"/>
        </w:rPr>
        <w:t>FIG. 29</w:t>
      </w:r>
    </w:p>
    <w:p>
      <w:pPr>
        <w:jc w:val="center"/>
      </w:pPr>
      <w:r>
        <w:drawing>
          <wp:inline xmlns:a="http://schemas.openxmlformats.org/drawingml/2006/main" xmlns:pic="http://schemas.openxmlformats.org/drawingml/2006/picture">
            <wp:extent cx="5943600" cy="2666627"/>
            <wp:docPr id="29" name="Picture 29"/>
            <wp:cNvGraphicFramePr>
              <a:graphicFrameLocks noChangeAspect="1"/>
            </wp:cNvGraphicFramePr>
            <a:graphic>
              <a:graphicData uri="http://schemas.openxmlformats.org/drawingml/2006/picture">
                <pic:pic>
                  <pic:nvPicPr>
                    <pic:cNvPr id="0" name="f29.png"/>
                    <pic:cNvPicPr/>
                  </pic:nvPicPr>
                  <pic:blipFill>
                    <a:blip r:embed="rId37"/>
                    <a:stretch>
                      <a:fillRect/>
                    </a:stretch>
                  </pic:blipFill>
                  <pic:spPr>
                    <a:xfrm>
                      <a:off x="0" y="0"/>
                      <a:ext cx="5943600" cy="2666627"/>
                    </a:xfrm>
                    <a:prstGeom prst="rect"/>
                  </pic:spPr>
                </pic:pic>
              </a:graphicData>
            </a:graphic>
          </wp:inline>
        </w:drawing>
      </w:r>
    </w:p>
    <w:p>
      <w:pPr>
        <w:jc w:val="center"/>
      </w:pPr>
      <w:r>
        <w:rPr>
          <w:i/>
          <w:color w:val="333333"/>
          <w:sz w:val="20"/>
        </w:rPr>
        <w:t>FIG. 29 — UFCS packet framing — content-addressed block storage</w:t>
      </w:r>
    </w:p>
    <w:p>
      <w:r>
        <w:br w:type="page"/>
      </w:r>
    </w:p>
    <w:p>
      <w:pPr>
        <w:jc w:val="center"/>
      </w:pPr>
      <w:r>
        <w:rPr>
          <w:b/>
          <w:sz w:val="24"/>
        </w:rPr>
        <w:t>FIG. 30</w:t>
      </w:r>
    </w:p>
    <w:p>
      <w:pPr>
        <w:jc w:val="center"/>
      </w:pPr>
      <w:r>
        <w:drawing>
          <wp:inline xmlns:a="http://schemas.openxmlformats.org/drawingml/2006/main" xmlns:pic="http://schemas.openxmlformats.org/drawingml/2006/picture">
            <wp:extent cx="5943600" cy="3998680"/>
            <wp:docPr id="30" name="Picture 30"/>
            <wp:cNvGraphicFramePr>
              <a:graphicFrameLocks noChangeAspect="1"/>
            </wp:cNvGraphicFramePr>
            <a:graphic>
              <a:graphicData uri="http://schemas.openxmlformats.org/drawingml/2006/picture">
                <pic:pic>
                  <pic:nvPicPr>
                    <pic:cNvPr id="0" name="f30.png"/>
                    <pic:cNvPicPr/>
                  </pic:nvPicPr>
                  <pic:blipFill>
                    <a:blip r:embed="rId38"/>
                    <a:stretch>
                      <a:fillRect/>
                    </a:stretch>
                  </pic:blipFill>
                  <pic:spPr>
                    <a:xfrm>
                      <a:off x="0" y="0"/>
                      <a:ext cx="5943600" cy="3998680"/>
                    </a:xfrm>
                    <a:prstGeom prst="rect"/>
                  </pic:spPr>
                </pic:pic>
              </a:graphicData>
            </a:graphic>
          </wp:inline>
        </w:drawing>
      </w:r>
    </w:p>
    <w:p>
      <w:pPr>
        <w:jc w:val="center"/>
      </w:pPr>
      <w:r>
        <w:rPr>
          <w:i/>
          <w:color w:val="333333"/>
          <w:sz w:val="20"/>
        </w:rPr>
        <w:t>FIG. 30 — FQL — query anatomy and worked example</w:t>
      </w:r>
    </w:p>
    <w:p>
      <w:r>
        <w:br w:type="page"/>
      </w:r>
    </w:p>
    <w:p>
      <w:pPr>
        <w:jc w:val="center"/>
      </w:pPr>
      <w:r>
        <w:rPr>
          <w:b/>
          <w:sz w:val="24"/>
        </w:rPr>
        <w:t>FIG. 31</w:t>
      </w:r>
    </w:p>
    <w:p>
      <w:pPr>
        <w:jc w:val="center"/>
      </w:pPr>
      <w:r>
        <w:drawing>
          <wp:inline xmlns:a="http://schemas.openxmlformats.org/drawingml/2006/main" xmlns:pic="http://schemas.openxmlformats.org/drawingml/2006/picture">
            <wp:extent cx="5943600" cy="5748856"/>
            <wp:docPr id="31" name="Picture 31"/>
            <wp:cNvGraphicFramePr>
              <a:graphicFrameLocks noChangeAspect="1"/>
            </wp:cNvGraphicFramePr>
            <a:graphic>
              <a:graphicData uri="http://schemas.openxmlformats.org/drawingml/2006/picture">
                <pic:pic>
                  <pic:nvPicPr>
                    <pic:cNvPr id="0" name="f31.png"/>
                    <pic:cNvPicPr/>
                  </pic:nvPicPr>
                  <pic:blipFill>
                    <a:blip r:embed="rId39"/>
                    <a:stretch>
                      <a:fillRect/>
                    </a:stretch>
                  </pic:blipFill>
                  <pic:spPr>
                    <a:xfrm>
                      <a:off x="0" y="0"/>
                      <a:ext cx="5943600" cy="5748856"/>
                    </a:xfrm>
                    <a:prstGeom prst="rect"/>
                  </pic:spPr>
                </pic:pic>
              </a:graphicData>
            </a:graphic>
          </wp:inline>
        </w:drawing>
      </w:r>
    </w:p>
    <w:p>
      <w:pPr>
        <w:jc w:val="center"/>
      </w:pPr>
      <w:r>
        <w:rPr>
          <w:i/>
          <w:color w:val="333333"/>
          <w:sz w:val="20"/>
        </w:rPr>
        <w:t>FIG. 31 — Advanced Multilingual Pronunciation and Self-Contained Speech (No LLM)</w:t>
      </w:r>
    </w:p>
    <w:p>
      <w:r>
        <w:br w:type="page"/>
      </w:r>
    </w:p>
    <w:p>
      <w:pPr>
        <w:jc w:val="center"/>
      </w:pPr>
      <w:r>
        <w:rPr>
          <w:b/>
          <w:sz w:val="24"/>
        </w:rPr>
        <w:t>FIG. 32</w:t>
      </w:r>
    </w:p>
    <w:p>
      <w:pPr>
        <w:jc w:val="center"/>
      </w:pPr>
      <w:r>
        <w:drawing>
          <wp:inline xmlns:a="http://schemas.openxmlformats.org/drawingml/2006/main" xmlns:pic="http://schemas.openxmlformats.org/drawingml/2006/picture">
            <wp:extent cx="5943600" cy="4171795"/>
            <wp:docPr id="32" name="Picture 32"/>
            <wp:cNvGraphicFramePr>
              <a:graphicFrameLocks noChangeAspect="1"/>
            </wp:cNvGraphicFramePr>
            <a:graphic>
              <a:graphicData uri="http://schemas.openxmlformats.org/drawingml/2006/picture">
                <pic:pic>
                  <pic:nvPicPr>
                    <pic:cNvPr id="0" name="f32.png"/>
                    <pic:cNvPicPr/>
                  </pic:nvPicPr>
                  <pic:blipFill>
                    <a:blip r:embed="rId40"/>
                    <a:stretch>
                      <a:fillRect/>
                    </a:stretch>
                  </pic:blipFill>
                  <pic:spPr>
                    <a:xfrm>
                      <a:off x="0" y="0"/>
                      <a:ext cx="5943600" cy="4171795"/>
                    </a:xfrm>
                    <a:prstGeom prst="rect"/>
                  </pic:spPr>
                </pic:pic>
              </a:graphicData>
            </a:graphic>
          </wp:inline>
        </w:drawing>
      </w:r>
    </w:p>
    <w:p>
      <w:pPr>
        <w:jc w:val="center"/>
      </w:pPr>
      <w:r>
        <w:rPr>
          <w:i/>
          <w:color w:val="333333"/>
          <w:sz w:val="20"/>
        </w:rPr>
        <w:t>FIG. 32 — Permanent Pronunciation and Speech Quality-Control Battery (No LLM)</w:t>
      </w:r>
    </w:p>
    <w:p>
      <w:r>
        <w:br w:type="page"/>
      </w:r>
    </w:p>
    <w:p>
      <w:pPr>
        <w:jc w:val="center"/>
      </w:pPr>
      <w:r>
        <w:rPr>
          <w:b/>
          <w:sz w:val="24"/>
        </w:rPr>
        <w:t>FIG. 33</w:t>
      </w:r>
    </w:p>
    <w:p>
      <w:pPr>
        <w:jc w:val="center"/>
      </w:pPr>
      <w:r>
        <w:drawing>
          <wp:inline xmlns:a="http://schemas.openxmlformats.org/drawingml/2006/main" xmlns:pic="http://schemas.openxmlformats.org/drawingml/2006/picture">
            <wp:extent cx="5943600" cy="5782527"/>
            <wp:docPr id="33" name="Picture 33"/>
            <wp:cNvGraphicFramePr>
              <a:graphicFrameLocks noChangeAspect="1"/>
            </wp:cNvGraphicFramePr>
            <a:graphic>
              <a:graphicData uri="http://schemas.openxmlformats.org/drawingml/2006/picture">
                <pic:pic>
                  <pic:nvPicPr>
                    <pic:cNvPr id="0" name="f33.png"/>
                    <pic:cNvPicPr/>
                  </pic:nvPicPr>
                  <pic:blipFill>
                    <a:blip r:embed="rId41"/>
                    <a:stretch>
                      <a:fillRect/>
                    </a:stretch>
                  </pic:blipFill>
                  <pic:spPr>
                    <a:xfrm>
                      <a:off x="0" y="0"/>
                      <a:ext cx="5943600" cy="5782527"/>
                    </a:xfrm>
                    <a:prstGeom prst="rect"/>
                  </pic:spPr>
                </pic:pic>
              </a:graphicData>
            </a:graphic>
          </wp:inline>
        </w:drawing>
      </w:r>
    </w:p>
    <w:p>
      <w:pPr>
        <w:jc w:val="center"/>
      </w:pPr>
      <w:r>
        <w:rPr>
          <w:i/>
          <w:color w:val="333333"/>
          <w:sz w:val="20"/>
        </w:rPr>
        <w:t>FIG. 33 — LIL — Voiceprint Enrollment and Matching over the Fact-Unit Identity Graph</w:t>
      </w:r>
    </w:p>
    <w:p>
      <w:r>
        <w:br w:type="page"/>
      </w:r>
    </w:p>
    <w:p>
      <w:pPr>
        <w:jc w:val="center"/>
      </w:pPr>
      <w:r>
        <w:rPr>
          <w:b/>
          <w:sz w:val="24"/>
        </w:rPr>
        <w:t>FIG. 34</w:t>
      </w:r>
    </w:p>
    <w:p>
      <w:pPr>
        <w:jc w:val="center"/>
      </w:pPr>
      <w:r>
        <w:drawing>
          <wp:inline xmlns:a="http://schemas.openxmlformats.org/drawingml/2006/main" xmlns:pic="http://schemas.openxmlformats.org/drawingml/2006/picture">
            <wp:extent cx="5943600" cy="4655015"/>
            <wp:docPr id="34" name="Picture 34"/>
            <wp:cNvGraphicFramePr>
              <a:graphicFrameLocks noChangeAspect="1"/>
            </wp:cNvGraphicFramePr>
            <a:graphic>
              <a:graphicData uri="http://schemas.openxmlformats.org/drawingml/2006/picture">
                <pic:pic>
                  <pic:nvPicPr>
                    <pic:cNvPr id="0" name="f34.png"/>
                    <pic:cNvPicPr/>
                  </pic:nvPicPr>
                  <pic:blipFill>
                    <a:blip r:embed="rId42"/>
                    <a:stretch>
                      <a:fillRect/>
                    </a:stretch>
                  </pic:blipFill>
                  <pic:spPr>
                    <a:xfrm>
                      <a:off x="0" y="0"/>
                      <a:ext cx="5943600" cy="4655015"/>
                    </a:xfrm>
                    <a:prstGeom prst="rect"/>
                  </pic:spPr>
                </pic:pic>
              </a:graphicData>
            </a:graphic>
          </wp:inline>
        </w:drawing>
      </w:r>
    </w:p>
    <w:p>
      <w:pPr>
        <w:jc w:val="center"/>
      </w:pPr>
      <w:r>
        <w:rPr>
          <w:i/>
          <w:color w:val="333333"/>
          <w:sz w:val="20"/>
        </w:rPr>
        <w:t>FIG. 34 — LIL — Trust-Gated Voice Authentication with Anti-Spoofing</w:t>
      </w:r>
    </w:p>
    <w:p>
      <w:r>
        <w:br w:type="page"/>
      </w:r>
    </w:p>
    <w:p>
      <w:pPr>
        <w:jc w:val="center"/>
      </w:pPr>
      <w:r>
        <w:rPr>
          <w:b/>
          <w:sz w:val="24"/>
        </w:rPr>
        <w:t>FIG. 35</w:t>
      </w:r>
    </w:p>
    <w:p>
      <w:pPr>
        <w:jc w:val="center"/>
      </w:pPr>
      <w:r>
        <w:drawing>
          <wp:inline xmlns:a="http://schemas.openxmlformats.org/drawingml/2006/main" xmlns:pic="http://schemas.openxmlformats.org/drawingml/2006/picture">
            <wp:extent cx="5943600" cy="5621454"/>
            <wp:docPr id="35" name="Picture 35"/>
            <wp:cNvGraphicFramePr>
              <a:graphicFrameLocks noChangeAspect="1"/>
            </wp:cNvGraphicFramePr>
            <a:graphic>
              <a:graphicData uri="http://schemas.openxmlformats.org/drawingml/2006/picture">
                <pic:pic>
                  <pic:nvPicPr>
                    <pic:cNvPr id="0" name="f35.png"/>
                    <pic:cNvPicPr/>
                  </pic:nvPicPr>
                  <pic:blipFill>
                    <a:blip r:embed="rId43"/>
                    <a:stretch>
                      <a:fillRect/>
                    </a:stretch>
                  </pic:blipFill>
                  <pic:spPr>
                    <a:xfrm>
                      <a:off x="0" y="0"/>
                      <a:ext cx="5943600" cy="5621454"/>
                    </a:xfrm>
                    <a:prstGeom prst="rect"/>
                  </pic:spPr>
                </pic:pic>
              </a:graphicData>
            </a:graphic>
          </wp:inline>
        </w:drawing>
      </w:r>
    </w:p>
    <w:p>
      <w:pPr>
        <w:jc w:val="center"/>
      </w:pPr>
      <w:r>
        <w:rPr>
          <w:i/>
          <w:color w:val="333333"/>
          <w:sz w:val="20"/>
        </w:rPr>
        <w:t>FIG. 35 — UIAS — Pre-Dispute Sealing and Cross-Submission Similarity over the Fact-Unit Le</w:t>
      </w:r>
    </w:p>
    <w:p>
      <w:r>
        <w:br w:type="page"/>
      </w:r>
    </w:p>
    <w:p>
      <w:pPr>
        <w:jc w:val="center"/>
      </w:pPr>
      <w:r>
        <w:rPr>
          <w:b/>
          <w:sz w:val="24"/>
        </w:rPr>
        <w:t>FIG. 36</w:t>
      </w:r>
    </w:p>
    <w:p>
      <w:pPr>
        <w:jc w:val="center"/>
      </w:pPr>
      <w:r>
        <w:drawing>
          <wp:inline xmlns:a="http://schemas.openxmlformats.org/drawingml/2006/main" xmlns:pic="http://schemas.openxmlformats.org/drawingml/2006/picture">
            <wp:extent cx="5943600" cy="4655015"/>
            <wp:docPr id="36" name="Picture 36"/>
            <wp:cNvGraphicFramePr>
              <a:graphicFrameLocks noChangeAspect="1"/>
            </wp:cNvGraphicFramePr>
            <a:graphic>
              <a:graphicData uri="http://schemas.openxmlformats.org/drawingml/2006/picture">
                <pic:pic>
                  <pic:nvPicPr>
                    <pic:cNvPr id="0" name="f36.png"/>
                    <pic:cNvPicPr/>
                  </pic:nvPicPr>
                  <pic:blipFill>
                    <a:blip r:embed="rId44"/>
                    <a:stretch>
                      <a:fillRect/>
                    </a:stretch>
                  </pic:blipFill>
                  <pic:spPr>
                    <a:xfrm>
                      <a:off x="0" y="0"/>
                      <a:ext cx="5943600" cy="4655015"/>
                    </a:xfrm>
                    <a:prstGeom prst="rect"/>
                  </pic:spPr>
                </pic:pic>
              </a:graphicData>
            </a:graphic>
          </wp:inline>
        </w:drawing>
      </w:r>
    </w:p>
    <w:p>
      <w:pPr>
        <w:jc w:val="center"/>
      </w:pPr>
      <w:r>
        <w:rPr>
          <w:i/>
          <w:color w:val="333333"/>
          <w:sz w:val="20"/>
        </w:rPr>
        <w:t>FIG. 36 — UIAS — Signed Proof Package Generation</w:t>
      </w:r>
    </w:p>
    <w:p>
      <w:r>
        <w:br w:type="page"/>
      </w:r>
    </w:p>
    <w:p>
      <w:pPr>
        <w:jc w:val="center"/>
      </w:pPr>
      <w:r>
        <w:rPr>
          <w:b/>
          <w:sz w:val="24"/>
        </w:rPr>
        <w:t>FIG. 37</w:t>
      </w:r>
    </w:p>
    <w:p>
      <w:pPr>
        <w:jc w:val="center"/>
      </w:pPr>
      <w:r>
        <w:drawing>
          <wp:inline xmlns:a="http://schemas.openxmlformats.org/drawingml/2006/main" xmlns:pic="http://schemas.openxmlformats.org/drawingml/2006/picture">
            <wp:extent cx="5943600" cy="5629954"/>
            <wp:docPr id="37" name="Picture 37"/>
            <wp:cNvGraphicFramePr>
              <a:graphicFrameLocks noChangeAspect="1"/>
            </wp:cNvGraphicFramePr>
            <a:graphic>
              <a:graphicData uri="http://schemas.openxmlformats.org/drawingml/2006/picture">
                <pic:pic>
                  <pic:nvPicPr>
                    <pic:cNvPr id="0" name="f37.png"/>
                    <pic:cNvPicPr/>
                  </pic:nvPicPr>
                  <pic:blipFill>
                    <a:blip r:embed="rId45"/>
                    <a:stretch>
                      <a:fillRect/>
                    </a:stretch>
                  </pic:blipFill>
                  <pic:spPr>
                    <a:xfrm>
                      <a:off x="0" y="0"/>
                      <a:ext cx="5943600" cy="5629954"/>
                    </a:xfrm>
                    <a:prstGeom prst="rect"/>
                  </pic:spPr>
                </pic:pic>
              </a:graphicData>
            </a:graphic>
          </wp:inline>
        </w:drawing>
      </w:r>
    </w:p>
    <w:p>
      <w:pPr>
        <w:jc w:val="center"/>
      </w:pPr>
      <w:r>
        <w:rPr>
          <w:i/>
          <w:color w:val="333333"/>
          <w:sz w:val="20"/>
        </w:rPr>
        <w:t>FIG. 37 — PIL — Paralinguistic and Pragmatic Interpretation of an Ingested Voice</w:t>
      </w:r>
    </w:p>
    <w:p>
      <w:r>
        <w:br w:type="page"/>
      </w:r>
    </w:p>
    <w:p>
      <w:pPr>
        <w:jc w:val="center"/>
      </w:pPr>
      <w:r>
        <w:rPr>
          <w:b/>
          <w:sz w:val="24"/>
        </w:rPr>
        <w:t>FIG. 38</w:t>
      </w:r>
    </w:p>
    <w:p>
      <w:pPr>
        <w:jc w:val="center"/>
      </w:pPr>
      <w:r>
        <w:drawing>
          <wp:inline xmlns:a="http://schemas.openxmlformats.org/drawingml/2006/main" xmlns:pic="http://schemas.openxmlformats.org/drawingml/2006/picture">
            <wp:extent cx="5943600" cy="5138234"/>
            <wp:docPr id="38" name="Picture 38"/>
            <wp:cNvGraphicFramePr>
              <a:graphicFrameLocks noChangeAspect="1"/>
            </wp:cNvGraphicFramePr>
            <a:graphic>
              <a:graphicData uri="http://schemas.openxmlformats.org/drawingml/2006/picture">
                <pic:pic>
                  <pic:nvPicPr>
                    <pic:cNvPr id="0" name="f38.png"/>
                    <pic:cNvPicPr/>
                  </pic:nvPicPr>
                  <pic:blipFill>
                    <a:blip r:embed="rId46"/>
                    <a:stretch>
                      <a:fillRect/>
                    </a:stretch>
                  </pic:blipFill>
                  <pic:spPr>
                    <a:xfrm>
                      <a:off x="0" y="0"/>
                      <a:ext cx="5943600" cy="5138234"/>
                    </a:xfrm>
                    <a:prstGeom prst="rect"/>
                  </pic:spPr>
                </pic:pic>
              </a:graphicData>
            </a:graphic>
          </wp:inline>
        </w:drawing>
      </w:r>
    </w:p>
    <w:p>
      <w:pPr>
        <w:jc w:val="center"/>
      </w:pPr>
      <w:r>
        <w:rPr>
          <w:i/>
          <w:color w:val="333333"/>
          <w:sz w:val="20"/>
        </w:rPr>
        <w:t>FIG. 38 — PIL — Human Query Interpretation and Covenant-Bound Answering</w:t>
      </w:r>
    </w:p>
    <w:p>
      <w:r>
        <w:br w:type="page"/>
      </w:r>
    </w:p>
    <w:p>
      <w:pPr>
        <w:jc w:val="center"/>
      </w:pPr>
      <w:r>
        <w:rPr>
          <w:b/>
          <w:sz w:val="24"/>
        </w:rPr>
        <w:t>FIG. 39</w:t>
      </w:r>
    </w:p>
    <w:p>
      <w:pPr>
        <w:jc w:val="center"/>
      </w:pPr>
      <w:r>
        <w:drawing>
          <wp:inline xmlns:a="http://schemas.openxmlformats.org/drawingml/2006/main" xmlns:pic="http://schemas.openxmlformats.org/drawingml/2006/picture">
            <wp:extent cx="5943600" cy="5782527"/>
            <wp:docPr id="39" name="Picture 39"/>
            <wp:cNvGraphicFramePr>
              <a:graphicFrameLocks noChangeAspect="1"/>
            </wp:cNvGraphicFramePr>
            <a:graphic>
              <a:graphicData uri="http://schemas.openxmlformats.org/drawingml/2006/picture">
                <pic:pic>
                  <pic:nvPicPr>
                    <pic:cNvPr id="0" name="f39.png"/>
                    <pic:cNvPicPr/>
                  </pic:nvPicPr>
                  <pic:blipFill>
                    <a:blip r:embed="rId47"/>
                    <a:stretch>
                      <a:fillRect/>
                    </a:stretch>
                  </pic:blipFill>
                  <pic:spPr>
                    <a:xfrm>
                      <a:off x="0" y="0"/>
                      <a:ext cx="5943600" cy="5782527"/>
                    </a:xfrm>
                    <a:prstGeom prst="rect"/>
                  </pic:spPr>
                </pic:pic>
              </a:graphicData>
            </a:graphic>
          </wp:inline>
        </w:drawing>
      </w:r>
    </w:p>
    <w:p>
      <w:pPr>
        <w:jc w:val="center"/>
      </w:pPr>
      <w:r>
        <w:rPr>
          <w:i/>
          <w:color w:val="333333"/>
          <w:sz w:val="20"/>
        </w:rPr>
        <w:t>FIG. 39 — Lecture Query — Ingestion Pipeline</w:t>
      </w:r>
    </w:p>
    <w:p>
      <w:r>
        <w:br w:type="page"/>
      </w:r>
    </w:p>
    <w:p>
      <w:pPr>
        <w:jc w:val="center"/>
      </w:pPr>
      <w:r>
        <w:rPr>
          <w:b/>
          <w:sz w:val="24"/>
        </w:rPr>
        <w:t>FIG. 40</w:t>
      </w:r>
    </w:p>
    <w:p>
      <w:pPr>
        <w:jc w:val="center"/>
      </w:pPr>
      <w:r>
        <w:drawing>
          <wp:inline xmlns:a="http://schemas.openxmlformats.org/drawingml/2006/main" xmlns:pic="http://schemas.openxmlformats.org/drawingml/2006/picture">
            <wp:extent cx="5943600" cy="4977161"/>
            <wp:docPr id="40" name="Picture 40"/>
            <wp:cNvGraphicFramePr>
              <a:graphicFrameLocks noChangeAspect="1"/>
            </wp:cNvGraphicFramePr>
            <a:graphic>
              <a:graphicData uri="http://schemas.openxmlformats.org/drawingml/2006/picture">
                <pic:pic>
                  <pic:nvPicPr>
                    <pic:cNvPr id="0" name="f40.png"/>
                    <pic:cNvPicPr/>
                  </pic:nvPicPr>
                  <pic:blipFill>
                    <a:blip r:embed="rId48"/>
                    <a:stretch>
                      <a:fillRect/>
                    </a:stretch>
                  </pic:blipFill>
                  <pic:spPr>
                    <a:xfrm>
                      <a:off x="0" y="0"/>
                      <a:ext cx="5943600" cy="4977161"/>
                    </a:xfrm>
                    <a:prstGeom prst="rect"/>
                  </pic:spPr>
                </pic:pic>
              </a:graphicData>
            </a:graphic>
          </wp:inline>
        </w:drawing>
      </w:r>
    </w:p>
    <w:p>
      <w:pPr>
        <w:jc w:val="center"/>
      </w:pPr>
      <w:r>
        <w:rPr>
          <w:i/>
          <w:color w:val="333333"/>
          <w:sz w:val="20"/>
        </w:rPr>
        <w:t>FIG. 40 — Lecture Query — The Forever-Linked Lecture Record and Its Querying</w:t>
      </w:r>
    </w:p>
    <w:p>
      <w:r>
        <w:br w:type="page"/>
      </w:r>
    </w:p>
    <w:p>
      <w:pPr>
        <w:jc w:val="center"/>
      </w:pPr>
      <w:r>
        <w:rPr>
          <w:b/>
          <w:sz w:val="24"/>
        </w:rPr>
        <w:t>FIG. 41</w:t>
      </w:r>
    </w:p>
    <w:p>
      <w:pPr>
        <w:jc w:val="center"/>
      </w:pPr>
      <w:r>
        <w:drawing>
          <wp:inline xmlns:a="http://schemas.openxmlformats.org/drawingml/2006/main" xmlns:pic="http://schemas.openxmlformats.org/drawingml/2006/picture">
            <wp:extent cx="5943600" cy="3930185"/>
            <wp:docPr id="41" name="Picture 41"/>
            <wp:cNvGraphicFramePr>
              <a:graphicFrameLocks noChangeAspect="1"/>
            </wp:cNvGraphicFramePr>
            <a:graphic>
              <a:graphicData uri="http://schemas.openxmlformats.org/drawingml/2006/picture">
                <pic:pic>
                  <pic:nvPicPr>
                    <pic:cNvPr id="0" name="f41.png"/>
                    <pic:cNvPicPr/>
                  </pic:nvPicPr>
                  <pic:blipFill>
                    <a:blip r:embed="rId49"/>
                    <a:stretch>
                      <a:fillRect/>
                    </a:stretch>
                  </pic:blipFill>
                  <pic:spPr>
                    <a:xfrm>
                      <a:off x="0" y="0"/>
                      <a:ext cx="5943600" cy="3930185"/>
                    </a:xfrm>
                    <a:prstGeom prst="rect"/>
                  </pic:spPr>
                </pic:pic>
              </a:graphicData>
            </a:graphic>
          </wp:inline>
        </w:drawing>
      </w:r>
    </w:p>
    <w:p>
      <w:pPr>
        <w:jc w:val="center"/>
      </w:pPr>
      <w:r>
        <w:rPr>
          <w:i/>
          <w:color w:val="333333"/>
          <w:sz w:val="20"/>
        </w:rPr>
        <w:t>FIG. 41 — Deterministic Multilingual Acquisition Without a Generative Model</w:t>
      </w:r>
    </w:p>
    <w:p>
      <w:r>
        <w:br w:type="page"/>
      </w:r>
    </w:p>
    <w:p>
      <w:pPr>
        <w:jc w:val="center"/>
      </w:pPr>
      <w:r>
        <w:rPr>
          <w:b/>
          <w:sz w:val="24"/>
        </w:rPr>
        <w:t>FIG. 42</w:t>
      </w:r>
    </w:p>
    <w:p>
      <w:pPr>
        <w:jc w:val="center"/>
      </w:pPr>
      <w:r>
        <w:drawing>
          <wp:inline xmlns:a="http://schemas.openxmlformats.org/drawingml/2006/main" xmlns:pic="http://schemas.openxmlformats.org/drawingml/2006/picture">
            <wp:extent cx="5943600" cy="3608039"/>
            <wp:docPr id="42" name="Picture 42"/>
            <wp:cNvGraphicFramePr>
              <a:graphicFrameLocks noChangeAspect="1"/>
            </wp:cNvGraphicFramePr>
            <a:graphic>
              <a:graphicData uri="http://schemas.openxmlformats.org/drawingml/2006/picture">
                <pic:pic>
                  <pic:nvPicPr>
                    <pic:cNvPr id="0" name="f42.png"/>
                    <pic:cNvPicPr/>
                  </pic:nvPicPr>
                  <pic:blipFill>
                    <a:blip r:embed="rId50"/>
                    <a:stretch>
                      <a:fillRect/>
                    </a:stretch>
                  </pic:blipFill>
                  <pic:spPr>
                    <a:xfrm>
                      <a:off x="0" y="0"/>
                      <a:ext cx="5943600" cy="3608039"/>
                    </a:xfrm>
                    <a:prstGeom prst="rect"/>
                  </pic:spPr>
                </pic:pic>
              </a:graphicData>
            </a:graphic>
          </wp:inline>
        </w:drawing>
      </w:r>
    </w:p>
    <w:p>
      <w:pPr>
        <w:jc w:val="center"/>
      </w:pPr>
      <w:r>
        <w:rPr>
          <w:i/>
          <w:color w:val="333333"/>
          <w:sz w:val="20"/>
        </w:rPr>
        <w:t>FIG. 42 — Dialect Parameter Clusters (DPC) — Declared, Expression-Only Modulation</w:t>
      </w:r>
    </w:p>
    <w:p>
      <w:r>
        <w:br w:type="page"/>
      </w:r>
    </w:p>
    <w:p>
      <w:pPr>
        <w:jc w:val="center"/>
      </w:pPr>
      <w:r>
        <w:rPr>
          <w:b/>
          <w:sz w:val="24"/>
        </w:rPr>
        <w:t>FIG. 43</w:t>
      </w:r>
    </w:p>
    <w:p>
      <w:pPr>
        <w:jc w:val="center"/>
      </w:pPr>
      <w:r>
        <w:drawing>
          <wp:inline xmlns:a="http://schemas.openxmlformats.org/drawingml/2006/main" xmlns:pic="http://schemas.openxmlformats.org/drawingml/2006/picture">
            <wp:extent cx="5943600" cy="3422536"/>
            <wp:docPr id="43" name="Picture 43"/>
            <wp:cNvGraphicFramePr>
              <a:graphicFrameLocks noChangeAspect="1"/>
            </wp:cNvGraphicFramePr>
            <a:graphic>
              <a:graphicData uri="http://schemas.openxmlformats.org/drawingml/2006/picture">
                <pic:pic>
                  <pic:nvPicPr>
                    <pic:cNvPr id="0" name="f43.png"/>
                    <pic:cNvPicPr/>
                  </pic:nvPicPr>
                  <pic:blipFill>
                    <a:blip r:embed="rId51"/>
                    <a:stretch>
                      <a:fillRect/>
                    </a:stretch>
                  </pic:blipFill>
                  <pic:spPr>
                    <a:xfrm>
                      <a:off x="0" y="0"/>
                      <a:ext cx="5943600" cy="3422536"/>
                    </a:xfrm>
                    <a:prstGeom prst="rect"/>
                  </pic:spPr>
                </pic:pic>
              </a:graphicData>
            </a:graphic>
          </wp:inline>
        </w:drawing>
      </w:r>
    </w:p>
    <w:p>
      <w:pPr>
        <w:jc w:val="center"/>
      </w:pPr>
      <w:r>
        <w:rPr>
          <w:i/>
          <w:color w:val="333333"/>
          <w:sz w:val="20"/>
        </w:rPr>
        <w:t>FIG. 43 — Grounded Scene Compilation to an External Generative Media Engine</w:t>
      </w:r>
    </w:p>
    <w:p>
      <w:r>
        <w:br w:type="page"/>
      </w:r>
    </w:p>
    <w:p>
      <w:pPr>
        <w:jc w:val="center"/>
      </w:pPr>
      <w:r>
        <w:rPr>
          <w:b/>
          <w:sz w:val="24"/>
        </w:rPr>
        <w:t>FIG. 44</w:t>
      </w:r>
    </w:p>
    <w:p>
      <w:pPr>
        <w:jc w:val="center"/>
      </w:pPr>
      <w:r>
        <w:drawing>
          <wp:inline xmlns:a="http://schemas.openxmlformats.org/drawingml/2006/main" xmlns:pic="http://schemas.openxmlformats.org/drawingml/2006/picture">
            <wp:extent cx="5943600" cy="3346140"/>
            <wp:docPr id="44" name="Picture 44"/>
            <wp:cNvGraphicFramePr>
              <a:graphicFrameLocks noChangeAspect="1"/>
            </wp:cNvGraphicFramePr>
            <a:graphic>
              <a:graphicData uri="http://schemas.openxmlformats.org/drawingml/2006/picture">
                <pic:pic>
                  <pic:nvPicPr>
                    <pic:cNvPr id="0" name="f44.png"/>
                    <pic:cNvPicPr/>
                  </pic:nvPicPr>
                  <pic:blipFill>
                    <a:blip r:embed="rId52"/>
                    <a:stretch>
                      <a:fillRect/>
                    </a:stretch>
                  </pic:blipFill>
                  <pic:spPr>
                    <a:xfrm>
                      <a:off x="0" y="0"/>
                      <a:ext cx="5943600" cy="3346140"/>
                    </a:xfrm>
                    <a:prstGeom prst="rect"/>
                  </pic:spPr>
                </pic:pic>
              </a:graphicData>
            </a:graphic>
          </wp:inline>
        </w:drawing>
      </w:r>
    </w:p>
    <w:p>
      <w:pPr>
        <w:jc w:val="center"/>
      </w:pPr>
      <w:r>
        <w:rPr>
          <w:i/>
          <w:color w:val="333333"/>
          <w:sz w:val="20"/>
        </w:rPr>
        <w:t>FIG. 44 — Key-Safe External-Service Mediation</w:t>
      </w:r>
    </w:p>
    <w:p>
      <w:r>
        <w:br w:type="page"/>
      </w:r>
    </w:p>
    <w:p>
      <w:pPr>
        <w:jc w:val="center"/>
      </w:pPr>
      <w:r>
        <w:rPr>
          <w:b/>
          <w:sz w:val="24"/>
        </w:rPr>
        <w:t>FIG. 45</w:t>
      </w:r>
    </w:p>
    <w:p>
      <w:pPr>
        <w:jc w:val="center"/>
      </w:pPr>
      <w:r>
        <w:drawing>
          <wp:inline xmlns:a="http://schemas.openxmlformats.org/drawingml/2006/main" xmlns:pic="http://schemas.openxmlformats.org/drawingml/2006/picture">
            <wp:extent cx="5943600" cy="3446966"/>
            <wp:docPr id="45" name="Picture 45"/>
            <wp:cNvGraphicFramePr>
              <a:graphicFrameLocks noChangeAspect="1"/>
            </wp:cNvGraphicFramePr>
            <a:graphic>
              <a:graphicData uri="http://schemas.openxmlformats.org/drawingml/2006/picture">
                <pic:pic>
                  <pic:nvPicPr>
                    <pic:cNvPr id="0" name="f45.png"/>
                    <pic:cNvPicPr/>
                  </pic:nvPicPr>
                  <pic:blipFill>
                    <a:blip r:embed="rId53"/>
                    <a:stretch>
                      <a:fillRect/>
                    </a:stretch>
                  </pic:blipFill>
                  <pic:spPr>
                    <a:xfrm>
                      <a:off x="0" y="0"/>
                      <a:ext cx="5943600" cy="3446966"/>
                    </a:xfrm>
                    <a:prstGeom prst="rect"/>
                  </pic:spPr>
                </pic:pic>
              </a:graphicData>
            </a:graphic>
          </wp:inline>
        </w:drawing>
      </w:r>
    </w:p>
    <w:p>
      <w:pPr>
        <w:jc w:val="center"/>
      </w:pPr>
      <w:r>
        <w:rPr>
          <w:i/>
          <w:color w:val="333333"/>
          <w:sz w:val="20"/>
        </w:rPr>
        <w:t>FIG. 45 — Scene Reconstruction From Prose — Bounded, Silhouette-Protected</w:t>
      </w:r>
    </w:p>
    <w:p>
      <w:r>
        <w:br w:type="page"/>
      </w:r>
    </w:p>
    <w:p>
      <w:pPr>
        <w:jc w:val="center"/>
      </w:pPr>
      <w:r>
        <w:rPr>
          <w:b/>
          <w:sz w:val="24"/>
        </w:rPr>
        <w:t>FIG. 46</w:t>
      </w:r>
    </w:p>
    <w:p>
      <w:pPr>
        <w:jc w:val="center"/>
      </w:pPr>
      <w:r>
        <w:drawing>
          <wp:inline xmlns:a="http://schemas.openxmlformats.org/drawingml/2006/main" xmlns:pic="http://schemas.openxmlformats.org/drawingml/2006/picture">
            <wp:extent cx="5943600" cy="3446966"/>
            <wp:docPr id="46" name="Picture 46"/>
            <wp:cNvGraphicFramePr>
              <a:graphicFrameLocks noChangeAspect="1"/>
            </wp:cNvGraphicFramePr>
            <a:graphic>
              <a:graphicData uri="http://schemas.openxmlformats.org/drawingml/2006/picture">
                <pic:pic>
                  <pic:nvPicPr>
                    <pic:cNvPr id="0" name="f46.png"/>
                    <pic:cNvPicPr/>
                  </pic:nvPicPr>
                  <pic:blipFill>
                    <a:blip r:embed="rId54"/>
                    <a:stretch>
                      <a:fillRect/>
                    </a:stretch>
                  </pic:blipFill>
                  <pic:spPr>
                    <a:xfrm>
                      <a:off x="0" y="0"/>
                      <a:ext cx="5943600" cy="3446966"/>
                    </a:xfrm>
                    <a:prstGeom prst="rect"/>
                  </pic:spPr>
                </pic:pic>
              </a:graphicData>
            </a:graphic>
          </wp:inline>
        </w:drawing>
      </w:r>
    </w:p>
    <w:p>
      <w:pPr>
        <w:jc w:val="center"/>
      </w:pPr>
      <w:r>
        <w:rPr>
          <w:i/>
          <w:color w:val="333333"/>
          <w:sz w:val="20"/>
        </w:rPr>
        <w:t>FIG. 46 — Modular Edition Packaging — Nested Capability Editions</w:t>
      </w:r>
    </w:p>
    <w:p>
      <w:r>
        <w:br w:type="page"/>
      </w:r>
    </w:p>
    <w:p>
      <w:pPr>
        <w:jc w:val="center"/>
      </w:pPr>
      <w:r>
        <w:rPr>
          <w:b/>
          <w:sz w:val="24"/>
        </w:rPr>
        <w:t>FIG. 47</w:t>
      </w:r>
    </w:p>
    <w:p>
      <w:pPr>
        <w:jc w:val="center"/>
      </w:pPr>
      <w:r>
        <w:drawing>
          <wp:inline xmlns:a="http://schemas.openxmlformats.org/drawingml/2006/main" xmlns:pic="http://schemas.openxmlformats.org/drawingml/2006/picture">
            <wp:extent cx="5943600" cy="3446966"/>
            <wp:docPr id="47" name="Picture 47"/>
            <wp:cNvGraphicFramePr>
              <a:graphicFrameLocks noChangeAspect="1"/>
            </wp:cNvGraphicFramePr>
            <a:graphic>
              <a:graphicData uri="http://schemas.openxmlformats.org/drawingml/2006/picture">
                <pic:pic>
                  <pic:nvPicPr>
                    <pic:cNvPr id="0" name="f47.png"/>
                    <pic:cNvPicPr/>
                  </pic:nvPicPr>
                  <pic:blipFill>
                    <a:blip r:embed="rId55"/>
                    <a:stretch>
                      <a:fillRect/>
                    </a:stretch>
                  </pic:blipFill>
                  <pic:spPr>
                    <a:xfrm>
                      <a:off x="0" y="0"/>
                      <a:ext cx="5943600" cy="3446966"/>
                    </a:xfrm>
                    <a:prstGeom prst="rect"/>
                  </pic:spPr>
                </pic:pic>
              </a:graphicData>
            </a:graphic>
          </wp:inline>
        </w:drawing>
      </w:r>
    </w:p>
    <w:p>
      <w:pPr>
        <w:jc w:val="center"/>
      </w:pPr>
      <w:r>
        <w:rPr>
          <w:i/>
          <w:color w:val="333333"/>
          <w:sz w:val="20"/>
        </w:rPr>
        <w:t>FIG. 47 — Version-Independent, Provenance-Continuous Store</w:t>
      </w:r>
    </w:p>
    <w:p>
      <w:r>
        <w:br w:type="page"/>
      </w:r>
    </w:p>
    <w:p>
      <w:pPr>
        <w:jc w:val="center"/>
      </w:pPr>
      <w:r>
        <w:rPr>
          <w:b/>
          <w:sz w:val="24"/>
        </w:rPr>
        <w:t>FIG. 48</w:t>
      </w:r>
    </w:p>
    <w:p>
      <w:pPr>
        <w:jc w:val="center"/>
      </w:pPr>
      <w:r>
        <w:drawing>
          <wp:inline xmlns:a="http://schemas.openxmlformats.org/drawingml/2006/main" xmlns:pic="http://schemas.openxmlformats.org/drawingml/2006/picture">
            <wp:extent cx="5943600" cy="4332157"/>
            <wp:docPr id="48" name="Picture 48"/>
            <wp:cNvGraphicFramePr>
              <a:graphicFrameLocks noChangeAspect="1"/>
            </wp:cNvGraphicFramePr>
            <a:graphic>
              <a:graphicData uri="http://schemas.openxmlformats.org/drawingml/2006/picture">
                <pic:pic>
                  <pic:nvPicPr>
                    <pic:cNvPr id="0" name="f48.png"/>
                    <pic:cNvPicPr/>
                  </pic:nvPicPr>
                  <pic:blipFill>
                    <a:blip r:embed="rId56"/>
                    <a:stretch>
                      <a:fillRect/>
                    </a:stretch>
                  </pic:blipFill>
                  <pic:spPr>
                    <a:xfrm>
                      <a:off x="0" y="0"/>
                      <a:ext cx="5943600" cy="4332157"/>
                    </a:xfrm>
                    <a:prstGeom prst="rect"/>
                  </pic:spPr>
                </pic:pic>
              </a:graphicData>
            </a:graphic>
          </wp:inline>
        </w:drawing>
      </w:r>
    </w:p>
    <w:p>
      <w:pPr>
        <w:jc w:val="center"/>
      </w:pPr>
      <w:r>
        <w:rPr>
          <w:i/>
          <w:color w:val="333333"/>
          <w:sz w:val="20"/>
        </w:rPr>
        <w:t>FIG. 48 — Cited Q&amp;amp;A / ChatBot Application — Citation-or-UNKNOWN End to End</w:t>
      </w:r>
    </w:p>
    <w:p>
      <w:r>
        <w:br w:type="page"/>
      </w:r>
    </w:p>
    <w:p>
      <w:pPr>
        <w:jc w:val="center"/>
      </w:pPr>
      <w:r>
        <w:rPr>
          <w:b/>
          <w:sz w:val="24"/>
        </w:rPr>
        <w:t>FIG. 49</w:t>
      </w:r>
    </w:p>
    <w:p>
      <w:pPr>
        <w:jc w:val="center"/>
      </w:pPr>
      <w:r>
        <w:drawing>
          <wp:inline xmlns:a="http://schemas.openxmlformats.org/drawingml/2006/main" xmlns:pic="http://schemas.openxmlformats.org/drawingml/2006/picture">
            <wp:extent cx="5943600" cy="3092193"/>
            <wp:docPr id="49" name="Picture 49"/>
            <wp:cNvGraphicFramePr>
              <a:graphicFrameLocks noChangeAspect="1"/>
            </wp:cNvGraphicFramePr>
            <a:graphic>
              <a:graphicData uri="http://schemas.openxmlformats.org/drawingml/2006/picture">
                <pic:pic>
                  <pic:nvPicPr>
                    <pic:cNvPr id="0" name="f49.png"/>
                    <pic:cNvPicPr/>
                  </pic:nvPicPr>
                  <pic:blipFill>
                    <a:blip r:embed="rId57"/>
                    <a:stretch>
                      <a:fillRect/>
                    </a:stretch>
                  </pic:blipFill>
                  <pic:spPr>
                    <a:xfrm>
                      <a:off x="0" y="0"/>
                      <a:ext cx="5943600" cy="3092193"/>
                    </a:xfrm>
                    <a:prstGeom prst="rect"/>
                  </pic:spPr>
                </pic:pic>
              </a:graphicData>
            </a:graphic>
          </wp:inline>
        </w:drawing>
      </w:r>
    </w:p>
    <w:p>
      <w:pPr>
        <w:jc w:val="center"/>
      </w:pPr>
      <w:r>
        <w:rPr>
          <w:i/>
          <w:color w:val="333333"/>
          <w:sz w:val="20"/>
        </w:rPr>
        <w:t>FIG. 49 — Application and Deployment Surfaces over the Invariant Core</w:t>
      </w:r>
    </w:p>
    <w:p>
      <w:r>
        <w:br w:type="page"/>
      </w:r>
    </w:p>
    <w:p>
      <w:r>
        <w:rPr>
          <w:color w:val="5A554B"/>
          <w:sz w:val="18"/>
        </w:rPr>
        <w:t>DRAFT — NOT FILED — FOR REVIEW BY QUALIFIED PATENT COUNSEL PRIOR TO FILING. Companion drawings volume to the consolidated QueryBook Provisional Patent Application; figures and numerals are drawn from, and identical to, that application. Finalize to 37 CFR 1.84 before filing.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