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The Fact Unit and the Baconian Feedback Loop</w:t>
      </w:r>
    </w:p>
    <w:p>
      <w:pPr>
        <w:spacing w:after="300"/>
      </w:pPr>
      <w:r>
        <w:rPr>
          <w:i/>
          <w:iCs/>
          <w:color w:val="5F5952"/>
          <w:sz w:val="20"/>
          <w:szCs w:val="20"/>
        </w:rPr>
        <w:t xml:space="preserve">Redrafted definition and design · September 2, 2026 · Draft for review — not yet adopted into the Bible, the provisional, or the overview</w:t>
      </w:r>
    </w:p>
    <w:p>
      <w:pPr>
        <w:pStyle w:val="Heading1"/>
        <w:spacing w:after="170" w:before="340"/>
      </w:pPr>
      <w:r>
        <w:rPr>
          <w:b/>
          <w:bCs/>
          <w:color w:val="1A1714"/>
          <w:sz w:val="30"/>
          <w:szCs w:val="30"/>
        </w:rPr>
        <w:t xml:space="preserve">The Fact Unit — Post-Baconian Definition</w:t>
      </w:r>
    </w:p>
    <w:p>
      <w:pPr>
        <w:spacing w:after="180" w:line="300"/>
      </w:pPr>
      <w:r>
        <w:rPr>
          <w:color w:val="1A1714"/>
          <w:sz w:val="22"/>
          <w:szCs w:val="22"/>
        </w:rPr>
        <w:t xml:space="preserve">This definition does not replace the current canonical definition of the Fact Unit; it includes it whole and makes it more comprehensive. Every field of the definition of record — the FUID, type reference, canonical subject, predicate, and object references, temporal and optional spatial anchors, the evidence-pair confidence value, source-class attribution, provenance reference, semantic fingerprint, modality indication, in-record safety classification and access-control list, typed edges and hyperedge memberships, supersession chain, and derivation marking — remains in force exactly as specified, and every one of them appears below inside the layer it belongs to. What this redraft adds is the organizing structure and the Baconian enrichment: the record read as nine layers, so that the validation metadata the feedback loop accumulates — evidence, stability, alignment, provenance, and rights — is visible as architecture rather than scattered as fields. The semantic identity never changes; everything the loop adds surrounds that identity without touching it. One correction is made to the source material deliberately and is explained in the notes at the end: the Fact Unit is an assertion record, not a concept-node — concepts live above it, in the World-View Model, exactly as the inventor directed — and the ownership layer carries no token-based identity nodes, per the recorded architectural decision.</w:t>
      </w:r>
    </w:p>
    <w:p>
      <w:pPr>
        <w:pStyle w:val="Heading2"/>
        <w:spacing w:after="130" w:before="260"/>
      </w:pPr>
      <w:r>
        <w:rPr>
          <w:b/>
          <w:bCs/>
          <w:color w:val="1A1714"/>
          <w:sz w:val="25"/>
          <w:szCs w:val="25"/>
        </w:rPr>
        <w:t xml:space="preserve">Layer 1 — Core Semantic Identity</w:t>
      </w:r>
    </w:p>
    <w:p>
      <w:pPr>
        <w:spacing w:after="180" w:line="300"/>
      </w:pPr>
      <w:r>
        <w:rPr>
          <w:color w:val="1A1714"/>
          <w:sz w:val="22"/>
          <w:szCs w:val="22"/>
        </w:rPr>
        <w:t xml:space="preserve">The irreducible assertion itself, and the only part of the record that never changes. It comprises the Fact Unit Identifier,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a revision produces a new, linked version rather than modifying the record, which is what lets every other layer accumulate without the identity ever drifting. This is the neuron of the mesh — but it holds an assertion, not a concept; the concept models an assertion contributes to are formed and held in the World-View Model.</w:t>
      </w:r>
    </w:p>
    <w:p>
      <w:pPr>
        <w:pStyle w:val="Heading2"/>
        <w:spacing w:after="130" w:before="260"/>
      </w:pPr>
      <w:r>
        <w:rPr>
          <w:b/>
          <w:bCs/>
          <w:color w:val="1A1714"/>
          <w:sz w:val="25"/>
          <w:szCs w:val="25"/>
        </w:rPr>
        <w:t xml:space="preserve">Layer 2 — Structural Adjacency</w:t>
      </w:r>
    </w:p>
    <w:p>
      <w:pPr>
        <w:spacing w:after="180" w:line="300"/>
      </w:pPr>
      <w:r>
        <w:rPr>
          <w:color w:val="1A1714"/>
          <w:sz w:val="22"/>
          <w:szCs w:val="22"/>
        </w:rPr>
        <w:t xml:space="preserve">The record’s connections: typed, weighted edges to other records, and hyperedge memberships binding sets of records into relations that hold among more than two things. Edge classes are semantic, temporal, editorial, media, and language, each with a registered traversal cost — semantic cheapest because proximity in meaning stays informative across distance, temporal dearest because adjacency in time is weak evidence of relatedness. These are the synapses of the mesh: Hebbian, deterministic, and auditable, strengthened on co-activation through the feedback loop’s participation metadata, and never fitted by gradient descent.</w:t>
      </w:r>
    </w:p>
    <w:p>
      <w:pPr>
        <w:pStyle w:val="Heading2"/>
        <w:spacing w:after="130" w:before="260"/>
      </w:pPr>
      <w:r>
        <w:rPr>
          <w:b/>
          <w:bCs/>
          <w:color w:val="1A1714"/>
          <w:sz w:val="25"/>
          <w:szCs w:val="25"/>
        </w:rPr>
        <w:t xml:space="preserve">Layer 3 — Temporal Stability</w:t>
      </w:r>
    </w:p>
    <w:p>
      <w:pPr>
        <w:spacing w:after="180" w:line="300"/>
      </w:pPr>
      <w:r>
        <w:rPr>
          <w:color w:val="1A1714"/>
          <w:sz w:val="22"/>
          <w:szCs w:val="22"/>
        </w:rPr>
        <w:t xml:space="preserve">Three timestamps are distinguished — when the assertion held, when it was ingested, and when its source was created — and stability is read from them rather than asserted. A supersession chain links each version to the one it replaces, carrying the relation under which it replaces it: a correction, which supersedes, or a restatement, which leaves the prior value true as a record of what was then known. An assertion that persists unrevised across attestations, editions, and consolidation cycles is thereby stable by demonstration; the loop marks stability, it does not declare it.</w:t>
      </w:r>
    </w:p>
    <w:p>
      <w:pPr>
        <w:pStyle w:val="Heading2"/>
        <w:spacing w:after="130" w:before="260"/>
      </w:pPr>
      <w:r>
        <w:rPr>
          <w:b/>
          <w:bCs/>
          <w:color w:val="1A1714"/>
          <w:sz w:val="25"/>
          <w:szCs w:val="25"/>
        </w:rPr>
        <w:t xml:space="preserve">Layer 4 — Edition Differential</w:t>
      </w:r>
    </w:p>
    <w:p>
      <w:pPr>
        <w:spacing w:after="180" w:line="300"/>
      </w:pPr>
      <w:r>
        <w:rPr>
          <w:color w:val="1A1714"/>
          <w:sz w:val="22"/>
          <w:szCs w:val="22"/>
        </w:rPr>
        <w:t xml:space="preserve">How the assertion behaves across editions of its work: present in every edition, present only in some, modified, expanded, compressed, or transformed for another presentation form. Edition version chains carry each difference to the specific record version that changed, so an edition comparison is a traversal of markers rather than a text diff, and alignment across editions converges only below the divergence threshold — a real editorial difference is preserved as a fact, never erased as noise.</w:t>
      </w:r>
    </w:p>
    <w:p>
      <w:pPr>
        <w:pStyle w:val="Heading2"/>
        <w:spacing w:after="130" w:before="260"/>
      </w:pPr>
      <w:r>
        <w:rPr>
          <w:b/>
          <w:bCs/>
          <w:color w:val="1A1714"/>
          <w:sz w:val="25"/>
          <w:szCs w:val="25"/>
        </w:rPr>
        <w:t xml:space="preserve">Layer 5 — Multi-Language Alignment</w:t>
      </w:r>
    </w:p>
    <w:p>
      <w:pPr>
        <w:spacing w:after="180" w:line="300"/>
      </w:pPr>
      <w:r>
        <w:rPr>
          <w:color w:val="1A1714"/>
          <w:sz w:val="22"/>
          <w:szCs w:val="22"/>
        </w:rPr>
        <w:t xml:space="preserve">Cross-language consistency is carried by identity, not by translation memory: the semantic fingerprint makes realizations in any language the same record, parallel language realizations align record-by-record rather than position-by-position, a wording-operative span — a quotation, a statutory phrase, a claim term, a prescribed instruction — is reproduced verbatim in its source language with a separately marked gloss, and an idiom resolves only to a registered equivalent. Deterministic translation is a property of this layer, because regeneration in every language operates on the same assertion under the same groundedness constraint.</w:t>
      </w:r>
    </w:p>
    <w:p>
      <w:pPr>
        <w:pStyle w:val="Heading2"/>
        <w:spacing w:after="130" w:before="260"/>
      </w:pPr>
      <w:r>
        <w:rPr>
          <w:b/>
          <w:bCs/>
          <w:color w:val="1A1714"/>
          <w:sz w:val="25"/>
          <w:szCs w:val="25"/>
        </w:rPr>
        <w:t xml:space="preserve">Layer 6 — Media Provenance</w:t>
      </w:r>
    </w:p>
    <w:p>
      <w:pPr>
        <w:spacing w:after="180" w:line="300"/>
      </w:pPr>
      <w:r>
        <w:rPr>
          <w:color w:val="1A1714"/>
          <w:sz w:val="22"/>
          <w:szCs w:val="22"/>
        </w:rPr>
        <w:t xml:space="preserve">Whether and how media supports the assertion: multimodal attachments — images, diagrams, audio, video, volumetric scenes — each an evidence contribution in its own source class, with corroboration across modalities elevated when observations co-occur within a window narrow enough to indicate a common cause. A transformed asset — compressed, expanded, colourised, restored — carries the provenance of the asset it transformed, and any value the transformation introduced is marked as introduced and is inadmissible as grounding, so media transformations preserve meaning without ever manufacturing evidence.</w:t>
      </w:r>
    </w:p>
    <w:p>
      <w:pPr>
        <w:pStyle w:val="Heading2"/>
        <w:spacing w:after="130" w:before="260"/>
      </w:pPr>
      <w:r>
        <w:rPr>
          <w:b/>
          <w:bCs/>
          <w:color w:val="1A1714"/>
          <w:sz w:val="25"/>
          <w:szCs w:val="25"/>
        </w:rPr>
        <w:t xml:space="preserve">Layer 7 — Observation and Evidence: the Baconian Core</w:t>
      </w:r>
    </w:p>
    <w:p>
      <w:pPr>
        <w:spacing w:after="180" w:line="300"/>
      </w:pPr>
      <w:r>
        <w:rPr>
          <w:color w:val="1A1714"/>
          <w:sz w:val="22"/>
          <w:szCs w:val="22"/>
        </w:rPr>
        <w:t xml:space="preserve">The layer the Baconian feedback loop creates, and the heart of the enriched definition. The confidence value is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The observation count is that weight; observation diversity is computed from the attribution of contributed weight across registered source classes — distinct works, editions, language realizations, modalities, sensors, connectors, and supplemental submissions — as the effective number of contributing classes, so twenty confirmations from one source are distinguishable from twenty spread across five. Contradiction markers are first-class: a conflict enters the persistent contradiction index, and a contradiction too weak to revise is recorded rather than discarded, so a pattern of individually insignificant contradictions remains queryable. Revision history is the version chain itself. Evidence convergence is deterministic throughout — closed-form, order-independent updates with no sampling — which is why the record carries not only how firmly the assertion is held but how much is known about it: two records reporting identical confidence on different quantities or varieties of evidence are distinguishable, which a scalar could never express.</w:t>
      </w:r>
    </w:p>
    <w:p>
      <w:pPr>
        <w:pStyle w:val="Heading2"/>
        <w:spacing w:after="130" w:before="260"/>
      </w:pPr>
      <w:r>
        <w:rPr>
          <w:b/>
          <w:bCs/>
          <w:color w:val="1A1714"/>
          <w:sz w:val="25"/>
          <w:szCs w:val="25"/>
        </w:rPr>
        <w:t xml:space="preserve">Layer 8 — Rights and Ownership</w:t>
      </w:r>
    </w:p>
    <w:p>
      <w:pPr>
        <w:spacing w:after="180" w:line="300"/>
      </w:pPr>
      <w:r>
        <w:rPr>
          <w:color w:val="1A1714"/>
          <w:sz w:val="22"/>
          <w:szCs w:val="22"/>
        </w:rPr>
        <w:t xml:space="preserve">Entitlement is a property of the assertion, not a filter over a result: the safety classification and the access-control list are carried within the record, so no path reaches the assertion without them. Territory, edition, and license scope govern what a requester may reach; keys are scoped per tenant with custody in a hardware boundary where configured; export preserves provenance in an open format; and where an operator elects it for a specific published title, an external, pre-existing blockchain-based ownership-verification service may be consulted for resale, the system acting only as requesting party. Ownership metadata informs entitlement; it does not enter the record as an identity node, and the system operates no token infrastructure — the architectural decision of record.</w:t>
      </w:r>
    </w:p>
    <w:p>
      <w:pPr>
        <w:pStyle w:val="Heading2"/>
        <w:spacing w:after="130" w:before="260"/>
      </w:pPr>
      <w:r>
        <w:rPr>
          <w:b/>
          <w:bCs/>
          <w:color w:val="1A1714"/>
          <w:sz w:val="25"/>
          <w:szCs w:val="25"/>
        </w:rPr>
        <w:t xml:space="preserve">Layer 9 — Deterministic Output</w:t>
      </w:r>
    </w:p>
    <w:p>
      <w:pPr>
        <w:spacing w:after="180" w:line="300"/>
      </w:pPr>
      <w:r>
        <w:rPr>
          <w:color w:val="1A1714"/>
          <w:sz w:val="22"/>
          <w:szCs w:val="22"/>
        </w:rPr>
        <w:t xml:space="preserve">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every answer resolving to the records that produced it and every record to its source through the signed provenance chain. Same query, same context, same corpus state — same answer, on every execution.</w:t>
      </w:r>
    </w:p>
    <w:p>
      <w:pPr>
        <w:pStyle w:val="Heading2"/>
        <w:spacing w:after="130" w:before="260"/>
      </w:pPr>
      <w:r>
        <w:rPr>
          <w:b/>
          <w:bCs/>
          <w:color w:val="1A1714"/>
          <w:sz w:val="25"/>
          <w:szCs w:val="25"/>
        </w:rPr>
        <w:t xml:space="preserve">Master Definition</w:t>
      </w:r>
    </w:p>
    <w:p>
      <w:pPr>
        <w:spacing w:after="180" w:line="300"/>
      </w:pPr>
      <w:r>
        <w:rPr>
          <w:color w:val="1A1714"/>
          <w:sz w:val="22"/>
          <w:szCs w:val="22"/>
        </w:rPr>
        <w:t xml:space="preserve">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QueryBook’s neuromorphic mesh, above which the World-View Model builds its concept models of the world.</w:t>
      </w:r>
    </w:p>
    <w:p>
      <w:pPr>
        <w:pStyle w:val="Heading1"/>
        <w:spacing w:after="170" w:before="340"/>
      </w:pPr>
      <w:r>
        <w:rPr>
          <w:b/>
          <w:bCs/>
          <w:color w:val="1A1714"/>
          <w:sz w:val="30"/>
          <w:szCs w:val="30"/>
        </w:rPr>
        <w:t xml:space="preserve">The Baconian Feedback Loop — Design</w:t>
      </w:r>
    </w:p>
    <w:p>
      <w:pPr>
        <w:spacing w:after="180" w:line="300"/>
      </w:pPr>
      <w:r>
        <w:rPr>
          <w:color w:val="1A1714"/>
          <w:sz w:val="22"/>
          <w:szCs w:val="22"/>
        </w:rPr>
        <w:t xml:space="preserve">The Baconian loop is a critical design feature and is fully supported by the mechanisms already specified; this design states the cycle and binds each stage to its mechanism, so the loop is an architecture, not an aspiration. The cycle is Action, Observation, Measurement, Adjustment, Iteration, and it is inductive, evidence-driven, and convergent: internal structures update only as independent observations accumulate and agree, and nothing the loop does ever alters a record’s semantic identity.</w:t>
      </w:r>
    </w:p>
    <w:p>
      <w:pPr>
        <w:spacing w:after="180" w:line="300"/>
      </w:pPr>
      <w:r>
        <w:rPr>
          <w:color w:val="1A1714"/>
          <w:sz w:val="22"/>
          <w:szCs w:val="22"/>
        </w:rPr>
        <w:t xml:space="preserve">Action and Observation. The system acts — answers, ingests, executes a bounded program, directs registered capture equipment — and observations return through every ingestion modality and through outcome feedback: a delivered response is recorded with its cited records and their confidence at delivery, and a report bearing on it is admitted as a knowledge record attributed to the reporting identity. Feedback is evidence, not correction: no report sets a confidence value, supersedes a record, or removes one.</w:t>
      </w:r>
    </w:p>
    <w:p>
      <w:pPr>
        <w:spacing w:after="180" w:line="300"/>
      </w:pPr>
      <w:r>
        <w:rPr>
          <w:color w:val="1A1714"/>
          <w:sz w:val="22"/>
          <w:szCs w:val="22"/>
        </w:rPr>
        <w:t xml:space="preserve">Measurement. Each observation increments the evidence pair under the stated incrementing rule with fractional weighting: the supporting or contradicting parameter moves by the observation’s source-reliability weight, so an unreliable source contributes fractionally and a reporting identity constitutes a single source class, its hundredth report weighing no more than a report from a hundredth identity. Diversity is measured as the effective number of contributing source classes, and corroboration from a class already dominating the parameters is admitted at reduced weight — Bacon’s requirement of varied rather than merely numerous instances, made arithmetic.</w:t>
      </w:r>
    </w:p>
    <w:p>
      <w:pPr>
        <w:spacing w:after="180" w:line="300"/>
      </w:pPr>
      <w:r>
        <w:rPr>
          <w:color w:val="1A1714"/>
          <w:sz w:val="22"/>
          <w:szCs w:val="22"/>
        </w:rPr>
        <w:t xml:space="preserve">Adjustment. Revision is precision-weighted: the gain on a contradiction is the error’s precision divided by the sum of the error’s and the prior’s precisions, so a blurry single observation against a settled assertion moves it imperceptibly while a well-established contradiction against a weakly held one nearly replaces it; a gain below the configured floor produces no revision, and the withheld contradiction is recorded. A settled assertion therefore resists by arithmetic, not by rule. Adjustment reaches only the layers the loop owns — evidence parameters, adjacency weights, participation metadata, stability and differential markers — and never the semantic core; where evidence demands new content, the loop produces a new linked version, and where an inductive generalization emerges, it meets the diversity floor and the count floor and is emitted as a proposal that only a named human may validate.</w:t>
      </w:r>
    </w:p>
    <w:p>
      <w:pPr>
        <w:spacing w:after="180" w:line="300"/>
      </w:pPr>
      <w:r>
        <w:rPr>
          <w:color w:val="1A1714"/>
          <w:sz w:val="22"/>
          <w:szCs w:val="22"/>
        </w:rPr>
        <w:t xml:space="preserve">Iteration and Convergence. The cycle runs continuously across sessions, editions, languages, and modalities; long-term consolidation compresses concepts and strengthens stable relationships on the gated election, and the convergence dynamics guarantee termination by energy descent. This is the anti-drift, anti-hallucination discipline of the platform: an assertion strengthens only as varied evidence converges on it, weakens in proportion to the precision of what contradicts it, and can never be quietly rewritten — which is what makes the loop the truth-maintenance system of the mesh, and what makes it especially valuable commercially, where conditions change and decisions must absorb new evidence without retraining.</w:t>
      </w:r>
    </w:p>
    <w:p>
      <w:pPr>
        <w:pStyle w:val="Heading1"/>
        <w:spacing w:after="170" w:before="340"/>
      </w:pPr>
      <w:r>
        <w:rPr>
          <w:b/>
          <w:bCs/>
          <w:color w:val="1A1714"/>
          <w:sz w:val="30"/>
          <w:szCs w:val="30"/>
        </w:rPr>
        <w:t xml:space="preserve">Drafting Notes — What Was Corrected From the Source Material, and Why</w:t>
      </w:r>
    </w:p>
    <w:p>
      <w:pPr>
        <w:spacing w:after="180" w:line="300"/>
      </w:pPr>
      <w:r>
        <w:rPr>
          <w:color w:val="1A1714"/>
          <w:sz w:val="22"/>
          <w:szCs w:val="22"/>
        </w:rPr>
        <w:t xml:space="preserve">Three corrections were made in this redraft, each preserving the source’s intent while keeping the architecture consistent with decisions already of record. First, the source’s master definition called the Fact Unit a “concept-node”; this redraft holds it as an assertion record, because the inventor’s standing direction places concepts and models of the world in the World-View Model, not in Fact Units — the nine-layer organization is retained, the naming corrected. Second, the source added NFT ownership tokens and an NFT provenance chain as identity nodes attached to the record; the architecture of record declined a blockchain-based ownership layer, retaining only the optional, per-title external ownership-verification service with the system as requesting party, and Layer 8 is drafted accordingly. Third, the accompanying commentary’s figures — 81 pages, 192 claims, 188 features, and claim numbers 1, 28, 30, 31, and 125 — belong to a different, regenerated application draft, not to the canonical set of 279 features and 341 claims; its substantive amendments are all consistent with canon (the evidence-pair schema in every schema claim, the four scope-description bounds stated together, hyperedge-granularity convergence, and the wording-operative exemption from the generation constraint), and the narrowed claim’s unique contribution — the incrementing rule and fractional weighting — is carried in the Measurement stage above. Reconciling that draft’s claim numbering against the canonical 341 remains the step recorded when the drafts were audited. Adoption path for this redraft: on approval, the post-Baconian definition becomes a Bible section and the overview’s Fact Unit section is conformed; nothing here has been adopted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2026-09-02T17:54:56.964Z</dcterms:created>
  <dcterms:modified xsi:type="dcterms:W3CDTF">2026-09-02T17:54:56.977Z</dcterms:modified>
</cp:coreProperties>
</file>

<file path=docProps/custom.xml><?xml version="1.0" encoding="utf-8"?>
<Properties xmlns="http://schemas.openxmlformats.org/officeDocument/2006/custom-properties" xmlns:vt="http://schemas.openxmlformats.org/officeDocument/2006/docPropsVTypes"/>
</file>