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t xml:space="preserve">QueryBook Lecture Query — Mode Specification</w:t>
      </w:r>
    </w:p>
    <w:p>
      <w:pPr>
        <w:spacing w:after="120"/>
      </w:pPr>
      <w:r>
        <w:rPr>
          <w:b/>
          <w:bCs/>
        </w:rPr>
        <w:t xml:space="preserve">Query-mode specification · v1.0 · 2026-10-02</w:t>
      </w:r>
    </w:p>
    <w:p>
      <w:pPr>
        <w:spacing w:after="120"/>
      </w:pPr>
      <w:r>
        <w:t xml:space="preserve">A new QueryBook </w:t>
      </w:r>
      <w:r>
        <w:rPr>
          <w:b/>
          <w:bCs/>
        </w:rPr>
        <w:t xml:space="preserve">query / interaction mode</w:t>
      </w:r>
      <w:r>
        <w:t xml:space="preserve">, alongside Q&amp;A, Tutorial, and Conversational. In</w:t>
      </w:r>
    </w:p>
    <w:p>
      <w:pPr>
        <w:spacing w:after="120"/>
      </w:pPr>
      <w:r>
        <w:rPr>
          <w:b/>
          <w:bCs/>
        </w:rPr>
        <w:t xml:space="preserve">Lecture Query</w:t>
      </w:r>
      <w:r>
        <w:t xml:space="preserve">, a user submits a </w:t>
      </w:r>
      <w:r>
        <w:rPr>
          <w:b/>
          <w:bCs/>
        </w:rPr>
        <w:t xml:space="preserve">live or recorded audio or video program</w:t>
      </w:r>
      <w:r>
        <w:t xml:space="preserve"> — a talk,</w:t>
      </w:r>
    </w:p>
    <w:p>
      <w:pPr>
        <w:spacing w:after="120"/>
      </w:pPr>
      <w:r>
        <w:t xml:space="preserve">lecture, sermon, briefing, hearing, deposition, panel, or class — and QueryBook **transcribes,</w:t>
      </w:r>
    </w:p>
    <w:p>
      <w:pPr>
        <w:spacing w:after="120"/>
      </w:pPr>
      <w:r>
        <w:t xml:space="preserve">analyzes, summarizes, and ingests</w:t>
      </w:r>
      <w:r>
        <w:rPr>
          <w:b/>
          <w:bCs/>
        </w:rPr>
        <w:t xml:space="preserve"> it into the QueryBook library, </w:t>
      </w:r>
      <w:r>
        <w:t xml:space="preserve">forever linked** to the</w:t>
      </w:r>
    </w:p>
    <w:p>
      <w:pPr>
        <w:spacing w:after="120"/>
      </w:pPr>
      <w:r>
        <w:t xml:space="preserve">speaker, the venue, the event, the organization, and the date. It composes QueryBook's existing</w:t>
      </w:r>
    </w:p>
    <w:p>
      <w:pPr>
        <w:spacing w:after="120"/>
      </w:pPr>
      <w:r>
        <w:t xml:space="preserve">subsystems: the ASR front-end, the Paralinguistic &amp; Pragmatic Interpretation Layer (</w:t>
      </w:r>
      <w:r>
        <w:rPr>
          <w:b/>
          <w:bCs/>
        </w:rPr>
        <w:t xml:space="preserve">PIL</w:t>
      </w:r>
      <w:r>
        <w:t xml:space="preserve">) for</w:t>
      </w:r>
    </w:p>
    <w:p>
      <w:pPr>
        <w:spacing w:after="120"/>
      </w:pPr>
      <w:r>
        <w:t xml:space="preserve">tone and emotion, the Language Expression Layer (</w:t>
      </w:r>
      <w:r>
        <w:rPr>
          <w:b/>
          <w:bCs/>
        </w:rPr>
        <w:t xml:space="preserve">LEL</w:t>
      </w:r>
      <w:r>
        <w:t xml:space="preserve">) for semantic structure, the Language &amp;</w:t>
      </w:r>
    </w:p>
    <w:p>
      <w:pPr>
        <w:spacing w:after="120"/>
      </w:pPr>
      <w:r>
        <w:t xml:space="preserve">Identity Linking (</w:t>
      </w:r>
      <w:r>
        <w:rPr>
          <w:b/>
          <w:bCs/>
        </w:rPr>
        <w:t xml:space="preserve">LIL</w:t>
      </w:r>
      <w:r>
        <w:t xml:space="preserve">) subsystem for speaker/entity linking, and the content-addressed Fact</w:t>
      </w:r>
    </w:p>
    <w:p>
      <w:pPr>
        <w:spacing w:after="120"/>
      </w:pPr>
      <w:r>
        <w:t xml:space="preserve">Unit library. It inherits the QueryBook covenant unchanged.</w:t>
      </w:r>
    </w:p>
    <w:p>
      <w:pPr>
        <w:pBdr>
          <w:left w:val="single" w:color="0C5C4C" w:sz="18" w:space="120"/>
        </w:pBdr>
        <w:shd w:fill="EAF7F0" w:val="clear"/>
        <w:spacing w:after="120" w:before="60"/>
        <w:ind w:left="360"/>
      </w:pPr>
      <w:r>
        <w:rPr>
          <w:b/>
          <w:bCs/>
        </w:rPr>
        <w:t xml:space="preserve">In one line.</w:t>
      </w:r>
      <w:r>
        <w:t xml:space="preserve"> Point QueryBook at a talk; get back a cited, summarized, emotion-and-tone- annotated, permanently-attributed record in the library that anyone can later query — and that can never be silently altered or misattributed.</w:t>
      </w:r>
    </w:p>
    <w:p>
      <w:pPr>
        <w:pBdr>
          <w:bottom w:val="single" w:color="B9C2BC" w:sz="6"/>
        </w:pBdr>
        <w:spacing w:after="160" w:before="80"/>
      </w:pPr>
    </w:p>
    <w:p>
      <w:pPr>
        <w:pStyle w:val="Heading1"/>
        <w:spacing w:after="90" w:before="220"/>
      </w:pPr>
      <w:r>
        <w:t xml:space="preserve">1. Where it fits — a query mode, not a side tool</w:t>
      </w:r>
    </w:p>
    <w:p>
      <w:pPr>
        <w:spacing w:after="120"/>
      </w:pPr>
      <w:r>
        <w:t xml:space="preserve">QueryBook's interaction modes each define how a human engages the one engine: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Mode</w:t>
            </w:r>
          </w:p>
        </w:tc>
        <w:tc>
          <w:tcPr>
            <w:tcW w:type="dxa" w:w="312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The user provides</w:t>
            </w:r>
          </w:p>
        </w:tc>
        <w:tc>
          <w:tcPr>
            <w:tcW w:type="dxa" w:w="312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QueryBook returns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Q&amp;A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a question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a cited answer, or honest UNKNOWN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Tutorial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a topic/goal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a grounded, staged lesson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Conversational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a dialogue turn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a grounded reply with memory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Lecture Query (new)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 live or recorded audio/video program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 transcribed, analyzed, summarized, permanently-ingested and forever-linked lecture record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Lecture Query is the mode that turns *spoken events* into first-class, queryable, attributed</w:t>
      </w:r>
    </w:p>
    <w:p>
      <w:pPr>
        <w:spacing w:after="120"/>
      </w:pPr>
      <w:r>
        <w:t xml:space="preserve">knowledge objects in the QueryBook library.</w:t>
      </w:r>
    </w:p>
    <w:p>
      <w:pPr>
        <w:pStyle w:val="Heading1"/>
        <w:spacing w:after="90" w:before="220"/>
      </w:pPr>
      <w:r>
        <w:t xml:space="preserve">2. What a Lecture Query produces — the Lecture Record</w:t>
      </w:r>
    </w:p>
    <w:p>
      <w:pPr>
        <w:spacing w:after="120"/>
      </w:pPr>
      <w:r>
        <w:t xml:space="preserve">The output is a </w:t>
      </w:r>
      <w:r>
        <w:rPr>
          <w:b/>
          <w:bCs/>
        </w:rPr>
        <w:t xml:space="preserve">Lecture Record</w:t>
      </w:r>
      <w:r>
        <w:t xml:space="preserve">: a content-addressed object in the Fact Unit library comprising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</w:t>
      </w:r>
      <w:r>
        <w:rPr>
          <w:b/>
          <w:bCs/>
        </w:rPr>
        <w:t xml:space="preserve">transcript</w:t>
      </w:r>
      <w:r>
        <w:t xml:space="preserve"> (segmented, speaker-diarized where multiple speakers);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</w:t>
      </w:r>
      <w:r>
        <w:rPr>
          <w:b/>
          <w:bCs/>
        </w:rPr>
        <w:t xml:space="preserve">deterministic summary</w:t>
      </w:r>
      <w:r>
        <w:t xml:space="preserve"> — table of contents, section summaries, key points, and an extracted</w:t>
      </w:r>
    </w:p>
    <w:p>
      <w:pPr>
        <w:spacing w:after="120"/>
      </w:pPr>
      <w:r>
        <w:t xml:space="preserve">  list of </w:t>
      </w:r>
      <w:r>
        <w:rPr>
          <w:b/>
          <w:bCs/>
        </w:rPr>
        <w:t xml:space="preserve">claims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</w:t>
      </w:r>
      <w:r>
        <w:rPr>
          <w:b/>
          <w:bCs/>
        </w:rPr>
        <w:t xml:space="preserve">PIL interpretation track</w:t>
      </w:r>
      <w:r>
        <w:t xml:space="preserve"> — tone, pacing, and labeled arousal/affect estimates over time,</w:t>
      </w:r>
    </w:p>
    <w:p>
      <w:pPr>
        <w:spacing w:after="120"/>
      </w:pPr>
      <w:r>
        <w:t xml:space="preserve">  plus the pragmatic frame (context, perspective, culture, register);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entity links</w:t>
      </w:r>
      <w:r>
        <w:t xml:space="preserve"> — to the </w:t>
      </w:r>
      <w:r>
        <w:rPr>
          <w:b/>
          <w:bCs/>
        </w:rPr>
        <w:t xml:space="preserve">speaker(s)</w:t>
      </w:r>
      <w:r>
        <w:t xml:space="preserve"> (LIL voiceprint/face), the </w:t>
      </w:r>
      <w:r>
        <w:rPr>
          <w:b/>
          <w:bCs/>
        </w:rPr>
        <w:t xml:space="preserve">venue</w:t>
      </w:r>
      <w:r>
        <w:t xml:space="preserve">, the </w:t>
      </w:r>
      <w:r>
        <w:rPr>
          <w:b/>
          <w:bCs/>
        </w:rPr>
        <w:t xml:space="preserve">event</w:t>
      </w:r>
      <w:r>
        <w:t xml:space="preserve">, the</w:t>
      </w:r>
    </w:p>
    <w:p>
      <w:pPr>
        <w:spacing w:after="120"/>
      </w:pPr>
      <w:r>
        <w:t xml:space="preserve">  </w:t>
      </w:r>
      <w:r>
        <w:rPr>
          <w:b/>
          <w:bCs/>
        </w:rPr>
        <w:t xml:space="preserve">organization</w:t>
      </w:r>
      <w:r>
        <w:t xml:space="preserve">, the </w:t>
      </w:r>
      <w:r>
        <w:rPr>
          <w:b/>
          <w:bCs/>
        </w:rPr>
        <w:t xml:space="preserve">date/time</w:t>
      </w:r>
      <w:r>
        <w:t xml:space="preserve">, and any cited works;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provenance</w:t>
      </w:r>
      <w:r>
        <w:t xml:space="preserve"> — content-addressed fingerprints, timestamps, and (optionally) UIAS-style</w:t>
      </w:r>
    </w:p>
    <w:p>
      <w:pPr>
        <w:spacing w:after="120"/>
      </w:pPr>
      <w:r>
        <w:t xml:space="preserve">  pre-dispute sealing of the original program.</w:t>
      </w:r>
    </w:p>
    <w:p>
      <w:pPr>
        <w:spacing w:after="120"/>
      </w:pPr>
      <w:r>
        <w:t xml:space="preserve">Every element is a provenance-tracked Fact Unit, so the Lecture Record is immutable, auditable,</w:t>
      </w:r>
    </w:p>
    <w:p>
      <w:pPr>
        <w:spacing w:after="120"/>
      </w:pPr>
      <w:r>
        <w:t xml:space="preserve">and permanently attributable.</w:t>
      </w:r>
    </w:p>
    <w:p>
      <w:pPr>
        <w:pStyle w:val="Heading1"/>
        <w:spacing w:after="90" w:before="220"/>
      </w:pPr>
      <w:r>
        <w:t xml:space="preserve">3. The pipeline</w:t>
      </w:r>
    </w:p>
    <w:p>
      <w:pPr>
        <w:spacing w:after="40"/>
        <w:ind w:left="360"/>
      </w:pPr>
      <w:r>
        <w:t xml:space="preserve">1. </w:t>
      </w:r>
      <w:r>
        <w:rPr>
          <w:b/>
          <w:bCs/>
        </w:rPr>
        <w:t xml:space="preserve">Capture.</w:t>
      </w:r>
      <w:r>
        <w:t xml:space="preserve"> Accept a </w:t>
      </w:r>
      <w:r>
        <w:rPr>
          <w:b/>
          <w:bCs/>
        </w:rPr>
        <w:t xml:space="preserve">live stream</w:t>
      </w:r>
      <w:r>
        <w:t xml:space="preserve"> or an </w:t>
      </w:r>
      <w:r>
        <w:rPr>
          <w:b/>
          <w:bCs/>
        </w:rPr>
        <w:t xml:space="preserve">uploaded recording</w:t>
      </w:r>
      <w:r>
        <w:t xml:space="preserve">, audio or video. For video,</w:t>
      </w:r>
    </w:p>
    <w:p>
      <w:pPr>
        <w:spacing w:after="120"/>
      </w:pPr>
      <w:r>
        <w:t xml:space="preserve">   the audio track feeds the speech pipeline and the frames feed face detection (LIL). Consent is</w:t>
      </w:r>
    </w:p>
    <w:p>
      <w:pPr>
        <w:spacing w:after="120"/>
      </w:pPr>
      <w:r>
        <w:t xml:space="preserve">   required for speaker biometric linking (LIL consent gate).</w:t>
      </w:r>
    </w:p>
    <w:p>
      <w:pPr>
        <w:spacing w:after="40"/>
        <w:ind w:left="360"/>
      </w:pPr>
      <w:r>
        <w:t xml:space="preserve">2. </w:t>
      </w:r>
      <w:r>
        <w:rPr>
          <w:b/>
          <w:bCs/>
        </w:rPr>
        <w:t xml:space="preserve">Transcribe.</w:t>
      </w:r>
      <w:r>
        <w:t xml:space="preserve"> The open-source ASR front-end produces a time-coded transcript; QueryBook's</w:t>
      </w:r>
    </w:p>
    <w:p>
      <w:pPr>
        <w:spacing w:after="120"/>
      </w:pPr>
      <w:r>
        <w:t xml:space="preserve">   deterministic hygiene normalizes it; speaker diarization segments by speaker. (ASR is</w:t>
      </w:r>
    </w:p>
    <w:p>
      <w:pPr>
        <w:spacing w:after="120"/>
      </w:pPr>
      <w:r>
        <w:t xml:space="preserve">   statistical and is </w:t>
      </w:r>
      <w:r>
        <w:rPr>
          <w:b/>
          <w:bCs/>
        </w:rPr>
        <w:t xml:space="preserve">untrusted input shown for confirmation</w:t>
      </w:r>
      <w:r>
        <w:t xml:space="preserve"> — the honest boundary, as</w:t>
      </w:r>
    </w:p>
    <w:p>
      <w:pPr>
        <w:spacing w:after="120"/>
      </w:pPr>
      <w:r>
        <w:t xml:space="preserve">   elsewhere.)</w:t>
      </w:r>
    </w:p>
    <w:p>
      <w:pPr>
        <w:spacing w:after="40"/>
        <w:ind w:left="360"/>
      </w:pPr>
      <w:r>
        <w:t xml:space="preserve">3. </w:t>
      </w:r>
      <w:r>
        <w:rPr>
          <w:b/>
          <w:bCs/>
        </w:rPr>
        <w:t xml:space="preserve">Analyze.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PIL paralinguistic</w:t>
      </w:r>
      <w:r>
        <w:t xml:space="preserve"> — tone (pitch/register/contour), loudness, </w:t>
      </w:r>
      <w:r>
        <w:rPr>
          <w:b/>
          <w:bCs/>
        </w:rPr>
        <w:t xml:space="preserve">pacing</w:t>
      </w:r>
      <w:r>
        <w:t xml:space="preserve"> (rate, pauses),</w:t>
      </w:r>
    </w:p>
    <w:p>
      <w:pPr>
        <w:spacing w:after="120"/>
      </w:pPr>
      <w:r>
        <w:t xml:space="preserve">     emphasis, and a </w:t>
      </w:r>
      <w:r>
        <w:rPr>
          <w:b/>
          <w:bCs/>
        </w:rPr>
        <w:t xml:space="preserve">labeled arousal/affect estimate</w:t>
      </w:r>
      <w:r>
        <w:t xml:space="preserve">, tracked </w:t>
      </w:r>
      <w:r>
        <w:rPr>
          <w:b/>
          <w:bCs/>
        </w:rPr>
        <w:t xml:space="preserve">over time</w:t>
      </w:r>
      <w:r>
        <w:t xml:space="preserve"> so emotional</w:t>
      </w:r>
    </w:p>
    <w:p>
      <w:pPr>
        <w:spacing w:after="120"/>
      </w:pPr>
      <w:r>
        <w:t xml:space="preserve">     dynamics across the talk are visible (never asserted as the speaker's true feelings).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PIL pragmatic</w:t>
      </w:r>
      <w:r>
        <w:t xml:space="preserve"> — context, perspective, register, culture frame (sourced packs).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LEL semantic</w:t>
      </w:r>
      <w:r>
        <w:t xml:space="preserve"> — topic segmentation, discourse structure, and extraction of the talk's</w:t>
      </w:r>
    </w:p>
    <w:p>
      <w:pPr>
        <w:spacing w:after="120"/>
      </w:pPr>
      <w:r>
        <w:t xml:space="preserve">     claims and key points.</w:t>
      </w:r>
    </w:p>
    <w:p>
      <w:pPr>
        <w:spacing w:after="40"/>
        <w:ind w:left="360"/>
      </w:pPr>
      <w:r>
        <w:t xml:space="preserve">4. </w:t>
      </w:r>
      <w:r>
        <w:rPr>
          <w:b/>
          <w:bCs/>
        </w:rPr>
        <w:t xml:space="preserve">Summarize (deterministic).</w:t>
      </w:r>
      <w:r>
        <w:t xml:space="preserve"> Build a table of contents, per-section extractive summaries,</w:t>
      </w:r>
    </w:p>
    <w:p>
      <w:pPr>
        <w:spacing w:after="120"/>
      </w:pPr>
      <w:r>
        <w:t xml:space="preserve">   key points, and a </w:t>
      </w:r>
      <w:r>
        <w:rPr>
          <w:b/>
          <w:bCs/>
        </w:rPr>
        <w:t xml:space="preserve">claim list</w:t>
      </w:r>
      <w:r>
        <w:t xml:space="preserve">. Any LLM used to phrase the summary is a **non-asserting</w:t>
      </w:r>
    </w:p>
    <w:p>
      <w:pPr>
        <w:spacing w:after="120"/>
      </w:pPr>
      <w:r>
        <w:t xml:space="preserve">   proposer** over already-extracted content; it never adds facts.</w:t>
      </w:r>
    </w:p>
    <w:p>
      <w:pPr>
        <w:spacing w:after="40"/>
        <w:ind w:left="360"/>
      </w:pPr>
      <w:r>
        <w:t xml:space="preserve">5. </w:t>
      </w:r>
      <w:r>
        <w:rPr>
          <w:b/>
          <w:bCs/>
        </w:rPr>
        <w:t xml:space="preserve">Ingest.</w:t>
      </w:r>
      <w:r>
        <w:t xml:space="preserve"> Write the Lecture Record into the QueryBook library as Fact Units. **Claims are</w:t>
      </w:r>
    </w:p>
    <w:p>
      <w:pPr>
        <w:spacing w:after="120"/>
      </w:pPr>
      <w:r>
        <w:t xml:space="preserve">   stored as attributed utterance facts** (§5), not as world-truth.</w:t>
      </w:r>
    </w:p>
    <w:p>
      <w:pPr>
        <w:spacing w:after="40"/>
        <w:ind w:left="360"/>
      </w:pPr>
      <w:r>
        <w:t xml:space="preserve">6. </w:t>
      </w:r>
      <w:r>
        <w:rPr>
          <w:b/>
          <w:bCs/>
        </w:rPr>
        <w:t xml:space="preserve">Forever-link.</w:t>
      </w:r>
      <w:r>
        <w:t xml:space="preserve"> Bind the record to the </w:t>
      </w:r>
      <w:r>
        <w:rPr>
          <w:b/>
          <w:bCs/>
        </w:rPr>
        <w:t xml:space="preserve">speaker</w:t>
      </w:r>
      <w:r>
        <w:t xml:space="preserve"> (LIL identity — voiceprint and, for video,</w:t>
      </w:r>
    </w:p>
    <w:p>
      <w:pPr>
        <w:spacing w:after="120"/>
      </w:pPr>
      <w:r>
        <w:t xml:space="preserve">   face), the </w:t>
      </w:r>
      <w:r>
        <w:rPr>
          <w:b/>
          <w:bCs/>
        </w:rPr>
        <w:t xml:space="preserve">venue</w:t>
      </w:r>
      <w:r>
        <w:t xml:space="preserve">, </w:t>
      </w:r>
      <w:r>
        <w:rPr>
          <w:b/>
          <w:bCs/>
        </w:rPr>
        <w:t xml:space="preserve">event</w:t>
      </w:r>
      <w:r>
        <w:t xml:space="preserve">, </w:t>
      </w:r>
      <w:r>
        <w:rPr>
          <w:b/>
          <w:bCs/>
        </w:rPr>
        <w:t xml:space="preserve">organization</w:t>
      </w:r>
      <w:r>
        <w:t xml:space="preserve">, and </w:t>
      </w:r>
      <w:r>
        <w:rPr>
          <w:b/>
          <w:bCs/>
        </w:rPr>
        <w:t xml:space="preserve">date</w:t>
      </w:r>
      <w:r>
        <w:t xml:space="preserve"> as provenance-tracked,</w:t>
      </w:r>
    </w:p>
    <w:p>
      <w:pPr>
        <w:spacing w:after="120"/>
      </w:pPr>
      <w:r>
        <w:t xml:space="preserve">   trust-gated entity links, immutable by content addressing.</w:t>
      </w:r>
    </w:p>
    <w:p>
      <w:pPr>
        <w:pStyle w:val="Heading1"/>
        <w:spacing w:after="90" w:before="220"/>
      </w:pPr>
      <w:r>
        <w:t xml:space="preserve">4. Forever-linked to speaker, venue, event (LIL)</w:t>
      </w:r>
    </w:p>
    <w:p>
      <w:pPr>
        <w:spacing w:after="120"/>
      </w:pPr>
      <w:r>
        <w:t xml:space="preserve">The Lecture Record is attached in the Fact Unit identity graph to: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Speaker(s)</w:t>
      </w:r>
      <w:r>
        <w:t xml:space="preserve"> — via LIL: a voiceprint (and face, for video), trust-gated (VERIFIED /</w:t>
      </w:r>
    </w:p>
    <w:p>
      <w:pPr>
        <w:spacing w:after="120"/>
      </w:pPr>
      <w:r>
        <w:t xml:space="preserve">  CONTRADICTED / UNKNOWN); the same speaker across many lectures resolves to one person, so</w:t>
      </w:r>
    </w:p>
    <w:p>
      <w:pPr>
        <w:spacing w:after="120"/>
      </w:pPr>
      <w:r>
        <w:t xml:space="preserve">  QueryBook accrues a speaker's corpus over time.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Venue, Event, Organization, Date/Time</w:t>
      </w:r>
      <w:r>
        <w:t xml:space="preserve"> — as entities, each link a sourced Fact Unit.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Cited works / referenced entities</w:t>
      </w:r>
      <w:r>
        <w:t xml:space="preserve"> — resolved via LEL cross-script entity resolution.</w:t>
      </w:r>
    </w:p>
    <w:p>
      <w:pPr>
        <w:spacing w:after="120"/>
      </w:pPr>
      <w:r>
        <w:t xml:space="preserve">"Forever linked" is literal: the links are **content-addressed, immutable, and provenance-</w:t>
      </w:r>
    </w:p>
    <w:p>
      <w:pPr>
        <w:spacing w:after="120"/>
      </w:pPr>
      <w:r>
        <w:t xml:space="preserve">tracked**. The record cannot be silently altered (tamper-evident), and the speaker cannot be</w:t>
      </w:r>
    </w:p>
    <w:p>
      <w:pPr>
        <w:spacing w:after="120"/>
      </w:pPr>
      <w:r>
        <w:t xml:space="preserve">silently mis-attributed (trust-gated — an uncertain identity is UNKNOWN, not a guess).</w:t>
      </w:r>
    </w:p>
    <w:p>
      <w:pPr>
        <w:pStyle w:val="Heading1"/>
        <w:spacing w:after="90" w:before="220"/>
      </w:pPr>
      <w:r>
        <w:t xml:space="preserve">5. The covenant for Lecture Query (what keeps it honest)</w:t>
      </w:r>
    </w:p>
    <w:p>
      <w:pPr>
        <w:spacing w:after="120"/>
      </w:pPr>
      <w:r>
        <w:t xml:space="preserve">A lecture is a special kind of source: it is </w:t>
      </w:r>
      <w:r>
        <w:rPr>
          <w:b/>
          <w:bCs/>
        </w:rPr>
        <w:t xml:space="preserve">what someone said</w:t>
      </w:r>
      <w:r>
        <w:t xml:space="preserve">, which is not the same as</w:t>
      </w:r>
    </w:p>
    <w:p>
      <w:pPr>
        <w:spacing w:after="120"/>
      </w:pPr>
      <w:r>
        <w:rPr>
          <w:b/>
          <w:bCs/>
        </w:rPr>
        <w:t xml:space="preserve">what is true</w:t>
      </w:r>
      <w:r>
        <w:t xml:space="preserve">. The mode is built around that distinction.</w:t>
      </w:r>
    </w:p>
    <w:p>
      <w:pPr>
        <w:spacing w:after="40"/>
        <w:ind w:left="360"/>
      </w:pPr>
      <w:r>
        <w:t xml:space="preserve">1. </w:t>
      </w:r>
      <w:r>
        <w:rPr>
          <w:b/>
          <w:bCs/>
        </w:rPr>
        <w:t xml:space="preserve">Claims are attributed, not asserted.</w:t>
      </w:r>
      <w:r>
        <w:t xml:space="preserve"> A claim extracted from a lecture is stored as an</w:t>
      </w:r>
    </w:p>
    <w:p>
      <w:pPr>
        <w:spacing w:after="120"/>
      </w:pPr>
      <w:r>
        <w:t xml:space="preserve">   </w:t>
      </w:r>
      <w:r>
        <w:rPr>
          <w:b/>
          <w:bCs/>
        </w:rPr>
        <w:t xml:space="preserve">attributed utterance fact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per &lt;speaker&gt; at &lt;event&gt; on &lt;date&gt; · asserted · &lt;claim&gt;</w:t>
      </w:r>
      <w:r>
        <w:t xml:space="preserve"> —</w:t>
      </w:r>
    </w:p>
    <w:p>
      <w:pPr>
        <w:spacing w:after="120"/>
      </w:pPr>
      <w:r>
        <w:t xml:space="preserve">   with the lecture as its source. QueryBook never promotes a lecture claim to world-truth on the</w:t>
      </w:r>
    </w:p>
    <w:p>
      <w:pPr>
        <w:spacing w:after="120"/>
      </w:pPr>
      <w:r>
        <w:t xml:space="preserve">   strength of its being said.</w:t>
      </w:r>
    </w:p>
    <w:p>
      <w:pPr>
        <w:spacing w:after="40"/>
        <w:ind w:left="360"/>
      </w:pPr>
      <w:r>
        <w:t xml:space="preserve">2. </w:t>
      </w:r>
      <w:r>
        <w:rPr>
          <w:b/>
          <w:bCs/>
        </w:rPr>
        <w:t xml:space="preserve">Then it can be verified.</w:t>
      </w:r>
      <w:r>
        <w:t xml:space="preserve"> Because the claim is a sourced Fact Unit, QueryBook can gate it</w:t>
      </w:r>
    </w:p>
    <w:p>
      <w:pPr>
        <w:spacing w:after="120"/>
      </w:pPr>
      <w:r>
        <w:t xml:space="preserve">   against the rest of the library — </w:t>
      </w:r>
      <w:r>
        <w:rPr>
          <w:b/>
          <w:bCs/>
        </w:rPr>
        <w:t xml:space="preserve">corroborated</w:t>
      </w:r>
      <w:r>
        <w:t xml:space="preserve">, </w:t>
      </w:r>
      <w:r>
        <w:rPr>
          <w:b/>
          <w:bCs/>
        </w:rPr>
        <w:t xml:space="preserve">contradicted</w:t>
      </w:r>
      <w:r>
        <w:t xml:space="preserve">, or </w:t>
      </w:r>
      <w:r>
        <w:rPr>
          <w:b/>
          <w:bCs/>
        </w:rPr>
        <w:t xml:space="preserve">open</w:t>
      </w:r>
      <w:r>
        <w:t xml:space="preserve"> — so a later</w:t>
      </w:r>
    </w:p>
    <w:p>
      <w:pPr>
        <w:spacing w:after="120"/>
      </w:pPr>
      <w:r>
        <w:t xml:space="preserve">   Q&amp;A can answer "Dr. X claimed Y, which the store corroborates / contradicts," with citations.</w:t>
      </w:r>
    </w:p>
    <w:p>
      <w:pPr>
        <w:spacing w:after="40"/>
        <w:ind w:left="360"/>
      </w:pPr>
      <w:r>
        <w:t xml:space="preserve">3. </w:t>
      </w:r>
      <w:r>
        <w:rPr>
          <w:b/>
          <w:bCs/>
        </w:rPr>
        <w:t xml:space="preserve">Emotion and tone are labeled estimates.</w:t>
      </w:r>
      <w:r>
        <w:t xml:space="preserve"> The PIL track is measured signal + labeled</w:t>
      </w:r>
    </w:p>
    <w:p>
      <w:pPr>
        <w:spacing w:after="120"/>
      </w:pPr>
      <w:r>
        <w:t xml:space="preserve">   estimates, never a claim about the speaker's true feelings.</w:t>
      </w:r>
    </w:p>
    <w:p>
      <w:pPr>
        <w:spacing w:after="40"/>
        <w:ind w:left="360"/>
      </w:pPr>
      <w:r>
        <w:t xml:space="preserve">4. </w:t>
      </w:r>
      <w:r>
        <w:rPr>
          <w:b/>
          <w:bCs/>
        </w:rPr>
        <w:t xml:space="preserve">Speaker identity is trust-gated.</w:t>
      </w:r>
      <w:r>
        <w:t xml:space="preserve"> LIL asserts a speaker link only above threshold; otherwise</w:t>
      </w:r>
    </w:p>
    <w:p>
      <w:pPr>
        <w:spacing w:after="120"/>
      </w:pPr>
      <w:r>
        <w:t xml:space="preserve">   UNKNOWN. No fabricated attribution.</w:t>
      </w:r>
    </w:p>
    <w:p>
      <w:pPr>
        <w:spacing w:after="40"/>
        <w:ind w:left="360"/>
      </w:pPr>
      <w:r>
        <w:t xml:space="preserve">5. </w:t>
      </w:r>
      <w:r>
        <w:rPr>
          <w:b/>
          <w:bCs/>
        </w:rPr>
        <w:t xml:space="preserve">Transcription is untrusted input.</w:t>
      </w:r>
      <w:r>
        <w:t xml:space="preserve"> The ASR transcript is shown for confirmation/correction;</w:t>
      </w:r>
    </w:p>
    <w:p>
      <w:pPr>
        <w:spacing w:after="120"/>
      </w:pPr>
      <w:r>
        <w:t xml:space="preserve">   low-confidence spans are marked. The promise is "we never fabricate a claim or an attribution,"</w:t>
      </w:r>
    </w:p>
    <w:p>
      <w:pPr>
        <w:spacing w:after="120"/>
      </w:pPr>
      <w:r>
        <w:t xml:space="preserve">   not "the microphone was perfect."</w:t>
      </w:r>
    </w:p>
    <w:p>
      <w:pPr>
        <w:spacing w:after="40"/>
        <w:ind w:left="360"/>
      </w:pPr>
      <w:r>
        <w:t xml:space="preserve">6. </w:t>
      </w:r>
      <w:r>
        <w:rPr>
          <w:b/>
          <w:bCs/>
        </w:rPr>
        <w:t xml:space="preserve">Consent &amp; privacy.</w:t>
      </w:r>
      <w:r>
        <w:t xml:space="preserve"> Speaker biometric linking requires consent (LIL consent gate); the</w:t>
      </w:r>
    </w:p>
    <w:p>
      <w:pPr>
        <w:spacing w:after="120"/>
      </w:pPr>
      <w:r>
        <w:t xml:space="preserve">   original media is retained only as consented, and may be UIAS-sealed for integrity without</w:t>
      </w:r>
    </w:p>
    <w:p>
      <w:pPr>
        <w:spacing w:after="120"/>
      </w:pPr>
      <w:r>
        <w:t xml:space="preserve">   exposing content.</w:t>
      </w:r>
    </w:p>
    <w:p>
      <w:pPr>
        <w:pStyle w:val="Heading1"/>
        <w:spacing w:after="90" w:before="220"/>
      </w:pPr>
      <w:r>
        <w:t xml:space="preserve">6. Querying the library afterward</w:t>
      </w:r>
    </w:p>
    <w:p>
      <w:pPr>
        <w:spacing w:after="120"/>
      </w:pPr>
      <w:r>
        <w:t xml:space="preserve">Once ingested, the Lecture Record is a first-class, queryable object. Via FQL / Q&amp;A a user can ask: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"What did </w:t>
      </w:r>
      <w:r>
        <w:rPr>
          <w:b/>
          <w:bCs/>
        </w:rPr>
        <w:t xml:space="preserve">Dr. X</w:t>
      </w:r>
      <w:r>
        <w:t xml:space="preserve"> say about </w:t>
      </w:r>
      <w:r>
        <w:rPr>
          <w:b/>
          <w:bCs/>
        </w:rPr>
        <w:t xml:space="preserve">topic Y</w:t>
      </w:r>
      <w:r>
        <w:t xml:space="preserve"> at the </w:t>
      </w:r>
      <w:r>
        <w:rPr>
          <w:b/>
          <w:bCs/>
        </w:rPr>
        <w:t xml:space="preserve">2026 Summit</w:t>
      </w:r>
      <w:r>
        <w:t xml:space="preserve">?" → cited passages, attributed.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"Where did </w:t>
      </w:r>
      <w:r>
        <w:rPr>
          <w:b/>
          <w:bCs/>
        </w:rPr>
        <w:t xml:space="preserve">Speaker A</w:t>
      </w:r>
      <w:r>
        <w:t xml:space="preserve"> and </w:t>
      </w:r>
      <w:r>
        <w:rPr>
          <w:b/>
          <w:bCs/>
        </w:rPr>
        <w:t xml:space="preserve">Speaker B</w:t>
      </w:r>
      <w:r>
        <w:t xml:space="preserve"> </w:t>
      </w:r>
      <w:r>
        <w:rPr>
          <w:b/>
          <w:bCs/>
        </w:rPr>
        <w:t xml:space="preserve">disagree</w:t>
      </w:r>
      <w:r>
        <w:t xml:space="preserve">?" → contradiction across attributed</w:t>
      </w:r>
    </w:p>
    <w:p>
      <w:pPr>
        <w:spacing w:after="120"/>
      </w:pPr>
      <w:r>
        <w:t xml:space="preserve">  claims.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"How did the speaker's </w:t>
      </w:r>
      <w:r>
        <w:rPr>
          <w:b/>
          <w:bCs/>
        </w:rPr>
        <w:t xml:space="preserve">tone and pacing</w:t>
      </w:r>
      <w:r>
        <w:t xml:space="preserve"> change during the Q&amp;A?" → the PIL track over time.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"Show every lecture by this speaker at this </w:t>
      </w:r>
      <w:r>
        <w:rPr>
          <w:b/>
          <w:bCs/>
        </w:rPr>
        <w:t xml:space="preserve">venue</w:t>
      </w:r>
      <w:r>
        <w:t xml:space="preserve">." → the forever-links resolved.</w:t>
      </w:r>
    </w:p>
    <w:p>
      <w:pPr>
        <w:spacing w:after="120"/>
      </w:pPr>
      <w:r>
        <w:t xml:space="preserve">Answers are composed under the covenant: cited to the Lecture Record, attributed to the speaker,</w:t>
      </w:r>
    </w:p>
    <w:p>
      <w:pPr>
        <w:spacing w:after="120"/>
      </w:pPr>
      <w:r>
        <w:t xml:space="preserve">and refused where unknown.</w:t>
      </w:r>
    </w:p>
    <w:p>
      <w:pPr>
        <w:pStyle w:val="Heading1"/>
        <w:spacing w:after="90" w:before="220"/>
      </w:pPr>
      <w:r>
        <w:t xml:space="preserve">7. Architecture &amp; grounded agents</w:t>
      </w:r>
    </w:p>
    <w:p>
      <w:pPr>
        <w:spacing w:after="120"/>
      </w:pPr>
      <w:r>
        <w:t xml:space="preserve">Lecture Query runs as a pipeline of grounded QueryBook agents on the AgentManager, reusing the</w:t>
      </w:r>
    </w:p>
    <w:p>
      <w:pPr>
        <w:spacing w:after="120"/>
      </w:pPr>
      <w:r>
        <w:t xml:space="preserve">UIAS ingestion path and the LIL/PIL subsystems: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Live/recorded A/V → [ Capture + consent ] → [ ASR transcription + diarization ]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       │                                              │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       │ (video frames → LIL face)                    ▼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       │                               [ PIL analysis: tone/emotion/pacing + pragmatic frame ]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       │                               [ LEL: segment · structure · extract claims/key points ]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       ▼                                              ▼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[ LIL speaker/entity linking ] ───────► [ Deterministic summary: TOC · key points · claims ]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       │                                              ▼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       └──────────────► [ Ingest as LECTURE RECORD → Fact Unit library ]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forever-links: speaker · venue · event · org · date (immutable, provenance)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claims = attributed utterance facts (gate-verifiable); PIL track; optional UIAS seal</w:t>
      </w:r>
    </w:p>
    <w:p>
      <w:pPr>
        <w:spacing w:after="120"/>
      </w:pPr>
    </w:p>
    <w:p>
      <w:pPr>
        <w:pStyle w:val="Heading1"/>
        <w:spacing w:after="90" w:before="220"/>
      </w:pPr>
      <w:r>
        <w:t xml:space="preserve">8. Status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Composed from built + specified parts.</w:t>
      </w:r>
      <w:r>
        <w:t xml:space="preserve"> The Fact Unit library, ingestion, LEL semantic</w:t>
      </w:r>
    </w:p>
    <w:p>
      <w:pPr>
        <w:spacing w:after="120"/>
      </w:pPr>
      <w:r>
        <w:t xml:space="preserve">  grounding, and the deterministic summary primitives are </w:t>
      </w:r>
      <w:r>
        <w:rPr>
          <w:b/>
          <w:bCs/>
        </w:rPr>
        <w:t xml:space="preserve">built</w:t>
      </w:r>
      <w:r>
        <w:t xml:space="preserve">; the acoustic PIL (tone/</w:t>
      </w:r>
    </w:p>
    <w:p>
      <w:pPr>
        <w:spacing w:after="120"/>
      </w:pPr>
      <w:r>
        <w:t xml:space="preserve">  pacing/arousal) is </w:t>
      </w:r>
      <w:r>
        <w:rPr>
          <w:b/>
          <w:bCs/>
        </w:rPr>
        <w:t xml:space="preserve">built</w:t>
      </w:r>
      <w:r>
        <w:t xml:space="preserve"> (Voice Lab); ASR, diarization, the full pragmatic stack, and LIL</w:t>
      </w:r>
    </w:p>
    <w:p>
      <w:pPr>
        <w:spacing w:after="120"/>
      </w:pPr>
      <w:r>
        <w:t xml:space="preserve">  speaker/face linking are </w:t>
      </w:r>
      <w:r>
        <w:rPr>
          <w:b/>
          <w:bCs/>
        </w:rPr>
        <w:t xml:space="preserve">specified</w:t>
      </w:r>
      <w:r>
        <w:t xml:space="preserve">. Lecture Query as a packaged mode is </w:t>
      </w:r>
      <w:r>
        <w:rPr>
          <w:b/>
          <w:bCs/>
        </w:rPr>
        <w:t xml:space="preserve">SPEC/design</w:t>
      </w:r>
      <w:r>
        <w:t xml:space="preserve"> that</w:t>
      </w:r>
    </w:p>
    <w:p>
      <w:pPr>
        <w:spacing w:after="120"/>
      </w:pPr>
      <w:r>
        <w:t xml:space="preserve">  orchestrates these.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Honest boundary unchanged: ASR and acoustic estimates are statistical; the attribution, gating,</w:t>
      </w:r>
    </w:p>
    <w:p>
      <w:pPr>
        <w:spacing w:after="120"/>
      </w:pPr>
      <w:r>
        <w:t xml:space="preserve">  provenance, and forever-links are deterministic and auditable.</w:t>
      </w:r>
    </w:p>
    <w:p>
      <w:pPr>
        <w:pStyle w:val="Heading1"/>
        <w:spacing w:after="90" w:before="220"/>
      </w:pPr>
      <w:r>
        <w:t xml:space="preserve">9. Integration with the QueryBook canon</w:t>
      </w:r>
    </w:p>
    <w:p>
      <w:pPr>
        <w:spacing w:after="120"/>
      </w:pPr>
      <w:r>
        <w:t xml:space="preserve">Recorded across the canon: this mode specification; a specified embodiment and claims in the</w:t>
      </w:r>
    </w:p>
    <w:p>
      <w:pPr>
        <w:spacing w:after="120"/>
      </w:pPr>
      <w:r>
        <w:t xml:space="preserve">consolidated QueryBook Provisional Patent Application (Section XII, FIG. 39–40, claims 55–62); a</w:t>
      </w:r>
    </w:p>
    <w:p>
      <w:pPr>
        <w:spacing w:after="120"/>
      </w:pPr>
      <w:r>
        <w:t xml:space="preserve">Bible amendment; Registry feature entries (a new interaction mode); and a Canonical Engine Spec</w:t>
      </w:r>
    </w:p>
    <w:p>
      <w:pPr>
        <w:spacing w:after="120"/>
      </w:pPr>
      <w:r>
        <w:t xml:space="preserve">note. It reuses ASR, PIL, LEL, LIL, the UIAS ingestion path, and the Fact Unit library, and</w:t>
      </w:r>
    </w:p>
    <w:p>
      <w:pPr>
        <w:spacing w:after="120"/>
      </w:pPr>
      <w:r>
        <w:t xml:space="preserve">inherits the covenant unchanged: claims attributed not asserted, emotion labeled, identity</w:t>
      </w:r>
    </w:p>
    <w:p>
      <w:pPr>
        <w:spacing w:after="120"/>
      </w:pPr>
      <w:r>
        <w:t xml:space="preserve">trust-gated, transcription shown for confirmation, consent and provenance preserved. Counsel note:</w:t>
      </w:r>
    </w:p>
    <w:p>
      <w:pPr>
        <w:spacing w:after="120"/>
      </w:pPr>
      <w:r>
        <w:t xml:space="preserve">recording and analyzing identifiable speakers raises consent, publicity/likeness, biometric-</w:t>
      </w:r>
    </w:p>
    <w:p>
      <w:pPr>
        <w:spacing w:after="120"/>
      </w:pPr>
      <w:r>
        <w:t xml:space="preserve">privacy, and copyright considerations (the speaker's words and the venue's recording); the consent</w:t>
      </w:r>
    </w:p>
    <w:p>
      <w:pPr>
        <w:spacing w:after="120"/>
      </w:pPr>
      <w:r>
        <w:t xml:space="preserve">gate, attributed-not-asserted claim model, trust-gated identity, and retention constraints are</w:t>
      </w:r>
    </w:p>
    <w:p>
      <w:pPr>
        <w:spacing w:after="120"/>
      </w:pPr>
      <w:r>
        <w:t xml:space="preserve">designed to address them and require qualified-counsel review per jurisdiction before deployment</w:t>
      </w:r>
    </w:p>
    <w:p>
      <w:pPr>
        <w:spacing w:after="120"/>
      </w:pPr>
      <w:r>
        <w:t xml:space="preserve">or filing.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2026-10-02T01:18:14.960Z</dcterms:created>
  <dcterms:modified xsi:type="dcterms:W3CDTF">2026-10-02T01:18:14.970Z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